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775A24" w14:paraId="6BF5D210" w14:textId="77777777">
        <w:trPr>
          <w:trHeight w:hRule="exact" w:val="851"/>
        </w:trPr>
        <w:tc>
          <w:tcPr>
            <w:tcW w:w="1276" w:type="dxa"/>
            <w:tcBorders>
              <w:bottom w:val="single" w:sz="4" w:space="0" w:color="auto"/>
            </w:tcBorders>
            <w:vAlign w:val="bottom"/>
          </w:tcPr>
          <w:p w14:paraId="2989BE81" w14:textId="77777777" w:rsidR="004876DE" w:rsidRPr="00265493" w:rsidRDefault="00265493" w:rsidP="00265493">
            <w:pPr>
              <w:spacing w:line="20" w:lineRule="exact"/>
              <w:rPr>
                <w:sz w:val="2"/>
              </w:rPr>
            </w:pPr>
            <w:r>
              <w:rPr>
                <w:rStyle w:val="CommentReference"/>
              </w:rPr>
              <w:commentReference w:id="0"/>
            </w:r>
            <w:r w:rsidR="003508A2">
              <w:t xml:space="preserve"> </w:t>
            </w:r>
            <w:r w:rsidR="003508A2" w:rsidRPr="003508A2">
              <w:rPr>
                <w:sz w:val="2"/>
              </w:rPr>
              <w:t>sweden_t5_cat_530_2012</w:t>
            </w:r>
            <w:bookmarkStart w:id="1" w:name="_GoBack"/>
            <w:bookmarkEnd w:id="1"/>
          </w:p>
          <w:p w14:paraId="245E287E" w14:textId="77777777" w:rsidR="00265493" w:rsidRPr="0092267B" w:rsidRDefault="00265493" w:rsidP="004876DE">
            <w:pPr>
              <w:spacing w:after="80"/>
              <w:rPr>
                <w:u w:val="single"/>
              </w:rPr>
            </w:pPr>
          </w:p>
        </w:tc>
        <w:tc>
          <w:tcPr>
            <w:tcW w:w="1985" w:type="dxa"/>
            <w:tcBorders>
              <w:bottom w:val="single" w:sz="4" w:space="0" w:color="auto"/>
            </w:tcBorders>
            <w:vAlign w:val="bottom"/>
          </w:tcPr>
          <w:p w14:paraId="4B442424" w14:textId="77777777" w:rsidR="004876DE" w:rsidRPr="00775A24" w:rsidRDefault="004876DE" w:rsidP="004876DE">
            <w:pPr>
              <w:spacing w:after="80" w:line="300" w:lineRule="exact"/>
              <w:rPr>
                <w:b/>
                <w:sz w:val="24"/>
                <w:szCs w:val="24"/>
              </w:rPr>
            </w:pPr>
            <w:r w:rsidRPr="00775A24">
              <w:rPr>
                <w:sz w:val="28"/>
                <w:szCs w:val="28"/>
              </w:rPr>
              <w:t>United Nations</w:t>
            </w:r>
          </w:p>
        </w:tc>
        <w:tc>
          <w:tcPr>
            <w:tcW w:w="6378" w:type="dxa"/>
            <w:gridSpan w:val="2"/>
            <w:tcBorders>
              <w:bottom w:val="single" w:sz="4" w:space="0" w:color="auto"/>
            </w:tcBorders>
            <w:vAlign w:val="bottom"/>
          </w:tcPr>
          <w:p w14:paraId="102B6607" w14:textId="77777777" w:rsidR="004876DE" w:rsidRPr="00775A24" w:rsidRDefault="004876DE" w:rsidP="000774DE">
            <w:pPr>
              <w:jc w:val="right"/>
            </w:pPr>
            <w:r w:rsidRPr="00775A24">
              <w:rPr>
                <w:sz w:val="40"/>
              </w:rPr>
              <w:t>CAT</w:t>
            </w:r>
            <w:r w:rsidR="007A5D50" w:rsidRPr="00775A24">
              <w:t>/C/5</w:t>
            </w:r>
            <w:r w:rsidR="00770B5A" w:rsidRPr="00775A24">
              <w:t>5</w:t>
            </w:r>
            <w:r w:rsidR="007A5D50" w:rsidRPr="00775A24">
              <w:t>/D/</w:t>
            </w:r>
            <w:r w:rsidR="00B15765" w:rsidRPr="00775A24">
              <w:t>5</w:t>
            </w:r>
            <w:r w:rsidR="00770B5A" w:rsidRPr="00775A24">
              <w:t>3</w:t>
            </w:r>
            <w:r w:rsidR="00B15765" w:rsidRPr="00775A24">
              <w:t>0</w:t>
            </w:r>
            <w:r w:rsidR="007A5D50" w:rsidRPr="00775A24">
              <w:t>/201</w:t>
            </w:r>
            <w:r w:rsidR="00770B5A" w:rsidRPr="00775A24">
              <w:t>2</w:t>
            </w:r>
          </w:p>
        </w:tc>
      </w:tr>
      <w:tr w:rsidR="004876DE" w:rsidRPr="00775A24" w14:paraId="17CB06A8" w14:textId="77777777">
        <w:trPr>
          <w:cantSplit/>
          <w:trHeight w:hRule="exact" w:val="2835"/>
        </w:trPr>
        <w:tc>
          <w:tcPr>
            <w:tcW w:w="1276" w:type="dxa"/>
            <w:tcBorders>
              <w:top w:val="single" w:sz="4" w:space="0" w:color="auto"/>
              <w:bottom w:val="single" w:sz="12" w:space="0" w:color="auto"/>
            </w:tcBorders>
          </w:tcPr>
          <w:p w14:paraId="5088A081" w14:textId="77777777" w:rsidR="004876DE" w:rsidRPr="0092267B" w:rsidRDefault="009830F2" w:rsidP="004876DE">
            <w:pPr>
              <w:spacing w:before="120"/>
            </w:pPr>
            <w:r w:rsidRPr="00775A24">
              <w:rPr>
                <w:noProof/>
                <w:lang w:val="en-US"/>
              </w:rPr>
              <w:drawing>
                <wp:inline distT="0" distB="0" distL="0" distR="0" wp14:anchorId="5AA0F905" wp14:editId="6C7E1E3D">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48255E6" w14:textId="77777777" w:rsidR="004876DE" w:rsidRPr="00775A24" w:rsidRDefault="004876DE" w:rsidP="004876DE">
            <w:pPr>
              <w:spacing w:before="120" w:line="380" w:lineRule="exact"/>
              <w:rPr>
                <w:sz w:val="34"/>
              </w:rPr>
            </w:pPr>
            <w:r w:rsidRPr="00775A24">
              <w:rPr>
                <w:b/>
                <w:sz w:val="34"/>
                <w:szCs w:val="40"/>
              </w:rPr>
              <w:t>Convention against Torture</w:t>
            </w:r>
            <w:r w:rsidRPr="00775A24">
              <w:rPr>
                <w:b/>
                <w:sz w:val="34"/>
                <w:szCs w:val="40"/>
              </w:rPr>
              <w:br/>
              <w:t>and Other Cruel, Inhuman</w:t>
            </w:r>
            <w:r w:rsidRPr="00775A24">
              <w:rPr>
                <w:b/>
                <w:sz w:val="34"/>
                <w:szCs w:val="40"/>
              </w:rPr>
              <w:br/>
              <w:t>or Degrading Treatment</w:t>
            </w:r>
            <w:r w:rsidRPr="00775A24">
              <w:rPr>
                <w:b/>
                <w:sz w:val="34"/>
                <w:szCs w:val="40"/>
              </w:rPr>
              <w:br/>
              <w:t>or Punishment</w:t>
            </w:r>
          </w:p>
        </w:tc>
        <w:tc>
          <w:tcPr>
            <w:tcW w:w="2835" w:type="dxa"/>
            <w:tcBorders>
              <w:top w:val="single" w:sz="4" w:space="0" w:color="auto"/>
              <w:bottom w:val="single" w:sz="12" w:space="0" w:color="auto"/>
            </w:tcBorders>
          </w:tcPr>
          <w:p w14:paraId="372614A6" w14:textId="77777777" w:rsidR="004876DE" w:rsidRPr="00775A24" w:rsidRDefault="004876DE" w:rsidP="004876DE">
            <w:pPr>
              <w:spacing w:before="240" w:line="240" w:lineRule="exact"/>
            </w:pPr>
            <w:r w:rsidRPr="00775A24">
              <w:t xml:space="preserve">Distr.: </w:t>
            </w:r>
            <w:r w:rsidR="003240BF" w:rsidRPr="00775A24">
              <w:t>General</w:t>
            </w:r>
          </w:p>
          <w:p w14:paraId="4AF2F1B5" w14:textId="77777777" w:rsidR="004876DE" w:rsidRPr="00775A24" w:rsidRDefault="00080FF4" w:rsidP="004876DE">
            <w:pPr>
              <w:spacing w:line="240" w:lineRule="exact"/>
            </w:pPr>
            <w:r w:rsidRPr="00775A24">
              <w:t>22</w:t>
            </w:r>
            <w:r w:rsidR="00D17CE2" w:rsidRPr="00775A24">
              <w:t xml:space="preserve"> </w:t>
            </w:r>
            <w:r w:rsidR="007268AE" w:rsidRPr="00775A24">
              <w:t>October</w:t>
            </w:r>
            <w:r w:rsidR="000306D1" w:rsidRPr="00775A24">
              <w:t xml:space="preserve"> </w:t>
            </w:r>
            <w:r w:rsidR="007A5D50" w:rsidRPr="00775A24">
              <w:t>201</w:t>
            </w:r>
            <w:r w:rsidR="00CD1D30" w:rsidRPr="00775A24">
              <w:t>5</w:t>
            </w:r>
          </w:p>
          <w:p w14:paraId="652F7894" w14:textId="77777777" w:rsidR="004876DE" w:rsidRPr="00775A24" w:rsidRDefault="004876DE" w:rsidP="004876DE">
            <w:pPr>
              <w:spacing w:line="240" w:lineRule="exact"/>
            </w:pPr>
          </w:p>
          <w:p w14:paraId="6931BF13" w14:textId="77777777" w:rsidR="00304C2B" w:rsidRPr="00775A24" w:rsidRDefault="00304C2B" w:rsidP="00304C2B">
            <w:pPr>
              <w:spacing w:line="240" w:lineRule="exact"/>
            </w:pPr>
            <w:r w:rsidRPr="00775A24">
              <w:t>Original: English</w:t>
            </w:r>
          </w:p>
          <w:p w14:paraId="347C18AA" w14:textId="77777777" w:rsidR="004876DE" w:rsidRPr="00775A24" w:rsidRDefault="004876DE" w:rsidP="000603BA">
            <w:pPr>
              <w:spacing w:line="240" w:lineRule="exact"/>
            </w:pPr>
          </w:p>
        </w:tc>
      </w:tr>
    </w:tbl>
    <w:p w14:paraId="62CB06CA" w14:textId="77777777" w:rsidR="004876DE" w:rsidRPr="00775A24" w:rsidRDefault="004876DE" w:rsidP="004876DE">
      <w:pPr>
        <w:spacing w:before="120"/>
        <w:rPr>
          <w:b/>
          <w:sz w:val="24"/>
          <w:szCs w:val="24"/>
        </w:rPr>
      </w:pPr>
      <w:r w:rsidRPr="00775A24">
        <w:rPr>
          <w:b/>
          <w:sz w:val="24"/>
          <w:szCs w:val="24"/>
        </w:rPr>
        <w:t>Committee against Torture</w:t>
      </w:r>
    </w:p>
    <w:p w14:paraId="21D05039" w14:textId="77777777" w:rsidR="004876DE" w:rsidRPr="00775A24" w:rsidRDefault="004876DE" w:rsidP="004876DE">
      <w:pPr>
        <w:pStyle w:val="HChG"/>
      </w:pPr>
      <w:r w:rsidRPr="00775A24">
        <w:tab/>
      </w:r>
      <w:r w:rsidRPr="00775A24">
        <w:tab/>
        <w:t xml:space="preserve">Communication No. </w:t>
      </w:r>
      <w:r w:rsidR="00243943" w:rsidRPr="00775A24">
        <w:t>5</w:t>
      </w:r>
      <w:r w:rsidR="00770B5A" w:rsidRPr="00775A24">
        <w:t>3</w:t>
      </w:r>
      <w:r w:rsidR="00D74C9D" w:rsidRPr="00775A24">
        <w:t>0</w:t>
      </w:r>
      <w:r w:rsidR="00243943" w:rsidRPr="00775A24">
        <w:t>/201</w:t>
      </w:r>
      <w:r w:rsidR="00770B5A" w:rsidRPr="00775A24">
        <w:t>2</w:t>
      </w:r>
    </w:p>
    <w:p w14:paraId="4FA25035" w14:textId="77777777" w:rsidR="004876DE" w:rsidRPr="00775A24" w:rsidRDefault="004876DE">
      <w:pPr>
        <w:pStyle w:val="H1G"/>
      </w:pPr>
      <w:r w:rsidRPr="00775A24">
        <w:tab/>
      </w:r>
      <w:r w:rsidRPr="00775A24">
        <w:tab/>
      </w:r>
      <w:r w:rsidR="000774DE" w:rsidRPr="00775A24">
        <w:t xml:space="preserve">Decision adopted by the Committee at its fifty-fifth session </w:t>
      </w:r>
      <w:r w:rsidR="00004ADE" w:rsidRPr="00775A24">
        <w:br/>
      </w:r>
      <w:r w:rsidR="000774DE" w:rsidRPr="00775A24">
        <w:t>(27 July</w:t>
      </w:r>
      <w:r w:rsidR="00004ADE" w:rsidRPr="00775A24">
        <w:t>-</w:t>
      </w:r>
      <w:r w:rsidR="000774DE" w:rsidRPr="00775A24">
        <w:t>14 August 2015)</w:t>
      </w:r>
    </w:p>
    <w:p w14:paraId="20EBCF42" w14:textId="77777777" w:rsidR="004876DE" w:rsidRPr="00775A24" w:rsidRDefault="004876DE" w:rsidP="00775A24">
      <w:pPr>
        <w:pStyle w:val="SingleTxtG"/>
        <w:ind w:left="4536" w:hanging="3402"/>
        <w:jc w:val="left"/>
        <w:rPr>
          <w:lang w:val="en-GB"/>
        </w:rPr>
      </w:pPr>
      <w:r w:rsidRPr="0092267B">
        <w:rPr>
          <w:i/>
          <w:lang w:val="en-GB"/>
        </w:rPr>
        <w:t>Submitted by:</w:t>
      </w:r>
      <w:r w:rsidRPr="0092267B">
        <w:rPr>
          <w:i/>
          <w:lang w:val="en-GB"/>
        </w:rPr>
        <w:tab/>
      </w:r>
      <w:r w:rsidR="00181E3D" w:rsidRPr="0092267B">
        <w:rPr>
          <w:lang w:val="en-GB"/>
        </w:rPr>
        <w:t>X</w:t>
      </w:r>
      <w:r w:rsidR="00314A8E" w:rsidRPr="00775A24">
        <w:rPr>
          <w:lang w:val="en-GB"/>
        </w:rPr>
        <w:t xml:space="preserve">, </w:t>
      </w:r>
      <w:r w:rsidR="00181E3D" w:rsidRPr="00775A24">
        <w:rPr>
          <w:lang w:val="en-GB"/>
        </w:rPr>
        <w:t>Y</w:t>
      </w:r>
      <w:r w:rsidR="00314A8E" w:rsidRPr="00775A24">
        <w:rPr>
          <w:lang w:val="en-GB"/>
        </w:rPr>
        <w:t xml:space="preserve"> and their daughter </w:t>
      </w:r>
      <w:r w:rsidR="00181E3D" w:rsidRPr="00775A24">
        <w:rPr>
          <w:lang w:val="en-GB"/>
        </w:rPr>
        <w:t>Z</w:t>
      </w:r>
      <w:r w:rsidR="00314A8E" w:rsidRPr="00775A24">
        <w:rPr>
          <w:lang w:val="en-GB"/>
        </w:rPr>
        <w:t xml:space="preserve"> </w:t>
      </w:r>
      <w:r w:rsidR="00623ADA" w:rsidRPr="00775A24">
        <w:rPr>
          <w:lang w:val="en-GB"/>
        </w:rPr>
        <w:t xml:space="preserve">(represented </w:t>
      </w:r>
      <w:r w:rsidR="00D73132" w:rsidRPr="00775A24">
        <w:rPr>
          <w:lang w:val="en-GB"/>
        </w:rPr>
        <w:t xml:space="preserve">by </w:t>
      </w:r>
      <w:r w:rsidR="00B95BFB" w:rsidRPr="00775A24">
        <w:rPr>
          <w:lang w:val="en-GB"/>
        </w:rPr>
        <w:t>counsel</w:t>
      </w:r>
      <w:r w:rsidR="00080FF4" w:rsidRPr="00775A24">
        <w:rPr>
          <w:lang w:val="en-GB"/>
        </w:rPr>
        <w:t>,</w:t>
      </w:r>
      <w:r w:rsidR="00B95BFB" w:rsidRPr="00775A24">
        <w:rPr>
          <w:lang w:val="en-GB"/>
        </w:rPr>
        <w:t xml:space="preserve"> </w:t>
      </w:r>
      <w:r w:rsidR="00770B5A" w:rsidRPr="00775A24">
        <w:rPr>
          <w:lang w:val="en-GB"/>
        </w:rPr>
        <w:t>Tatsiana Turgot</w:t>
      </w:r>
      <w:r w:rsidR="00544E30" w:rsidRPr="00775A24">
        <w:rPr>
          <w:lang w:val="en-GB"/>
        </w:rPr>
        <w:t>)</w:t>
      </w:r>
    </w:p>
    <w:p w14:paraId="117ACDD4" w14:textId="77777777" w:rsidR="004876DE" w:rsidRPr="00775A24" w:rsidRDefault="00243943" w:rsidP="00775A24">
      <w:pPr>
        <w:pStyle w:val="SingleTxtG"/>
        <w:ind w:left="4536" w:hanging="3402"/>
        <w:jc w:val="left"/>
        <w:rPr>
          <w:lang w:val="en-GB"/>
        </w:rPr>
      </w:pPr>
      <w:r w:rsidRPr="00775A24">
        <w:rPr>
          <w:i/>
          <w:lang w:val="en-GB"/>
        </w:rPr>
        <w:t>Alleged victim</w:t>
      </w:r>
      <w:r w:rsidR="00D74C9D" w:rsidRPr="00775A24">
        <w:rPr>
          <w:i/>
          <w:lang w:val="en-GB"/>
        </w:rPr>
        <w:t>s</w:t>
      </w:r>
      <w:r w:rsidR="004876DE" w:rsidRPr="00775A24">
        <w:rPr>
          <w:i/>
          <w:lang w:val="en-GB"/>
        </w:rPr>
        <w:t>:</w:t>
      </w:r>
      <w:r w:rsidR="004876DE" w:rsidRPr="00775A24">
        <w:rPr>
          <w:i/>
          <w:lang w:val="en-GB"/>
        </w:rPr>
        <w:tab/>
      </w:r>
      <w:r w:rsidR="004876DE" w:rsidRPr="00775A24">
        <w:rPr>
          <w:lang w:val="en-GB"/>
        </w:rPr>
        <w:t>The complainant</w:t>
      </w:r>
      <w:r w:rsidR="00770B5A" w:rsidRPr="00775A24">
        <w:rPr>
          <w:lang w:val="en-GB"/>
        </w:rPr>
        <w:t>s</w:t>
      </w:r>
    </w:p>
    <w:p w14:paraId="2F36EFFF" w14:textId="77777777" w:rsidR="004876DE" w:rsidRPr="00775A24" w:rsidRDefault="004876DE" w:rsidP="00775A24">
      <w:pPr>
        <w:pStyle w:val="SingleTxtG"/>
        <w:ind w:left="4536" w:hanging="3402"/>
        <w:jc w:val="left"/>
        <w:rPr>
          <w:lang w:val="en-GB"/>
        </w:rPr>
      </w:pPr>
      <w:r w:rsidRPr="00775A24">
        <w:rPr>
          <w:i/>
          <w:lang w:val="en-GB"/>
        </w:rPr>
        <w:t>State party:</w:t>
      </w:r>
      <w:r w:rsidRPr="00775A24">
        <w:rPr>
          <w:i/>
          <w:lang w:val="en-GB"/>
        </w:rPr>
        <w:tab/>
      </w:r>
      <w:r w:rsidR="00B95BFB" w:rsidRPr="00775A24">
        <w:rPr>
          <w:lang w:val="en-GB"/>
        </w:rPr>
        <w:t>Sweden</w:t>
      </w:r>
    </w:p>
    <w:p w14:paraId="69A1C308" w14:textId="77777777" w:rsidR="004876DE" w:rsidRPr="00775A24" w:rsidRDefault="004876DE" w:rsidP="00775A24">
      <w:pPr>
        <w:pStyle w:val="SingleTxtG"/>
        <w:ind w:left="4536" w:hanging="3402"/>
        <w:jc w:val="left"/>
        <w:rPr>
          <w:lang w:val="en-GB"/>
        </w:rPr>
      </w:pPr>
      <w:r w:rsidRPr="00775A24">
        <w:rPr>
          <w:i/>
          <w:lang w:val="en-GB"/>
        </w:rPr>
        <w:t>Date of complaint:</w:t>
      </w:r>
      <w:r w:rsidRPr="00775A24">
        <w:rPr>
          <w:i/>
          <w:lang w:val="en-GB"/>
        </w:rPr>
        <w:tab/>
      </w:r>
      <w:r w:rsidR="00770B5A" w:rsidRPr="00775A24">
        <w:rPr>
          <w:lang w:val="en-GB"/>
        </w:rPr>
        <w:t xml:space="preserve">9 November </w:t>
      </w:r>
      <w:r w:rsidR="0091151E" w:rsidRPr="00775A24">
        <w:rPr>
          <w:lang w:val="en-GB"/>
        </w:rPr>
        <w:t>201</w:t>
      </w:r>
      <w:r w:rsidR="00770B5A" w:rsidRPr="00775A24">
        <w:rPr>
          <w:lang w:val="en-GB"/>
        </w:rPr>
        <w:t>2</w:t>
      </w:r>
      <w:r w:rsidRPr="00775A24">
        <w:rPr>
          <w:lang w:val="en-GB"/>
        </w:rPr>
        <w:t xml:space="preserve"> (initial submission)</w:t>
      </w:r>
    </w:p>
    <w:p w14:paraId="7DC3E8FD" w14:textId="77777777" w:rsidR="004876DE" w:rsidRPr="00775A24" w:rsidRDefault="004876DE" w:rsidP="00775A24">
      <w:pPr>
        <w:pStyle w:val="SingleTxtG"/>
        <w:ind w:left="4536" w:hanging="3402"/>
        <w:jc w:val="left"/>
        <w:rPr>
          <w:lang w:val="en-GB"/>
        </w:rPr>
      </w:pPr>
      <w:r w:rsidRPr="00775A24">
        <w:rPr>
          <w:i/>
          <w:lang w:val="en-GB"/>
        </w:rPr>
        <w:t>Date of decision:</w:t>
      </w:r>
      <w:r w:rsidRPr="00775A24">
        <w:rPr>
          <w:i/>
          <w:lang w:val="en-GB"/>
        </w:rPr>
        <w:tab/>
      </w:r>
      <w:r w:rsidR="000774DE" w:rsidRPr="00775A24">
        <w:rPr>
          <w:lang w:val="en-GB"/>
        </w:rPr>
        <w:t>4</w:t>
      </w:r>
      <w:r w:rsidR="00314A8E" w:rsidRPr="00775A24">
        <w:rPr>
          <w:lang w:val="en-GB"/>
        </w:rPr>
        <w:t xml:space="preserve"> August</w:t>
      </w:r>
      <w:r w:rsidRPr="00775A24">
        <w:rPr>
          <w:lang w:val="en-GB"/>
        </w:rPr>
        <w:t xml:space="preserve"> </w:t>
      </w:r>
      <w:r w:rsidR="007A5D50" w:rsidRPr="00775A24">
        <w:rPr>
          <w:lang w:val="en-GB"/>
        </w:rPr>
        <w:t>201</w:t>
      </w:r>
      <w:r w:rsidR="00B95BFB" w:rsidRPr="00775A24">
        <w:rPr>
          <w:lang w:val="en-GB"/>
        </w:rPr>
        <w:t>5</w:t>
      </w:r>
    </w:p>
    <w:p w14:paraId="5FCE1F01" w14:textId="77777777" w:rsidR="004876DE" w:rsidRPr="00775A24" w:rsidRDefault="004876DE" w:rsidP="00775A24">
      <w:pPr>
        <w:pStyle w:val="SingleTxtG"/>
        <w:ind w:left="4536" w:hanging="3402"/>
        <w:jc w:val="left"/>
        <w:rPr>
          <w:lang w:val="en-GB"/>
        </w:rPr>
      </w:pPr>
      <w:r w:rsidRPr="00775A24">
        <w:rPr>
          <w:i/>
          <w:iCs/>
          <w:lang w:val="en-GB"/>
        </w:rPr>
        <w:t>Subject matter:</w:t>
      </w:r>
      <w:r w:rsidRPr="00775A24">
        <w:rPr>
          <w:i/>
          <w:lang w:val="en-GB"/>
        </w:rPr>
        <w:tab/>
      </w:r>
      <w:r w:rsidR="0012215F" w:rsidRPr="00775A24">
        <w:rPr>
          <w:lang w:val="en-GB"/>
        </w:rPr>
        <w:t xml:space="preserve">Deportation </w:t>
      </w:r>
      <w:r w:rsidRPr="00775A24">
        <w:rPr>
          <w:lang w:val="en-GB"/>
        </w:rPr>
        <w:t xml:space="preserve">to </w:t>
      </w:r>
      <w:r w:rsidR="00770B5A" w:rsidRPr="00775A24">
        <w:rPr>
          <w:lang w:val="en-GB"/>
        </w:rPr>
        <w:t xml:space="preserve">Belarus </w:t>
      </w:r>
    </w:p>
    <w:p w14:paraId="01885530" w14:textId="77777777" w:rsidR="004876DE" w:rsidRPr="00775A24" w:rsidRDefault="004876DE" w:rsidP="00775A24">
      <w:pPr>
        <w:pStyle w:val="SingleTxtG"/>
        <w:ind w:left="4536" w:hanging="3402"/>
        <w:jc w:val="left"/>
        <w:rPr>
          <w:lang w:val="en-GB"/>
        </w:rPr>
      </w:pPr>
      <w:r w:rsidRPr="00775A24">
        <w:rPr>
          <w:i/>
          <w:iCs/>
          <w:lang w:val="en-GB"/>
        </w:rPr>
        <w:t>Procedural issue</w:t>
      </w:r>
      <w:r w:rsidRPr="00775A24">
        <w:rPr>
          <w:i/>
          <w:lang w:val="en-GB"/>
        </w:rPr>
        <w:t>:</w:t>
      </w:r>
      <w:r w:rsidRPr="00775A24">
        <w:rPr>
          <w:i/>
          <w:iCs/>
          <w:lang w:val="en-GB"/>
        </w:rPr>
        <w:tab/>
      </w:r>
      <w:r w:rsidR="004A3211" w:rsidRPr="00775A24">
        <w:rPr>
          <w:iCs/>
          <w:lang w:val="en-GB"/>
        </w:rPr>
        <w:t>N</w:t>
      </w:r>
      <w:r w:rsidR="00E25FFD" w:rsidRPr="00775A24">
        <w:rPr>
          <w:lang w:val="en-GB"/>
        </w:rPr>
        <w:t>on-substantiation of the claim</w:t>
      </w:r>
      <w:r w:rsidR="002D5F28" w:rsidRPr="00775A24">
        <w:rPr>
          <w:lang w:val="en-GB"/>
        </w:rPr>
        <w:t xml:space="preserve"> </w:t>
      </w:r>
    </w:p>
    <w:p w14:paraId="6638D486" w14:textId="77777777" w:rsidR="004876DE" w:rsidRPr="00775A24" w:rsidRDefault="004876DE" w:rsidP="00775A24">
      <w:pPr>
        <w:pStyle w:val="SingleTxtG"/>
        <w:ind w:left="4536" w:hanging="3402"/>
        <w:jc w:val="left"/>
        <w:rPr>
          <w:lang w:val="en-GB"/>
        </w:rPr>
      </w:pPr>
      <w:r w:rsidRPr="00775A24">
        <w:rPr>
          <w:i/>
          <w:iCs/>
          <w:lang w:val="en-GB"/>
        </w:rPr>
        <w:t>Substantive issue:</w:t>
      </w:r>
      <w:r w:rsidRPr="00775A24">
        <w:rPr>
          <w:i/>
          <w:iCs/>
          <w:lang w:val="en-GB"/>
        </w:rPr>
        <w:tab/>
      </w:r>
      <w:r w:rsidRPr="00775A24">
        <w:rPr>
          <w:lang w:val="en-GB"/>
        </w:rPr>
        <w:t>Risk of torture upon return to the country of origin</w:t>
      </w:r>
    </w:p>
    <w:p w14:paraId="2D3DFA77" w14:textId="77777777" w:rsidR="004876DE" w:rsidRPr="00775A24" w:rsidRDefault="004876DE" w:rsidP="00775A24">
      <w:pPr>
        <w:pStyle w:val="SingleTxtG"/>
        <w:ind w:left="4536" w:hanging="3402"/>
        <w:jc w:val="left"/>
        <w:rPr>
          <w:lang w:val="en-GB"/>
        </w:rPr>
      </w:pPr>
      <w:r w:rsidRPr="00775A24">
        <w:rPr>
          <w:i/>
          <w:iCs/>
          <w:lang w:val="en-GB"/>
        </w:rPr>
        <w:t>Article of the Convention</w:t>
      </w:r>
      <w:r w:rsidRPr="00775A24">
        <w:rPr>
          <w:i/>
          <w:lang w:val="en-GB"/>
        </w:rPr>
        <w:t>:</w:t>
      </w:r>
      <w:r w:rsidRPr="00775A24">
        <w:rPr>
          <w:i/>
          <w:iCs/>
          <w:lang w:val="en-GB"/>
        </w:rPr>
        <w:tab/>
      </w:r>
      <w:r w:rsidRPr="00775A24">
        <w:rPr>
          <w:lang w:val="en-GB"/>
        </w:rPr>
        <w:t>3</w:t>
      </w:r>
    </w:p>
    <w:p w14:paraId="3DBE67BF" w14:textId="77777777" w:rsidR="00D0559B" w:rsidRPr="00775A24" w:rsidRDefault="004876DE" w:rsidP="00EC0ECA">
      <w:pPr>
        <w:pStyle w:val="HChG"/>
        <w:spacing w:before="0" w:after="0"/>
        <w:ind w:left="142" w:hanging="142"/>
      </w:pPr>
      <w:r w:rsidRPr="0092267B">
        <w:br w:type="page"/>
      </w:r>
      <w:r w:rsidR="00D0559B" w:rsidRPr="0092267B">
        <w:lastRenderedPageBreak/>
        <w:t>Annex</w:t>
      </w:r>
    </w:p>
    <w:p w14:paraId="4C9ECCEC" w14:textId="77777777" w:rsidR="004876DE" w:rsidRPr="00775A24" w:rsidRDefault="004876DE" w:rsidP="00D0559B">
      <w:pPr>
        <w:pStyle w:val="HChG"/>
        <w:ind w:firstLine="0"/>
      </w:pPr>
      <w:r w:rsidRPr="00775A24">
        <w:t>Decision of the Committee against Torture under article 22 of the Convention against Torture and Other Cruel, Inhuman or Degrading T</w:t>
      </w:r>
      <w:r w:rsidR="003743F9" w:rsidRPr="00775A24">
        <w:t xml:space="preserve">reatment or Punishment </w:t>
      </w:r>
      <w:r w:rsidR="00A2703A" w:rsidRPr="00775A24">
        <w:br/>
      </w:r>
      <w:r w:rsidR="003743F9" w:rsidRPr="00775A24">
        <w:t>(fifty</w:t>
      </w:r>
      <w:r w:rsidR="000774DE" w:rsidRPr="00775A24">
        <w:t>-</w:t>
      </w:r>
      <w:r w:rsidR="00CD1D30" w:rsidRPr="00775A24">
        <w:t>f</w:t>
      </w:r>
      <w:r w:rsidR="00770B5A" w:rsidRPr="00775A24">
        <w:t>ifth</w:t>
      </w:r>
      <w:r w:rsidRPr="00775A24">
        <w:t xml:space="preserve"> session)</w:t>
      </w:r>
    </w:p>
    <w:p w14:paraId="03285EF7" w14:textId="77777777" w:rsidR="004876DE" w:rsidRPr="00775A24" w:rsidRDefault="004876DE" w:rsidP="004876DE">
      <w:pPr>
        <w:pStyle w:val="SingleTxtG"/>
        <w:rPr>
          <w:lang w:val="en-GB"/>
        </w:rPr>
      </w:pPr>
      <w:r w:rsidRPr="00775A24">
        <w:rPr>
          <w:lang w:val="en-GB"/>
        </w:rPr>
        <w:t>concerning</w:t>
      </w:r>
    </w:p>
    <w:p w14:paraId="3ECFEC6B" w14:textId="77777777" w:rsidR="004876DE" w:rsidRPr="0092267B" w:rsidRDefault="004876DE" w:rsidP="004876DE">
      <w:pPr>
        <w:pStyle w:val="H1G"/>
      </w:pPr>
      <w:r w:rsidRPr="00775A24">
        <w:tab/>
      </w:r>
      <w:r w:rsidRPr="00775A24">
        <w:tab/>
        <w:t xml:space="preserve">Communication No. </w:t>
      </w:r>
      <w:r w:rsidR="0091151E" w:rsidRPr="00775A24">
        <w:t>5</w:t>
      </w:r>
      <w:r w:rsidR="00770B5A" w:rsidRPr="00775A24">
        <w:t>3</w:t>
      </w:r>
      <w:r w:rsidR="00D74C9D" w:rsidRPr="00775A24">
        <w:t>0</w:t>
      </w:r>
      <w:r w:rsidR="00243943" w:rsidRPr="00775A24">
        <w:t>/201</w:t>
      </w:r>
      <w:r w:rsidR="00770B5A" w:rsidRPr="00775A24">
        <w:t>2</w:t>
      </w:r>
      <w:r w:rsidR="000774DE" w:rsidRPr="00775A24">
        <w:rPr>
          <w:rStyle w:val="FootnoteReference"/>
          <w:b w:val="0"/>
          <w:bCs/>
          <w:sz w:val="20"/>
          <w:vertAlign w:val="baseline"/>
        </w:rPr>
        <w:footnoteReference w:customMarkFollows="1" w:id="2"/>
        <w:t>*</w:t>
      </w:r>
    </w:p>
    <w:p w14:paraId="49AD91AD" w14:textId="77777777" w:rsidR="00381DFA" w:rsidRPr="00775A24" w:rsidRDefault="004876DE" w:rsidP="00775A24">
      <w:pPr>
        <w:pStyle w:val="SingleTxtG"/>
        <w:ind w:left="4536" w:hanging="3402"/>
        <w:jc w:val="left"/>
        <w:rPr>
          <w:lang w:val="en-GB"/>
        </w:rPr>
      </w:pPr>
      <w:r w:rsidRPr="00775A24">
        <w:rPr>
          <w:i/>
          <w:lang w:val="en-GB"/>
        </w:rPr>
        <w:t>Submitted by:</w:t>
      </w:r>
      <w:r w:rsidRPr="00775A24">
        <w:rPr>
          <w:i/>
          <w:lang w:val="en-GB"/>
        </w:rPr>
        <w:tab/>
      </w:r>
      <w:r w:rsidR="00181E3D" w:rsidRPr="00775A24">
        <w:rPr>
          <w:lang w:val="en-GB"/>
        </w:rPr>
        <w:t>X</w:t>
      </w:r>
      <w:r w:rsidR="00314A8E" w:rsidRPr="00775A24">
        <w:rPr>
          <w:lang w:val="en-GB"/>
        </w:rPr>
        <w:t xml:space="preserve">, </w:t>
      </w:r>
      <w:r w:rsidR="00181E3D" w:rsidRPr="00775A24">
        <w:rPr>
          <w:lang w:val="en-GB"/>
        </w:rPr>
        <w:t xml:space="preserve">Y </w:t>
      </w:r>
      <w:r w:rsidR="00314A8E" w:rsidRPr="00775A24">
        <w:rPr>
          <w:lang w:val="en-GB"/>
        </w:rPr>
        <w:t xml:space="preserve">and their daughter </w:t>
      </w:r>
      <w:r w:rsidR="00181E3D" w:rsidRPr="00775A24">
        <w:rPr>
          <w:lang w:val="en-GB"/>
        </w:rPr>
        <w:t>Z</w:t>
      </w:r>
      <w:r w:rsidR="00314A8E" w:rsidRPr="00775A24">
        <w:rPr>
          <w:lang w:val="en-GB"/>
        </w:rPr>
        <w:t xml:space="preserve"> </w:t>
      </w:r>
      <w:r w:rsidR="00D74C9D" w:rsidRPr="00775A24">
        <w:rPr>
          <w:lang w:val="en-GB"/>
        </w:rPr>
        <w:t xml:space="preserve">(represented </w:t>
      </w:r>
      <w:r w:rsidR="00D73132" w:rsidRPr="00775A24">
        <w:rPr>
          <w:lang w:val="en-GB"/>
        </w:rPr>
        <w:t xml:space="preserve">by </w:t>
      </w:r>
      <w:r w:rsidR="00D74C9D" w:rsidRPr="00775A24">
        <w:rPr>
          <w:lang w:val="en-GB"/>
        </w:rPr>
        <w:t xml:space="preserve">counsel, </w:t>
      </w:r>
      <w:r w:rsidR="00770B5A" w:rsidRPr="00775A24">
        <w:rPr>
          <w:lang w:val="en-GB"/>
        </w:rPr>
        <w:t>Tatsiana Turgot</w:t>
      </w:r>
      <w:r w:rsidR="00D74C9D" w:rsidRPr="00775A24">
        <w:rPr>
          <w:lang w:val="en-GB"/>
        </w:rPr>
        <w:t>)</w:t>
      </w:r>
    </w:p>
    <w:p w14:paraId="22BA6B4C" w14:textId="77777777" w:rsidR="004876DE" w:rsidRPr="00775A24" w:rsidRDefault="004876DE" w:rsidP="00775A24">
      <w:pPr>
        <w:pStyle w:val="SingleTxtG"/>
        <w:ind w:left="4536" w:hanging="3402"/>
        <w:jc w:val="left"/>
        <w:rPr>
          <w:lang w:val="en-GB"/>
        </w:rPr>
      </w:pPr>
      <w:r w:rsidRPr="00775A24">
        <w:rPr>
          <w:i/>
          <w:lang w:val="en-GB"/>
        </w:rPr>
        <w:t>Alleged victim</w:t>
      </w:r>
      <w:r w:rsidR="00D74C9D" w:rsidRPr="00775A24">
        <w:rPr>
          <w:i/>
          <w:lang w:val="en-GB"/>
        </w:rPr>
        <w:t>s</w:t>
      </w:r>
      <w:r w:rsidRPr="00775A24">
        <w:rPr>
          <w:i/>
          <w:lang w:val="en-GB"/>
        </w:rPr>
        <w:t>:</w:t>
      </w:r>
      <w:r w:rsidRPr="00775A24">
        <w:rPr>
          <w:i/>
          <w:lang w:val="en-GB"/>
        </w:rPr>
        <w:tab/>
      </w:r>
      <w:r w:rsidR="002354F8" w:rsidRPr="00775A24">
        <w:rPr>
          <w:lang w:val="en-GB"/>
        </w:rPr>
        <w:t>T</w:t>
      </w:r>
      <w:r w:rsidR="008D1FEA" w:rsidRPr="00775A24">
        <w:rPr>
          <w:lang w:val="en-GB"/>
        </w:rPr>
        <w:t>he complainant</w:t>
      </w:r>
      <w:r w:rsidR="00770B5A" w:rsidRPr="00775A24">
        <w:rPr>
          <w:lang w:val="en-GB"/>
        </w:rPr>
        <w:t>s</w:t>
      </w:r>
      <w:r w:rsidRPr="00775A24">
        <w:rPr>
          <w:lang w:val="en-GB"/>
        </w:rPr>
        <w:t xml:space="preserve"> </w:t>
      </w:r>
    </w:p>
    <w:p w14:paraId="64B30718" w14:textId="77777777" w:rsidR="004876DE" w:rsidRPr="00775A24" w:rsidRDefault="004876DE" w:rsidP="00775A24">
      <w:pPr>
        <w:pStyle w:val="SingleTxtG"/>
        <w:ind w:left="4536" w:hanging="3402"/>
        <w:jc w:val="left"/>
        <w:rPr>
          <w:lang w:val="en-GB"/>
        </w:rPr>
      </w:pPr>
      <w:r w:rsidRPr="00775A24">
        <w:rPr>
          <w:i/>
          <w:lang w:val="en-GB"/>
        </w:rPr>
        <w:t>State party:</w:t>
      </w:r>
      <w:r w:rsidRPr="00775A24">
        <w:rPr>
          <w:i/>
          <w:lang w:val="en-GB"/>
        </w:rPr>
        <w:tab/>
      </w:r>
      <w:r w:rsidR="00B95BFB" w:rsidRPr="00775A24">
        <w:rPr>
          <w:lang w:val="en-GB"/>
        </w:rPr>
        <w:t>Sweden</w:t>
      </w:r>
    </w:p>
    <w:p w14:paraId="4323FE4F" w14:textId="77777777" w:rsidR="004876DE" w:rsidRPr="00775A24" w:rsidRDefault="004876DE" w:rsidP="00775A24">
      <w:pPr>
        <w:pStyle w:val="SingleTxtG"/>
        <w:ind w:left="4536" w:hanging="3402"/>
        <w:jc w:val="left"/>
        <w:rPr>
          <w:lang w:val="en-GB"/>
        </w:rPr>
      </w:pPr>
      <w:r w:rsidRPr="00775A24">
        <w:rPr>
          <w:i/>
          <w:lang w:val="en-GB"/>
        </w:rPr>
        <w:t>Date of complaint:</w:t>
      </w:r>
      <w:r w:rsidRPr="00775A24">
        <w:rPr>
          <w:i/>
          <w:lang w:val="en-GB"/>
        </w:rPr>
        <w:tab/>
      </w:r>
      <w:r w:rsidR="00770B5A" w:rsidRPr="00775A24">
        <w:rPr>
          <w:lang w:val="en-GB"/>
        </w:rPr>
        <w:t xml:space="preserve">9 November </w:t>
      </w:r>
      <w:r w:rsidR="00243943" w:rsidRPr="00775A24">
        <w:rPr>
          <w:lang w:val="en-GB"/>
        </w:rPr>
        <w:t>201</w:t>
      </w:r>
      <w:r w:rsidR="00770B5A" w:rsidRPr="00775A24">
        <w:rPr>
          <w:lang w:val="en-GB"/>
        </w:rPr>
        <w:t>2</w:t>
      </w:r>
      <w:r w:rsidRPr="00775A24">
        <w:rPr>
          <w:lang w:val="en-GB"/>
        </w:rPr>
        <w:t xml:space="preserve"> (initial submission)</w:t>
      </w:r>
    </w:p>
    <w:p w14:paraId="56DFE754" w14:textId="77777777" w:rsidR="004876DE" w:rsidRPr="00775A24" w:rsidRDefault="004876DE" w:rsidP="004876DE">
      <w:pPr>
        <w:pStyle w:val="SingleTxtG"/>
        <w:rPr>
          <w:lang w:val="en-GB"/>
        </w:rPr>
      </w:pPr>
      <w:r w:rsidRPr="00775A24">
        <w:rPr>
          <w:lang w:val="en-GB"/>
        </w:rPr>
        <w:tab/>
      </w:r>
      <w:r w:rsidRPr="00775A24">
        <w:rPr>
          <w:i/>
          <w:iCs/>
          <w:lang w:val="en-GB"/>
        </w:rPr>
        <w:t>The Committee against Torture</w:t>
      </w:r>
      <w:r w:rsidRPr="00775A24">
        <w:rPr>
          <w:lang w:val="en-GB"/>
        </w:rPr>
        <w:t>, established under article 17 of the Convention against Torture and Other Cruel, Inhuman or Degrading Treatment or Punishment,</w:t>
      </w:r>
    </w:p>
    <w:p w14:paraId="66BA580E" w14:textId="77777777" w:rsidR="004876DE" w:rsidRPr="00775A24" w:rsidRDefault="004876DE" w:rsidP="004876DE">
      <w:pPr>
        <w:pStyle w:val="SingleTxtG"/>
        <w:rPr>
          <w:lang w:val="en-GB"/>
        </w:rPr>
      </w:pPr>
      <w:r w:rsidRPr="00775A24">
        <w:rPr>
          <w:lang w:val="en-GB"/>
        </w:rPr>
        <w:tab/>
      </w:r>
      <w:r w:rsidRPr="00775A24">
        <w:rPr>
          <w:i/>
          <w:iCs/>
          <w:lang w:val="en-GB"/>
        </w:rPr>
        <w:t>Meeting</w:t>
      </w:r>
      <w:r w:rsidRPr="00775A24">
        <w:rPr>
          <w:lang w:val="en-GB"/>
        </w:rPr>
        <w:t xml:space="preserve"> on </w:t>
      </w:r>
      <w:r w:rsidR="0015317A" w:rsidRPr="00775A24">
        <w:rPr>
          <w:lang w:val="en-GB"/>
        </w:rPr>
        <w:t>4</w:t>
      </w:r>
      <w:r w:rsidR="00A2703A" w:rsidRPr="00775A24">
        <w:rPr>
          <w:lang w:val="en-GB"/>
        </w:rPr>
        <w:t xml:space="preserve"> </w:t>
      </w:r>
      <w:r w:rsidR="00B53DC5" w:rsidRPr="00775A24">
        <w:rPr>
          <w:lang w:val="en-GB"/>
        </w:rPr>
        <w:t xml:space="preserve">August </w:t>
      </w:r>
      <w:r w:rsidR="00CD1D30" w:rsidRPr="00775A24">
        <w:rPr>
          <w:lang w:val="en-GB"/>
        </w:rPr>
        <w:t>2015</w:t>
      </w:r>
      <w:r w:rsidRPr="0092267B">
        <w:rPr>
          <w:lang w:val="en-GB"/>
        </w:rPr>
        <w:t>,</w:t>
      </w:r>
    </w:p>
    <w:p w14:paraId="15D1096C" w14:textId="77777777" w:rsidR="004876DE" w:rsidRPr="00775A24" w:rsidRDefault="004876DE" w:rsidP="004876DE">
      <w:pPr>
        <w:pStyle w:val="SingleTxtG"/>
        <w:rPr>
          <w:lang w:val="en-GB"/>
        </w:rPr>
      </w:pPr>
      <w:r w:rsidRPr="00775A24">
        <w:rPr>
          <w:lang w:val="en-GB"/>
        </w:rPr>
        <w:tab/>
      </w:r>
      <w:r w:rsidRPr="00775A24">
        <w:rPr>
          <w:i/>
          <w:iCs/>
          <w:lang w:val="en-GB"/>
        </w:rPr>
        <w:t>Having concluded</w:t>
      </w:r>
      <w:r w:rsidRPr="00775A24">
        <w:rPr>
          <w:lang w:val="en-GB"/>
        </w:rPr>
        <w:t xml:space="preserve"> its consideration of complaint No. </w:t>
      </w:r>
      <w:r w:rsidR="0091151E" w:rsidRPr="00775A24">
        <w:rPr>
          <w:lang w:val="en-GB"/>
        </w:rPr>
        <w:t>5</w:t>
      </w:r>
      <w:r w:rsidR="00770B5A" w:rsidRPr="00775A24">
        <w:rPr>
          <w:lang w:val="en-GB"/>
        </w:rPr>
        <w:t>3</w:t>
      </w:r>
      <w:r w:rsidR="00D74C9D" w:rsidRPr="00775A24">
        <w:rPr>
          <w:lang w:val="en-GB"/>
        </w:rPr>
        <w:t>0</w:t>
      </w:r>
      <w:r w:rsidR="00243943" w:rsidRPr="00775A24">
        <w:rPr>
          <w:lang w:val="en-GB"/>
        </w:rPr>
        <w:t>/201</w:t>
      </w:r>
      <w:r w:rsidR="00770B5A" w:rsidRPr="00775A24">
        <w:rPr>
          <w:lang w:val="en-GB"/>
        </w:rPr>
        <w:t>2</w:t>
      </w:r>
      <w:r w:rsidRPr="00775A24">
        <w:rPr>
          <w:lang w:val="en-GB"/>
        </w:rPr>
        <w:t xml:space="preserve">, submitted to </w:t>
      </w:r>
      <w:r w:rsidR="008909B2" w:rsidRPr="00775A24">
        <w:rPr>
          <w:lang w:val="en-GB"/>
        </w:rPr>
        <w:t>it</w:t>
      </w:r>
      <w:r w:rsidR="0091151E" w:rsidRPr="00775A24">
        <w:rPr>
          <w:lang w:val="en-GB"/>
        </w:rPr>
        <w:t xml:space="preserve"> </w:t>
      </w:r>
      <w:r w:rsidR="00712497" w:rsidRPr="00775A24">
        <w:rPr>
          <w:lang w:val="en-GB"/>
        </w:rPr>
        <w:t xml:space="preserve">by </w:t>
      </w:r>
      <w:r w:rsidR="00181E3D" w:rsidRPr="00775A24">
        <w:rPr>
          <w:lang w:val="en-GB"/>
        </w:rPr>
        <w:t>X</w:t>
      </w:r>
      <w:r w:rsidR="00712497" w:rsidRPr="00775A24">
        <w:rPr>
          <w:lang w:val="en-GB"/>
        </w:rPr>
        <w:t>,</w:t>
      </w:r>
      <w:r w:rsidR="00314A8E" w:rsidRPr="00775A24">
        <w:rPr>
          <w:lang w:val="en-GB"/>
        </w:rPr>
        <w:t xml:space="preserve"> </w:t>
      </w:r>
      <w:r w:rsidR="00181E3D" w:rsidRPr="00775A24">
        <w:rPr>
          <w:lang w:val="en-GB"/>
        </w:rPr>
        <w:t>Y</w:t>
      </w:r>
      <w:r w:rsidR="00D74C9D" w:rsidRPr="00775A24">
        <w:rPr>
          <w:lang w:val="en-GB"/>
        </w:rPr>
        <w:t xml:space="preserve"> and</w:t>
      </w:r>
      <w:r w:rsidR="00712497" w:rsidRPr="00775A24">
        <w:rPr>
          <w:lang w:val="en-GB"/>
        </w:rPr>
        <w:t xml:space="preserve"> </w:t>
      </w:r>
      <w:r w:rsidR="00D74C9D" w:rsidRPr="00775A24">
        <w:rPr>
          <w:lang w:val="en-GB"/>
        </w:rPr>
        <w:t xml:space="preserve">their daughter </w:t>
      </w:r>
      <w:r w:rsidR="00181E3D" w:rsidRPr="00775A24">
        <w:rPr>
          <w:lang w:val="en-GB"/>
        </w:rPr>
        <w:t>Z</w:t>
      </w:r>
      <w:r w:rsidR="00110701" w:rsidRPr="00775A24">
        <w:rPr>
          <w:lang w:val="en-GB"/>
        </w:rPr>
        <w:t>,</w:t>
      </w:r>
      <w:r w:rsidR="003743F9" w:rsidRPr="00775A24">
        <w:rPr>
          <w:lang w:val="en-GB"/>
        </w:rPr>
        <w:t xml:space="preserve"> </w:t>
      </w:r>
      <w:r w:rsidRPr="00775A24">
        <w:rPr>
          <w:lang w:val="en-GB"/>
        </w:rPr>
        <w:t>under article 22 of the Convention,</w:t>
      </w:r>
    </w:p>
    <w:p w14:paraId="0F634323" w14:textId="77777777" w:rsidR="004876DE" w:rsidRPr="00775A24" w:rsidRDefault="004876DE" w:rsidP="004876DE">
      <w:pPr>
        <w:pStyle w:val="SingleTxtG"/>
        <w:rPr>
          <w:lang w:val="en-GB"/>
        </w:rPr>
      </w:pPr>
      <w:r w:rsidRPr="00775A24">
        <w:rPr>
          <w:lang w:val="en-GB"/>
        </w:rPr>
        <w:tab/>
      </w:r>
      <w:r w:rsidRPr="00775A24">
        <w:rPr>
          <w:i/>
          <w:iCs/>
          <w:lang w:val="en-GB"/>
        </w:rPr>
        <w:t>Having taken into account</w:t>
      </w:r>
      <w:r w:rsidRPr="00775A24">
        <w:rPr>
          <w:lang w:val="en-GB"/>
        </w:rPr>
        <w:t xml:space="preserve"> all information made availab</w:t>
      </w:r>
      <w:r w:rsidR="007D25F0" w:rsidRPr="00775A24">
        <w:rPr>
          <w:lang w:val="en-GB"/>
        </w:rPr>
        <w:t>le to it by the complainant</w:t>
      </w:r>
      <w:r w:rsidR="00712497" w:rsidRPr="00775A24">
        <w:rPr>
          <w:lang w:val="en-GB"/>
        </w:rPr>
        <w:t>s</w:t>
      </w:r>
      <w:r w:rsidR="007D25F0" w:rsidRPr="00775A24">
        <w:rPr>
          <w:lang w:val="en-GB"/>
        </w:rPr>
        <w:t xml:space="preserve">, </w:t>
      </w:r>
      <w:r w:rsidR="00712497" w:rsidRPr="00775A24">
        <w:rPr>
          <w:lang w:val="en-GB"/>
        </w:rPr>
        <w:t>their</w:t>
      </w:r>
      <w:r w:rsidRPr="00775A24">
        <w:rPr>
          <w:lang w:val="en-GB"/>
        </w:rPr>
        <w:t xml:space="preserve"> counsel and the State party,</w:t>
      </w:r>
    </w:p>
    <w:p w14:paraId="6E135374" w14:textId="77777777" w:rsidR="004876DE" w:rsidRPr="00775A24" w:rsidRDefault="004876DE" w:rsidP="004876DE">
      <w:pPr>
        <w:pStyle w:val="SingleTxtG"/>
        <w:rPr>
          <w:lang w:val="en-GB"/>
        </w:rPr>
      </w:pPr>
      <w:r w:rsidRPr="00775A24">
        <w:rPr>
          <w:lang w:val="en-GB"/>
        </w:rPr>
        <w:tab/>
      </w:r>
      <w:r w:rsidRPr="00775A24">
        <w:rPr>
          <w:i/>
          <w:iCs/>
          <w:lang w:val="en-GB"/>
        </w:rPr>
        <w:t xml:space="preserve">Adopts </w:t>
      </w:r>
      <w:r w:rsidRPr="00775A24">
        <w:rPr>
          <w:lang w:val="en-GB"/>
        </w:rPr>
        <w:t>the following:</w:t>
      </w:r>
      <w:r w:rsidR="003A6E4F" w:rsidRPr="00775A24">
        <w:rPr>
          <w:lang w:val="en-GB"/>
        </w:rPr>
        <w:t xml:space="preserve"> </w:t>
      </w:r>
    </w:p>
    <w:p w14:paraId="76757CC1" w14:textId="77777777" w:rsidR="004876DE" w:rsidRPr="00775A24" w:rsidRDefault="0010577B" w:rsidP="00775A24">
      <w:pPr>
        <w:pStyle w:val="H1G"/>
      </w:pPr>
      <w:r w:rsidRPr="00775A24">
        <w:tab/>
      </w:r>
      <w:r w:rsidR="00AA6691" w:rsidRPr="00775A24">
        <w:tab/>
      </w:r>
      <w:r w:rsidR="004876DE" w:rsidRPr="00775A24">
        <w:t>Decision under article 22</w:t>
      </w:r>
      <w:r w:rsidR="000774DE" w:rsidRPr="00775A24">
        <w:t xml:space="preserve"> (</w:t>
      </w:r>
      <w:r w:rsidR="004876DE" w:rsidRPr="00775A24">
        <w:t>7</w:t>
      </w:r>
      <w:r w:rsidR="000774DE" w:rsidRPr="00775A24">
        <w:t>)</w:t>
      </w:r>
      <w:r w:rsidR="004876DE" w:rsidRPr="00775A24">
        <w:t xml:space="preserve"> of the Convention against Torture</w:t>
      </w:r>
    </w:p>
    <w:p w14:paraId="143FDC72" w14:textId="77777777" w:rsidR="00F10718" w:rsidRPr="00775A24" w:rsidRDefault="004876DE" w:rsidP="009C51D0">
      <w:pPr>
        <w:pStyle w:val="SingleTxtG"/>
        <w:rPr>
          <w:lang w:val="en-GB"/>
        </w:rPr>
      </w:pPr>
      <w:r w:rsidRPr="00775A24">
        <w:rPr>
          <w:lang w:val="en-GB"/>
        </w:rPr>
        <w:t>1.1</w:t>
      </w:r>
      <w:r w:rsidRPr="00775A24">
        <w:rPr>
          <w:lang w:val="en-GB"/>
        </w:rPr>
        <w:tab/>
      </w:r>
      <w:r w:rsidR="001B21A6" w:rsidRPr="00775A24">
        <w:rPr>
          <w:lang w:val="en-GB"/>
        </w:rPr>
        <w:t>The complainant</w:t>
      </w:r>
      <w:r w:rsidR="00D74C9D" w:rsidRPr="00775A24">
        <w:rPr>
          <w:lang w:val="en-GB"/>
        </w:rPr>
        <w:t>s</w:t>
      </w:r>
      <w:r w:rsidR="00314A8E" w:rsidRPr="00775A24">
        <w:rPr>
          <w:lang w:val="en-GB"/>
        </w:rPr>
        <w:t xml:space="preserve"> </w:t>
      </w:r>
      <w:r w:rsidR="00D74C9D" w:rsidRPr="00775A24">
        <w:rPr>
          <w:lang w:val="en-GB"/>
        </w:rPr>
        <w:t>are</w:t>
      </w:r>
      <w:r w:rsidR="00276EB2" w:rsidRPr="00775A24">
        <w:rPr>
          <w:lang w:val="en-GB"/>
        </w:rPr>
        <w:t xml:space="preserve"> Mr</w:t>
      </w:r>
      <w:r w:rsidR="001B2C35" w:rsidRPr="00775A24">
        <w:rPr>
          <w:lang w:val="en-GB"/>
        </w:rPr>
        <w:t>.</w:t>
      </w:r>
      <w:r w:rsidR="00276EB2" w:rsidRPr="00775A24">
        <w:rPr>
          <w:lang w:val="en-GB"/>
        </w:rPr>
        <w:t xml:space="preserve"> </w:t>
      </w:r>
      <w:r w:rsidR="00181E3D" w:rsidRPr="00775A24">
        <w:rPr>
          <w:lang w:val="en-GB"/>
        </w:rPr>
        <w:t>X</w:t>
      </w:r>
      <w:r w:rsidR="00712497" w:rsidRPr="00775A24">
        <w:rPr>
          <w:lang w:val="en-GB"/>
        </w:rPr>
        <w:t xml:space="preserve"> </w:t>
      </w:r>
      <w:r w:rsidR="0085450B" w:rsidRPr="00775A24">
        <w:rPr>
          <w:lang w:val="en-GB"/>
        </w:rPr>
        <w:t xml:space="preserve">(the </w:t>
      </w:r>
      <w:r w:rsidR="005B0708" w:rsidRPr="00775A24">
        <w:rPr>
          <w:lang w:val="en-GB"/>
        </w:rPr>
        <w:t xml:space="preserve">first </w:t>
      </w:r>
      <w:r w:rsidR="0085450B" w:rsidRPr="00775A24">
        <w:rPr>
          <w:lang w:val="en-GB"/>
        </w:rPr>
        <w:t>complainant)</w:t>
      </w:r>
      <w:r w:rsidR="00712497" w:rsidRPr="00775A24">
        <w:rPr>
          <w:lang w:val="en-GB"/>
        </w:rPr>
        <w:t xml:space="preserve"> and</w:t>
      </w:r>
      <w:r w:rsidR="00276EB2" w:rsidRPr="00775A24">
        <w:rPr>
          <w:lang w:val="en-GB"/>
        </w:rPr>
        <w:t xml:space="preserve"> </w:t>
      </w:r>
      <w:r w:rsidR="00D74C9D" w:rsidRPr="00775A24">
        <w:rPr>
          <w:lang w:val="en-GB"/>
        </w:rPr>
        <w:t>his wife Ms</w:t>
      </w:r>
      <w:r w:rsidR="001B2C35" w:rsidRPr="00775A24">
        <w:rPr>
          <w:lang w:val="en-GB"/>
        </w:rPr>
        <w:t>.</w:t>
      </w:r>
      <w:r w:rsidR="00D74C9D" w:rsidRPr="00775A24">
        <w:rPr>
          <w:lang w:val="en-GB"/>
        </w:rPr>
        <w:t xml:space="preserve"> </w:t>
      </w:r>
      <w:r w:rsidR="00181E3D" w:rsidRPr="00775A24">
        <w:rPr>
          <w:lang w:val="en-GB"/>
        </w:rPr>
        <w:t>Y</w:t>
      </w:r>
      <w:r w:rsidR="000773FF" w:rsidRPr="00775A24">
        <w:rPr>
          <w:lang w:val="en-GB"/>
        </w:rPr>
        <w:t xml:space="preserve"> </w:t>
      </w:r>
      <w:r w:rsidR="005B0708" w:rsidRPr="00775A24">
        <w:rPr>
          <w:lang w:val="en-GB"/>
        </w:rPr>
        <w:t>(the second complainant)</w:t>
      </w:r>
      <w:r w:rsidR="00D74C9D" w:rsidRPr="00775A24">
        <w:rPr>
          <w:lang w:val="en-GB"/>
        </w:rPr>
        <w:t xml:space="preserve">, </w:t>
      </w:r>
      <w:r w:rsidR="00712497" w:rsidRPr="00775A24">
        <w:rPr>
          <w:lang w:val="en-GB"/>
        </w:rPr>
        <w:t>both Bel</w:t>
      </w:r>
      <w:r w:rsidR="00D97C8F" w:rsidRPr="00775A24">
        <w:rPr>
          <w:lang w:val="en-GB"/>
        </w:rPr>
        <w:t>a</w:t>
      </w:r>
      <w:r w:rsidR="00712497" w:rsidRPr="00775A24">
        <w:rPr>
          <w:lang w:val="en-GB"/>
        </w:rPr>
        <w:t>r</w:t>
      </w:r>
      <w:r w:rsidR="00276EB2" w:rsidRPr="00775A24">
        <w:rPr>
          <w:lang w:val="en-GB"/>
        </w:rPr>
        <w:t>usian national</w:t>
      </w:r>
      <w:r w:rsidR="00237D10" w:rsidRPr="00775A24">
        <w:rPr>
          <w:lang w:val="en-GB"/>
        </w:rPr>
        <w:t>s</w:t>
      </w:r>
      <w:r w:rsidR="00080FF4" w:rsidRPr="00775A24">
        <w:rPr>
          <w:lang w:val="en-GB"/>
        </w:rPr>
        <w:t>,</w:t>
      </w:r>
      <w:r w:rsidR="001B21A6" w:rsidRPr="00775A24">
        <w:rPr>
          <w:lang w:val="en-GB"/>
        </w:rPr>
        <w:t xml:space="preserve"> born </w:t>
      </w:r>
      <w:r w:rsidR="00113711" w:rsidRPr="00775A24">
        <w:rPr>
          <w:lang w:val="en-GB"/>
        </w:rPr>
        <w:t>in</w:t>
      </w:r>
      <w:r w:rsidR="001B21A6" w:rsidRPr="00775A24">
        <w:rPr>
          <w:lang w:val="en-GB"/>
        </w:rPr>
        <w:t xml:space="preserve"> </w:t>
      </w:r>
      <w:r w:rsidR="00D74C9D" w:rsidRPr="00775A24">
        <w:rPr>
          <w:lang w:val="en-GB"/>
        </w:rPr>
        <w:t>19</w:t>
      </w:r>
      <w:r w:rsidR="00712497" w:rsidRPr="00775A24">
        <w:rPr>
          <w:lang w:val="en-GB"/>
        </w:rPr>
        <w:t xml:space="preserve">78 </w:t>
      </w:r>
      <w:r w:rsidR="00D74C9D" w:rsidRPr="00775A24">
        <w:rPr>
          <w:lang w:val="en-GB"/>
        </w:rPr>
        <w:t xml:space="preserve">and </w:t>
      </w:r>
      <w:r w:rsidR="00712497" w:rsidRPr="00775A24">
        <w:rPr>
          <w:lang w:val="en-GB"/>
        </w:rPr>
        <w:t xml:space="preserve">in </w:t>
      </w:r>
      <w:r w:rsidR="00D74C9D" w:rsidRPr="00775A24">
        <w:rPr>
          <w:lang w:val="en-GB"/>
        </w:rPr>
        <w:t>19</w:t>
      </w:r>
      <w:r w:rsidR="00712497" w:rsidRPr="00775A24">
        <w:rPr>
          <w:lang w:val="en-GB"/>
        </w:rPr>
        <w:t>73</w:t>
      </w:r>
      <w:r w:rsidR="002A3508" w:rsidRPr="00775A24">
        <w:rPr>
          <w:lang w:val="en-GB"/>
        </w:rPr>
        <w:t>,</w:t>
      </w:r>
      <w:r w:rsidR="00D74C9D" w:rsidRPr="00775A24">
        <w:rPr>
          <w:lang w:val="en-GB"/>
        </w:rPr>
        <w:t xml:space="preserve"> respectively</w:t>
      </w:r>
      <w:r w:rsidR="001B21A6" w:rsidRPr="00775A24">
        <w:rPr>
          <w:lang w:val="en-GB"/>
        </w:rPr>
        <w:t xml:space="preserve">. </w:t>
      </w:r>
      <w:r w:rsidR="00712497" w:rsidRPr="00775A24">
        <w:rPr>
          <w:lang w:val="en-GB"/>
        </w:rPr>
        <w:t>The</w:t>
      </w:r>
      <w:r w:rsidR="00314A8E" w:rsidRPr="00775A24">
        <w:rPr>
          <w:lang w:val="en-GB"/>
        </w:rPr>
        <w:t>y</w:t>
      </w:r>
      <w:r w:rsidR="00712497" w:rsidRPr="00775A24">
        <w:rPr>
          <w:lang w:val="en-GB"/>
        </w:rPr>
        <w:t xml:space="preserve"> submit</w:t>
      </w:r>
      <w:r w:rsidR="00314A8E" w:rsidRPr="00775A24">
        <w:rPr>
          <w:lang w:val="en-GB"/>
        </w:rPr>
        <w:t xml:space="preserve"> the complaint on their behalf and </w:t>
      </w:r>
      <w:r w:rsidR="00712497" w:rsidRPr="00775A24">
        <w:rPr>
          <w:lang w:val="en-GB"/>
        </w:rPr>
        <w:t xml:space="preserve">on behalf of their daughter </w:t>
      </w:r>
      <w:r w:rsidR="00181E3D" w:rsidRPr="00775A24">
        <w:rPr>
          <w:lang w:val="en-GB"/>
        </w:rPr>
        <w:t>Z</w:t>
      </w:r>
      <w:r w:rsidR="00D97C8F" w:rsidRPr="00775A24">
        <w:rPr>
          <w:lang w:val="en-GB"/>
        </w:rPr>
        <w:t>, a</w:t>
      </w:r>
      <w:r w:rsidR="00314A8E" w:rsidRPr="00775A24">
        <w:rPr>
          <w:lang w:val="en-GB"/>
        </w:rPr>
        <w:t xml:space="preserve">lso a </w:t>
      </w:r>
      <w:r w:rsidR="00D97C8F" w:rsidRPr="00775A24">
        <w:rPr>
          <w:lang w:val="en-GB"/>
        </w:rPr>
        <w:t>Belarusian national</w:t>
      </w:r>
      <w:r w:rsidR="002A3508" w:rsidRPr="00775A24">
        <w:rPr>
          <w:lang w:val="en-GB"/>
        </w:rPr>
        <w:t>,</w:t>
      </w:r>
      <w:r w:rsidR="00D97C8F" w:rsidRPr="00775A24">
        <w:rPr>
          <w:lang w:val="en-GB"/>
        </w:rPr>
        <w:t xml:space="preserve"> born in 2011. </w:t>
      </w:r>
      <w:r w:rsidR="00175951" w:rsidRPr="00775A24">
        <w:rPr>
          <w:lang w:val="en-GB"/>
        </w:rPr>
        <w:t>The</w:t>
      </w:r>
      <w:r w:rsidR="00314A8E" w:rsidRPr="00775A24">
        <w:rPr>
          <w:lang w:val="en-GB"/>
        </w:rPr>
        <w:t xml:space="preserve">y sought asylum in Sweden, their </w:t>
      </w:r>
      <w:r w:rsidR="001B21A6" w:rsidRPr="00775A24">
        <w:rPr>
          <w:lang w:val="en-GB"/>
        </w:rPr>
        <w:t>request was rejected and</w:t>
      </w:r>
      <w:r w:rsidR="00314A8E" w:rsidRPr="00775A24">
        <w:rPr>
          <w:lang w:val="en-GB"/>
        </w:rPr>
        <w:t xml:space="preserve"> they risk be</w:t>
      </w:r>
      <w:r w:rsidR="002A3508" w:rsidRPr="00775A24">
        <w:rPr>
          <w:lang w:val="en-GB"/>
        </w:rPr>
        <w:t>ing</w:t>
      </w:r>
      <w:r w:rsidR="00314A8E" w:rsidRPr="00775A24">
        <w:rPr>
          <w:lang w:val="en-GB"/>
        </w:rPr>
        <w:t xml:space="preserve"> expelled </w:t>
      </w:r>
      <w:r w:rsidR="001B21A6" w:rsidRPr="00775A24">
        <w:rPr>
          <w:lang w:val="en-GB"/>
        </w:rPr>
        <w:t xml:space="preserve">to </w:t>
      </w:r>
      <w:r w:rsidR="001D637E" w:rsidRPr="00775A24">
        <w:rPr>
          <w:lang w:val="en-GB"/>
        </w:rPr>
        <w:t>Belarus</w:t>
      </w:r>
      <w:r w:rsidR="001B21A6" w:rsidRPr="00775A24">
        <w:rPr>
          <w:lang w:val="en-GB"/>
        </w:rPr>
        <w:t xml:space="preserve">. </w:t>
      </w:r>
      <w:r w:rsidR="00175951" w:rsidRPr="00775A24">
        <w:rPr>
          <w:lang w:val="en-GB"/>
        </w:rPr>
        <w:t>They</w:t>
      </w:r>
      <w:r w:rsidR="0012215F" w:rsidRPr="00775A24">
        <w:rPr>
          <w:lang w:val="en-GB"/>
        </w:rPr>
        <w:t xml:space="preserve"> </w:t>
      </w:r>
      <w:r w:rsidR="003C346F" w:rsidRPr="00775A24">
        <w:rPr>
          <w:lang w:val="en-GB"/>
        </w:rPr>
        <w:t xml:space="preserve">claim </w:t>
      </w:r>
      <w:r w:rsidR="001B21A6" w:rsidRPr="00775A24">
        <w:rPr>
          <w:lang w:val="en-GB"/>
        </w:rPr>
        <w:t xml:space="preserve">that </w:t>
      </w:r>
      <w:r w:rsidR="00C47885" w:rsidRPr="00775A24">
        <w:rPr>
          <w:lang w:val="en-GB"/>
        </w:rPr>
        <w:t>their expulsion to Belarus by</w:t>
      </w:r>
      <w:r w:rsidR="00237D10" w:rsidRPr="00775A24">
        <w:rPr>
          <w:lang w:val="en-GB"/>
        </w:rPr>
        <w:t xml:space="preserve"> Sweden </w:t>
      </w:r>
      <w:r w:rsidR="001B21A6" w:rsidRPr="00775A24">
        <w:rPr>
          <w:lang w:val="en-GB"/>
        </w:rPr>
        <w:t xml:space="preserve">would </w:t>
      </w:r>
      <w:r w:rsidR="00C47885" w:rsidRPr="00775A24">
        <w:rPr>
          <w:lang w:val="en-GB"/>
        </w:rPr>
        <w:t xml:space="preserve">constitute a breach of </w:t>
      </w:r>
      <w:r w:rsidR="001B21A6" w:rsidRPr="00775A24">
        <w:rPr>
          <w:lang w:val="en-GB"/>
        </w:rPr>
        <w:t>article 3 of the Convention against Torture. The compla</w:t>
      </w:r>
      <w:r w:rsidR="00113711" w:rsidRPr="00775A24">
        <w:rPr>
          <w:lang w:val="en-GB"/>
        </w:rPr>
        <w:t>inant</w:t>
      </w:r>
      <w:r w:rsidR="00175951" w:rsidRPr="00775A24">
        <w:rPr>
          <w:lang w:val="en-GB"/>
        </w:rPr>
        <w:t>s</w:t>
      </w:r>
      <w:r w:rsidR="00113711" w:rsidRPr="00775A24">
        <w:rPr>
          <w:lang w:val="en-GB"/>
        </w:rPr>
        <w:t xml:space="preserve"> </w:t>
      </w:r>
      <w:r w:rsidR="00175951" w:rsidRPr="00775A24">
        <w:rPr>
          <w:lang w:val="en-GB"/>
        </w:rPr>
        <w:t>are</w:t>
      </w:r>
      <w:r w:rsidR="00113711" w:rsidRPr="00775A24">
        <w:rPr>
          <w:lang w:val="en-GB"/>
        </w:rPr>
        <w:t xml:space="preserve"> represented by counsel</w:t>
      </w:r>
      <w:r w:rsidR="001B21A6" w:rsidRPr="00775A24">
        <w:rPr>
          <w:lang w:val="en-GB"/>
        </w:rPr>
        <w:t>.</w:t>
      </w:r>
    </w:p>
    <w:p w14:paraId="70F8BD47" w14:textId="77777777" w:rsidR="008D2F76" w:rsidRPr="00775A24" w:rsidRDefault="004876DE" w:rsidP="00AA6691">
      <w:pPr>
        <w:pStyle w:val="SingleTxtG"/>
        <w:rPr>
          <w:lang w:val="en-GB"/>
        </w:rPr>
      </w:pPr>
      <w:r w:rsidRPr="00775A24">
        <w:rPr>
          <w:lang w:val="en-GB"/>
        </w:rPr>
        <w:t>1.2</w:t>
      </w:r>
      <w:r w:rsidRPr="00775A24">
        <w:rPr>
          <w:lang w:val="en-GB"/>
        </w:rPr>
        <w:tab/>
      </w:r>
      <w:r w:rsidR="003C346F" w:rsidRPr="00775A24">
        <w:rPr>
          <w:lang w:val="en-GB"/>
        </w:rPr>
        <w:t xml:space="preserve">On </w:t>
      </w:r>
      <w:r w:rsidR="00D74C9D" w:rsidRPr="00775A24">
        <w:rPr>
          <w:lang w:val="en-GB"/>
        </w:rPr>
        <w:t>2</w:t>
      </w:r>
      <w:r w:rsidR="009A5FFD" w:rsidRPr="00775A24">
        <w:rPr>
          <w:lang w:val="en-GB"/>
        </w:rPr>
        <w:t xml:space="preserve">6 November </w:t>
      </w:r>
      <w:r w:rsidR="00D74C9D" w:rsidRPr="00775A24">
        <w:rPr>
          <w:lang w:val="en-GB"/>
        </w:rPr>
        <w:t>201</w:t>
      </w:r>
      <w:r w:rsidR="009A5FFD" w:rsidRPr="00775A24">
        <w:rPr>
          <w:lang w:val="en-GB"/>
        </w:rPr>
        <w:t>2</w:t>
      </w:r>
      <w:r w:rsidR="003C346F" w:rsidRPr="00775A24">
        <w:rPr>
          <w:lang w:val="en-GB"/>
        </w:rPr>
        <w:t xml:space="preserve">, </w:t>
      </w:r>
      <w:r w:rsidRPr="00775A24">
        <w:rPr>
          <w:lang w:val="en-GB"/>
        </w:rPr>
        <w:t>the Committee</w:t>
      </w:r>
      <w:r w:rsidR="00237D10" w:rsidRPr="00775A24">
        <w:rPr>
          <w:lang w:val="en-GB"/>
        </w:rPr>
        <w:t xml:space="preserve">, acting through its Rapporteur on </w:t>
      </w:r>
      <w:r w:rsidR="00C47885" w:rsidRPr="00775A24">
        <w:rPr>
          <w:lang w:val="en-GB"/>
        </w:rPr>
        <w:t>n</w:t>
      </w:r>
      <w:r w:rsidR="00237D10" w:rsidRPr="00775A24">
        <w:rPr>
          <w:lang w:val="en-GB"/>
        </w:rPr>
        <w:t xml:space="preserve">ew </w:t>
      </w:r>
      <w:r w:rsidR="00C47885" w:rsidRPr="00775A24">
        <w:rPr>
          <w:lang w:val="en-GB"/>
        </w:rPr>
        <w:t>c</w:t>
      </w:r>
      <w:r w:rsidR="00237D10" w:rsidRPr="00775A24">
        <w:rPr>
          <w:lang w:val="en-GB"/>
        </w:rPr>
        <w:t xml:space="preserve">omplaints and </w:t>
      </w:r>
      <w:r w:rsidR="00C47885" w:rsidRPr="00775A24">
        <w:rPr>
          <w:lang w:val="en-GB"/>
        </w:rPr>
        <w:t>i</w:t>
      </w:r>
      <w:r w:rsidR="00237D10" w:rsidRPr="00775A24">
        <w:rPr>
          <w:lang w:val="en-GB"/>
        </w:rPr>
        <w:t xml:space="preserve">nterim </w:t>
      </w:r>
      <w:r w:rsidR="00C47885" w:rsidRPr="00775A24">
        <w:rPr>
          <w:lang w:val="en-GB"/>
        </w:rPr>
        <w:t>m</w:t>
      </w:r>
      <w:r w:rsidR="00237D10" w:rsidRPr="00775A24">
        <w:rPr>
          <w:lang w:val="en-GB"/>
        </w:rPr>
        <w:t>easures,</w:t>
      </w:r>
      <w:r w:rsidRPr="00775A24">
        <w:rPr>
          <w:lang w:val="en-GB"/>
        </w:rPr>
        <w:t xml:space="preserve"> </w:t>
      </w:r>
      <w:r w:rsidR="009A5FFD" w:rsidRPr="00775A24">
        <w:rPr>
          <w:lang w:val="en-GB"/>
        </w:rPr>
        <w:t>re</w:t>
      </w:r>
      <w:r w:rsidR="00C47885" w:rsidRPr="00775A24">
        <w:rPr>
          <w:lang w:val="en-GB"/>
        </w:rPr>
        <w:t>jected</w:t>
      </w:r>
      <w:r w:rsidR="009A5FFD" w:rsidRPr="00775A24">
        <w:rPr>
          <w:lang w:val="en-GB"/>
        </w:rPr>
        <w:t xml:space="preserve"> the complaint</w:t>
      </w:r>
      <w:r w:rsidR="00C47885" w:rsidRPr="00775A24">
        <w:rPr>
          <w:lang w:val="en-GB"/>
        </w:rPr>
        <w:t xml:space="preserve">s’ request </w:t>
      </w:r>
      <w:r w:rsidR="009A5FFD" w:rsidRPr="00775A24">
        <w:rPr>
          <w:lang w:val="en-GB"/>
        </w:rPr>
        <w:t>for interim measures</w:t>
      </w:r>
      <w:r w:rsidR="00F5311D" w:rsidRPr="00775A24">
        <w:rPr>
          <w:lang w:val="en-GB"/>
        </w:rPr>
        <w:t>.</w:t>
      </w:r>
      <w:r w:rsidR="00B95BFB" w:rsidRPr="00775A24">
        <w:rPr>
          <w:lang w:val="en-GB"/>
        </w:rPr>
        <w:t xml:space="preserve"> </w:t>
      </w:r>
      <w:r w:rsidR="00F27765" w:rsidRPr="00775A24">
        <w:rPr>
          <w:lang w:val="en-GB"/>
        </w:rPr>
        <w:t xml:space="preserve">On 8 February 2013, the complainants reiterated their request for interim measures submitting new arguments and documents. </w:t>
      </w:r>
      <w:r w:rsidR="008D2F76" w:rsidRPr="00775A24">
        <w:rPr>
          <w:lang w:val="en-GB"/>
        </w:rPr>
        <w:t xml:space="preserve">On </w:t>
      </w:r>
      <w:r w:rsidR="00C47885" w:rsidRPr="00775A24">
        <w:rPr>
          <w:lang w:val="en-GB"/>
        </w:rPr>
        <w:t xml:space="preserve">14 February, </w:t>
      </w:r>
      <w:r w:rsidR="00F27765" w:rsidRPr="00775A24">
        <w:rPr>
          <w:lang w:val="en-GB"/>
        </w:rPr>
        <w:t xml:space="preserve">after reviewing the case, </w:t>
      </w:r>
      <w:r w:rsidR="00C47885" w:rsidRPr="00775A24">
        <w:rPr>
          <w:lang w:val="en-GB"/>
        </w:rPr>
        <w:t>the Committee, acting through its Rapporteur on new complaints and interim measures, maintained its decision not to issue a request for interim measures</w:t>
      </w:r>
      <w:r w:rsidR="00B53DC5" w:rsidRPr="00775A24">
        <w:rPr>
          <w:lang w:val="en-GB"/>
        </w:rPr>
        <w:t xml:space="preserve"> in the present case.</w:t>
      </w:r>
      <w:r w:rsidR="00A2703A" w:rsidRPr="00775A24">
        <w:rPr>
          <w:lang w:val="en-GB"/>
        </w:rPr>
        <w:t xml:space="preserve"> </w:t>
      </w:r>
    </w:p>
    <w:p w14:paraId="11825205" w14:textId="77777777" w:rsidR="00CF581B" w:rsidRPr="00775A24" w:rsidRDefault="00AA6691" w:rsidP="00775A24">
      <w:pPr>
        <w:pStyle w:val="H23G"/>
      </w:pPr>
      <w:r w:rsidRPr="00775A24">
        <w:lastRenderedPageBreak/>
        <w:tab/>
      </w:r>
      <w:r w:rsidR="009B42B8" w:rsidRPr="00775A24">
        <w:tab/>
      </w:r>
      <w:r w:rsidR="00276EB2" w:rsidRPr="00775A24">
        <w:t>The facts as presented by the complainant</w:t>
      </w:r>
      <w:r w:rsidR="00D74C9D" w:rsidRPr="00775A24">
        <w:t>s</w:t>
      </w:r>
    </w:p>
    <w:p w14:paraId="4F913BCB" w14:textId="77777777" w:rsidR="00BB6FB0" w:rsidRPr="00775A24" w:rsidRDefault="00BB6FB0" w:rsidP="00BB6FB0">
      <w:pPr>
        <w:pStyle w:val="SingleTxtG"/>
        <w:spacing w:line="240" w:lineRule="exact"/>
        <w:rPr>
          <w:lang w:val="en-GB"/>
        </w:rPr>
      </w:pPr>
      <w:r w:rsidRPr="00775A24">
        <w:rPr>
          <w:lang w:val="en-GB"/>
        </w:rPr>
        <w:t>2.1</w:t>
      </w:r>
      <w:r w:rsidRPr="00775A24">
        <w:rPr>
          <w:lang w:val="en-GB"/>
        </w:rPr>
        <w:tab/>
        <w:t xml:space="preserve">The complainants were politically active in Belarus. They used to </w:t>
      </w:r>
      <w:r w:rsidR="00B53DC5" w:rsidRPr="0092267B">
        <w:rPr>
          <w:lang w:val="en-GB"/>
        </w:rPr>
        <w:t xml:space="preserve">produce </w:t>
      </w:r>
      <w:r w:rsidRPr="00775A24">
        <w:rPr>
          <w:lang w:val="en-GB"/>
        </w:rPr>
        <w:t xml:space="preserve">and </w:t>
      </w:r>
      <w:r w:rsidR="00D158E9" w:rsidRPr="00775A24">
        <w:rPr>
          <w:lang w:val="en-GB"/>
        </w:rPr>
        <w:t xml:space="preserve">distribute </w:t>
      </w:r>
      <w:r w:rsidRPr="00775A24">
        <w:rPr>
          <w:lang w:val="en-GB"/>
        </w:rPr>
        <w:t>flyer</w:t>
      </w:r>
      <w:r w:rsidR="001D637E" w:rsidRPr="0092267B">
        <w:rPr>
          <w:lang w:val="en-GB"/>
        </w:rPr>
        <w:t xml:space="preserve">s, as well as to </w:t>
      </w:r>
      <w:r w:rsidRPr="00775A24">
        <w:rPr>
          <w:lang w:val="en-GB"/>
        </w:rPr>
        <w:t xml:space="preserve">disseminate information and personal views regarding the political situation in Belarus, </w:t>
      </w:r>
      <w:r w:rsidR="00B53DC5" w:rsidRPr="0092267B">
        <w:rPr>
          <w:lang w:val="en-GB"/>
        </w:rPr>
        <w:t xml:space="preserve">including </w:t>
      </w:r>
      <w:r w:rsidR="008E59FD" w:rsidRPr="00775A24">
        <w:rPr>
          <w:lang w:val="en-GB"/>
        </w:rPr>
        <w:t>on the I</w:t>
      </w:r>
      <w:r w:rsidRPr="00775A24">
        <w:rPr>
          <w:lang w:val="en-GB"/>
        </w:rPr>
        <w:t>nternet. On 17 Mar</w:t>
      </w:r>
      <w:r w:rsidR="00B53DC5" w:rsidRPr="00775A24">
        <w:rPr>
          <w:lang w:val="en-GB"/>
        </w:rPr>
        <w:t>ch</w:t>
      </w:r>
      <w:r w:rsidRPr="00775A24">
        <w:rPr>
          <w:lang w:val="en-GB"/>
        </w:rPr>
        <w:t xml:space="preserve"> 2004, the first complainant sought asylum in Sweden, giving a false identity. His application was rejected and he was returned to Belarus.</w:t>
      </w:r>
      <w:r w:rsidR="00F27765" w:rsidRPr="00775A24">
        <w:rPr>
          <w:rStyle w:val="FootnoteReference"/>
          <w:lang w:val="en-GB"/>
        </w:rPr>
        <w:footnoteReference w:id="3"/>
      </w:r>
    </w:p>
    <w:p w14:paraId="11AFBA82" w14:textId="77777777" w:rsidR="00BB6FB0" w:rsidRPr="00775A24" w:rsidRDefault="00BB6FB0">
      <w:pPr>
        <w:pStyle w:val="SingleTxtG"/>
        <w:spacing w:line="240" w:lineRule="exact"/>
        <w:rPr>
          <w:lang w:val="en-GB"/>
        </w:rPr>
      </w:pPr>
      <w:r w:rsidRPr="00775A24">
        <w:rPr>
          <w:lang w:val="en-GB"/>
        </w:rPr>
        <w:t>2.2</w:t>
      </w:r>
      <w:r w:rsidRPr="00775A24">
        <w:rPr>
          <w:lang w:val="en-GB"/>
        </w:rPr>
        <w:tab/>
        <w:t>In 2006, the complainants participat</w:t>
      </w:r>
      <w:r w:rsidR="001D637E" w:rsidRPr="0092267B">
        <w:rPr>
          <w:lang w:val="en-GB"/>
        </w:rPr>
        <w:t>ed</w:t>
      </w:r>
      <w:r w:rsidRPr="00775A24">
        <w:rPr>
          <w:lang w:val="en-GB"/>
        </w:rPr>
        <w:t xml:space="preserve"> in a demonstration </w:t>
      </w:r>
      <w:r w:rsidR="00F80B1C" w:rsidRPr="0092267B">
        <w:rPr>
          <w:lang w:val="en-GB"/>
        </w:rPr>
        <w:t>to</w:t>
      </w:r>
      <w:r w:rsidRPr="00775A24">
        <w:rPr>
          <w:lang w:val="en-GB"/>
        </w:rPr>
        <w:t xml:space="preserve"> protest against the regime</w:t>
      </w:r>
      <w:r w:rsidR="00F80B1C" w:rsidRPr="0092267B">
        <w:rPr>
          <w:lang w:val="en-GB"/>
        </w:rPr>
        <w:t xml:space="preserve"> in place</w:t>
      </w:r>
      <w:r w:rsidRPr="00775A24">
        <w:rPr>
          <w:lang w:val="en-GB"/>
        </w:rPr>
        <w:t xml:space="preserve">. They were arrested and the second complainant was tortured by the police. </w:t>
      </w:r>
      <w:r w:rsidR="00B771A8" w:rsidRPr="0092267B">
        <w:rPr>
          <w:lang w:val="en-GB"/>
        </w:rPr>
        <w:t xml:space="preserve">The police used a clothes iron to force her confess to the effect that she </w:t>
      </w:r>
      <w:r w:rsidR="000B6782" w:rsidRPr="00775A24">
        <w:rPr>
          <w:lang w:val="en-GB"/>
        </w:rPr>
        <w:t>had been</w:t>
      </w:r>
      <w:r w:rsidR="000B6782" w:rsidRPr="0092267B">
        <w:rPr>
          <w:lang w:val="en-GB"/>
        </w:rPr>
        <w:t xml:space="preserve"> </w:t>
      </w:r>
      <w:r w:rsidR="00B771A8" w:rsidRPr="00775A24">
        <w:rPr>
          <w:lang w:val="en-GB"/>
        </w:rPr>
        <w:t xml:space="preserve">paid by </w:t>
      </w:r>
      <w:r w:rsidR="00A14255" w:rsidRPr="00775A24">
        <w:rPr>
          <w:lang w:val="en-GB"/>
        </w:rPr>
        <w:t xml:space="preserve">the </w:t>
      </w:r>
      <w:r w:rsidR="00B771A8" w:rsidRPr="00775A24">
        <w:rPr>
          <w:lang w:val="en-GB"/>
        </w:rPr>
        <w:t xml:space="preserve">presidential candidate </w:t>
      </w:r>
      <w:r w:rsidR="00A14255" w:rsidRPr="00775A24">
        <w:rPr>
          <w:lang w:val="en-GB"/>
        </w:rPr>
        <w:t xml:space="preserve">Mr. </w:t>
      </w:r>
      <w:r w:rsidR="00B771A8" w:rsidRPr="00775A24">
        <w:rPr>
          <w:lang w:val="en-GB"/>
        </w:rPr>
        <w:t>K</w:t>
      </w:r>
      <w:r w:rsidR="00DC41D7" w:rsidRPr="00775A24">
        <w:rPr>
          <w:lang w:val="en-GB"/>
        </w:rPr>
        <w:t>o</w:t>
      </w:r>
      <w:r w:rsidR="00B771A8" w:rsidRPr="00775A24">
        <w:rPr>
          <w:lang w:val="en-GB"/>
        </w:rPr>
        <w:t xml:space="preserve">zulin to participate in a demonstration. </w:t>
      </w:r>
      <w:r w:rsidRPr="00775A24">
        <w:rPr>
          <w:lang w:val="en-GB"/>
        </w:rPr>
        <w:t xml:space="preserve">As a consequence of the treatment </w:t>
      </w:r>
      <w:r w:rsidR="000328B5" w:rsidRPr="00775A24">
        <w:rPr>
          <w:lang w:val="en-GB"/>
        </w:rPr>
        <w:t xml:space="preserve">she </w:t>
      </w:r>
      <w:r w:rsidRPr="00775A24">
        <w:rPr>
          <w:lang w:val="en-GB"/>
        </w:rPr>
        <w:t xml:space="preserve">suffered, she was transferred to hospital. The first complainant was accused of disturbing </w:t>
      </w:r>
      <w:r w:rsidR="001D637E" w:rsidRPr="0092267B">
        <w:rPr>
          <w:lang w:val="en-GB"/>
        </w:rPr>
        <w:t xml:space="preserve">the </w:t>
      </w:r>
      <w:r w:rsidRPr="00775A24">
        <w:rPr>
          <w:lang w:val="en-GB"/>
        </w:rPr>
        <w:t>public order and was fine</w:t>
      </w:r>
      <w:r w:rsidR="001D637E" w:rsidRPr="0092267B">
        <w:rPr>
          <w:lang w:val="en-GB"/>
        </w:rPr>
        <w:t>d</w:t>
      </w:r>
      <w:r w:rsidRPr="00775A24">
        <w:rPr>
          <w:lang w:val="en-GB"/>
        </w:rPr>
        <w:t xml:space="preserve">. </w:t>
      </w:r>
      <w:r w:rsidR="000328B5" w:rsidRPr="00775A24">
        <w:rPr>
          <w:lang w:val="en-GB"/>
        </w:rPr>
        <w:t xml:space="preserve">Over </w:t>
      </w:r>
      <w:r w:rsidRPr="00775A24">
        <w:rPr>
          <w:lang w:val="en-GB"/>
        </w:rPr>
        <w:t>the period</w:t>
      </w:r>
      <w:r w:rsidR="000328B5" w:rsidRPr="00775A24">
        <w:rPr>
          <w:lang w:val="en-GB"/>
        </w:rPr>
        <w:t xml:space="preserve"> from</w:t>
      </w:r>
      <w:r w:rsidRPr="00775A24">
        <w:rPr>
          <w:lang w:val="en-GB"/>
        </w:rPr>
        <w:t xml:space="preserve"> 2006</w:t>
      </w:r>
      <w:r w:rsidR="000328B5" w:rsidRPr="00775A24">
        <w:rPr>
          <w:lang w:val="en-GB"/>
        </w:rPr>
        <w:t xml:space="preserve"> to </w:t>
      </w:r>
      <w:r w:rsidRPr="00775A24">
        <w:rPr>
          <w:lang w:val="en-GB"/>
        </w:rPr>
        <w:t xml:space="preserve">2009, the first complainant received threatening calls from the police in Minsk. </w:t>
      </w:r>
      <w:r w:rsidR="00DB2804" w:rsidRPr="0092267B">
        <w:rPr>
          <w:lang w:val="en-GB"/>
        </w:rPr>
        <w:t>However, t</w:t>
      </w:r>
      <w:r w:rsidRPr="00775A24">
        <w:rPr>
          <w:lang w:val="en-GB"/>
        </w:rPr>
        <w:t xml:space="preserve">he second complainant participated in a number of demonstrations even afterwards, </w:t>
      </w:r>
      <w:r w:rsidR="001D637E" w:rsidRPr="0092267B">
        <w:rPr>
          <w:lang w:val="en-GB"/>
        </w:rPr>
        <w:t xml:space="preserve">without being </w:t>
      </w:r>
      <w:r w:rsidRPr="00775A24">
        <w:rPr>
          <w:lang w:val="en-GB"/>
        </w:rPr>
        <w:t xml:space="preserve">arrested by the police. In the period </w:t>
      </w:r>
      <w:r w:rsidR="0078056C" w:rsidRPr="00775A24">
        <w:rPr>
          <w:lang w:val="en-GB"/>
        </w:rPr>
        <w:t xml:space="preserve">from </w:t>
      </w:r>
      <w:r w:rsidRPr="00775A24">
        <w:rPr>
          <w:lang w:val="en-GB"/>
        </w:rPr>
        <w:t>November 2009</w:t>
      </w:r>
      <w:r w:rsidR="0078056C" w:rsidRPr="00775A24">
        <w:rPr>
          <w:lang w:val="en-GB"/>
        </w:rPr>
        <w:t xml:space="preserve"> to </w:t>
      </w:r>
      <w:r w:rsidRPr="00775A24">
        <w:rPr>
          <w:lang w:val="en-GB"/>
        </w:rPr>
        <w:t xml:space="preserve">February 2010, the complainants </w:t>
      </w:r>
      <w:r w:rsidR="00DB2804" w:rsidRPr="0092267B">
        <w:rPr>
          <w:lang w:val="en-GB"/>
        </w:rPr>
        <w:t>undertook organi</w:t>
      </w:r>
      <w:r w:rsidR="0078056C" w:rsidRPr="00775A24">
        <w:rPr>
          <w:lang w:val="en-GB"/>
        </w:rPr>
        <w:t>z</w:t>
      </w:r>
      <w:r w:rsidR="00DB2804" w:rsidRPr="00775A24">
        <w:rPr>
          <w:lang w:val="en-GB"/>
        </w:rPr>
        <w:t xml:space="preserve">ational activities to arrange a demonstration in November 2010, </w:t>
      </w:r>
      <w:r w:rsidR="00F80B1C" w:rsidRPr="00775A24">
        <w:rPr>
          <w:lang w:val="en-GB"/>
        </w:rPr>
        <w:t xml:space="preserve">shortly </w:t>
      </w:r>
      <w:r w:rsidR="00DB2804" w:rsidRPr="00775A24">
        <w:rPr>
          <w:lang w:val="en-GB"/>
        </w:rPr>
        <w:t>before</w:t>
      </w:r>
      <w:r w:rsidR="00A2703A" w:rsidRPr="0092267B">
        <w:rPr>
          <w:lang w:val="en-GB"/>
        </w:rPr>
        <w:t xml:space="preserve"> </w:t>
      </w:r>
      <w:r w:rsidRPr="00775A24">
        <w:rPr>
          <w:lang w:val="en-GB"/>
        </w:rPr>
        <w:t xml:space="preserve">the </w:t>
      </w:r>
      <w:r w:rsidR="0078056C" w:rsidRPr="00775A24">
        <w:rPr>
          <w:lang w:val="en-GB"/>
        </w:rPr>
        <w:t>p</w:t>
      </w:r>
      <w:r w:rsidRPr="00775A24">
        <w:rPr>
          <w:lang w:val="en-GB"/>
        </w:rPr>
        <w:t xml:space="preserve">residential elections </w:t>
      </w:r>
      <w:r w:rsidR="00DB2804" w:rsidRPr="0092267B">
        <w:rPr>
          <w:lang w:val="en-GB"/>
        </w:rPr>
        <w:t xml:space="preserve">of </w:t>
      </w:r>
      <w:r w:rsidRPr="00775A24">
        <w:rPr>
          <w:lang w:val="en-GB"/>
        </w:rPr>
        <w:t xml:space="preserve">19 December 2010. </w:t>
      </w:r>
    </w:p>
    <w:p w14:paraId="1D92C5F3" w14:textId="77777777" w:rsidR="00BB6FB0" w:rsidRPr="00775A24" w:rsidRDefault="00BB6FB0" w:rsidP="00BB6FB0">
      <w:pPr>
        <w:pStyle w:val="SingleTxtG"/>
        <w:spacing w:line="240" w:lineRule="exact"/>
        <w:rPr>
          <w:lang w:val="en-GB"/>
        </w:rPr>
      </w:pPr>
      <w:r w:rsidRPr="00775A24">
        <w:rPr>
          <w:lang w:val="en-GB"/>
        </w:rPr>
        <w:t>2.3</w:t>
      </w:r>
      <w:r w:rsidRPr="00775A24">
        <w:rPr>
          <w:lang w:val="en-GB"/>
        </w:rPr>
        <w:tab/>
        <w:t>In March 2010, the complainants le</w:t>
      </w:r>
      <w:r w:rsidR="00DB2804" w:rsidRPr="0092267B">
        <w:rPr>
          <w:lang w:val="en-GB"/>
        </w:rPr>
        <w:t xml:space="preserve">ft Belarus </w:t>
      </w:r>
      <w:r w:rsidRPr="00775A24">
        <w:rPr>
          <w:lang w:val="en-GB"/>
        </w:rPr>
        <w:t xml:space="preserve">with their daughter. They entered Sweden </w:t>
      </w:r>
      <w:r w:rsidR="00F80B1C" w:rsidRPr="0092267B">
        <w:rPr>
          <w:lang w:val="en-GB"/>
        </w:rPr>
        <w:t xml:space="preserve">on </w:t>
      </w:r>
      <w:r w:rsidRPr="00775A24">
        <w:rPr>
          <w:lang w:val="en-GB"/>
        </w:rPr>
        <w:t>tourist visa</w:t>
      </w:r>
      <w:r w:rsidR="00DB2804" w:rsidRPr="0092267B">
        <w:rPr>
          <w:lang w:val="en-GB"/>
        </w:rPr>
        <w:t>s</w:t>
      </w:r>
      <w:r w:rsidRPr="00775A24">
        <w:rPr>
          <w:lang w:val="en-GB"/>
        </w:rPr>
        <w:t xml:space="preserve"> valid for a year. The</w:t>
      </w:r>
      <w:r w:rsidR="00F80B1C" w:rsidRPr="0092267B">
        <w:rPr>
          <w:lang w:val="en-GB"/>
        </w:rPr>
        <w:t>y</w:t>
      </w:r>
      <w:r w:rsidRPr="00775A24">
        <w:rPr>
          <w:lang w:val="en-GB"/>
        </w:rPr>
        <w:t xml:space="preserve"> sought asylum </w:t>
      </w:r>
      <w:r w:rsidR="00DB2804" w:rsidRPr="0092267B">
        <w:rPr>
          <w:lang w:val="en-GB"/>
        </w:rPr>
        <w:t>in 2011</w:t>
      </w:r>
      <w:r w:rsidR="00DB2804" w:rsidRPr="00775A24">
        <w:rPr>
          <w:lang w:val="en-GB"/>
        </w:rPr>
        <w:t xml:space="preserve">, almost </w:t>
      </w:r>
      <w:r w:rsidRPr="00775A24">
        <w:rPr>
          <w:lang w:val="en-GB"/>
        </w:rPr>
        <w:t>a year later. In November 2010, while the first complainant</w:t>
      </w:r>
      <w:r w:rsidR="00DB2804" w:rsidRPr="0092267B">
        <w:rPr>
          <w:lang w:val="en-GB"/>
        </w:rPr>
        <w:t>’s parents</w:t>
      </w:r>
      <w:r w:rsidR="00A2703A" w:rsidRPr="0092267B">
        <w:rPr>
          <w:lang w:val="en-GB"/>
        </w:rPr>
        <w:t xml:space="preserve"> </w:t>
      </w:r>
      <w:r w:rsidRPr="00775A24">
        <w:rPr>
          <w:lang w:val="en-GB"/>
        </w:rPr>
        <w:t xml:space="preserve">were visiting </w:t>
      </w:r>
      <w:r w:rsidR="00DB2804" w:rsidRPr="0092267B">
        <w:rPr>
          <w:lang w:val="en-GB"/>
        </w:rPr>
        <w:t xml:space="preserve">the family in </w:t>
      </w:r>
      <w:r w:rsidR="00DB2804" w:rsidRPr="00775A24">
        <w:rPr>
          <w:lang w:val="en-GB"/>
        </w:rPr>
        <w:t>Sweden</w:t>
      </w:r>
      <w:r w:rsidRPr="00775A24">
        <w:rPr>
          <w:lang w:val="en-GB"/>
        </w:rPr>
        <w:t xml:space="preserve">, he handed them a written request for the organization of a demonstration in Belarus in December 2010. </w:t>
      </w:r>
      <w:r w:rsidR="000C1EF9" w:rsidRPr="0092267B">
        <w:rPr>
          <w:lang w:val="en-GB"/>
        </w:rPr>
        <w:t xml:space="preserve">Upon their return </w:t>
      </w:r>
      <w:r w:rsidRPr="00775A24">
        <w:rPr>
          <w:lang w:val="en-GB"/>
        </w:rPr>
        <w:t xml:space="preserve">to Belarus, </w:t>
      </w:r>
      <w:r w:rsidR="00DB2804" w:rsidRPr="0092267B">
        <w:rPr>
          <w:lang w:val="en-GB"/>
        </w:rPr>
        <w:t>his</w:t>
      </w:r>
      <w:r w:rsidRPr="00775A24">
        <w:rPr>
          <w:lang w:val="en-GB"/>
        </w:rPr>
        <w:t xml:space="preserve"> mother and stepfather, members of the United Civil Party</w:t>
      </w:r>
      <w:r w:rsidR="00DB2804" w:rsidRPr="0092267B">
        <w:rPr>
          <w:lang w:val="en-GB"/>
        </w:rPr>
        <w:t>,</w:t>
      </w:r>
      <w:r w:rsidRPr="00775A24">
        <w:rPr>
          <w:lang w:val="en-GB"/>
        </w:rPr>
        <w:t xml:space="preserve"> submitted </w:t>
      </w:r>
      <w:r w:rsidR="00DB2804" w:rsidRPr="0092267B">
        <w:rPr>
          <w:lang w:val="en-GB"/>
        </w:rPr>
        <w:t xml:space="preserve">his </w:t>
      </w:r>
      <w:r w:rsidRPr="00775A24">
        <w:rPr>
          <w:lang w:val="en-GB"/>
        </w:rPr>
        <w:t>request to the Belarusian authorities. The</w:t>
      </w:r>
      <w:r w:rsidR="00DB2804" w:rsidRPr="0092267B">
        <w:rPr>
          <w:lang w:val="en-GB"/>
        </w:rPr>
        <w:t>y</w:t>
      </w:r>
      <w:r w:rsidRPr="00775A24">
        <w:rPr>
          <w:lang w:val="en-GB"/>
        </w:rPr>
        <w:t xml:space="preserve"> then participated in the demonstration of 19 December 2010 and were arrested by the Belarusian authorities. During their interrogation, the </w:t>
      </w:r>
      <w:r w:rsidR="00DB2804" w:rsidRPr="0092267B">
        <w:rPr>
          <w:lang w:val="en-GB"/>
        </w:rPr>
        <w:t>investigator</w:t>
      </w:r>
      <w:r w:rsidRPr="00775A24">
        <w:rPr>
          <w:lang w:val="en-GB"/>
        </w:rPr>
        <w:t xml:space="preserve">, aware of the first complainant’s past activities, pressured </w:t>
      </w:r>
      <w:r w:rsidR="005C78B9" w:rsidRPr="00775A24">
        <w:rPr>
          <w:lang w:val="en-GB"/>
        </w:rPr>
        <w:t>the complainant’s</w:t>
      </w:r>
      <w:r w:rsidR="000328B5" w:rsidRPr="00775A24">
        <w:rPr>
          <w:lang w:val="en-GB"/>
        </w:rPr>
        <w:t xml:space="preserve"> mother and stepfather </w:t>
      </w:r>
      <w:r w:rsidRPr="00775A24">
        <w:rPr>
          <w:lang w:val="en-GB"/>
        </w:rPr>
        <w:t xml:space="preserve">to </w:t>
      </w:r>
      <w:r w:rsidR="00DB2804" w:rsidRPr="0092267B">
        <w:rPr>
          <w:lang w:val="en-GB"/>
        </w:rPr>
        <w:t xml:space="preserve">disclose the complainants’ whereabouts </w:t>
      </w:r>
      <w:r w:rsidR="00F80B1C" w:rsidRPr="00775A24">
        <w:rPr>
          <w:lang w:val="en-GB"/>
        </w:rPr>
        <w:t xml:space="preserve">and </w:t>
      </w:r>
      <w:r w:rsidR="00DB2804" w:rsidRPr="00775A24">
        <w:rPr>
          <w:lang w:val="en-GB"/>
        </w:rPr>
        <w:t>the</w:t>
      </w:r>
      <w:r w:rsidR="000328B5" w:rsidRPr="00775A24">
        <w:rPr>
          <w:lang w:val="en-GB"/>
        </w:rPr>
        <w:t>y</w:t>
      </w:r>
      <w:r w:rsidR="00DB2804" w:rsidRPr="00775A24">
        <w:rPr>
          <w:lang w:val="en-GB"/>
        </w:rPr>
        <w:t xml:space="preserve"> gave</w:t>
      </w:r>
      <w:r w:rsidR="0078056C" w:rsidRPr="00775A24">
        <w:rPr>
          <w:lang w:val="en-GB"/>
        </w:rPr>
        <w:t xml:space="preserve"> </w:t>
      </w:r>
      <w:r w:rsidR="005C78B9" w:rsidRPr="00775A24">
        <w:rPr>
          <w:lang w:val="en-GB"/>
        </w:rPr>
        <w:t>the investigator</w:t>
      </w:r>
      <w:r w:rsidR="00DB2804" w:rsidRPr="00775A24">
        <w:rPr>
          <w:lang w:val="en-GB"/>
        </w:rPr>
        <w:t xml:space="preserve"> the first complainant’s </w:t>
      </w:r>
      <w:r w:rsidRPr="00775A24">
        <w:rPr>
          <w:lang w:val="en-GB"/>
        </w:rPr>
        <w:t xml:space="preserve">phone number in Sweden. The </w:t>
      </w:r>
      <w:r w:rsidR="00DB2804" w:rsidRPr="0092267B">
        <w:rPr>
          <w:lang w:val="en-GB"/>
        </w:rPr>
        <w:t>investigator</w:t>
      </w:r>
      <w:r w:rsidRPr="00775A24">
        <w:rPr>
          <w:lang w:val="en-GB"/>
        </w:rPr>
        <w:t xml:space="preserve"> </w:t>
      </w:r>
      <w:r w:rsidR="00DB2804" w:rsidRPr="0092267B">
        <w:rPr>
          <w:lang w:val="en-GB"/>
        </w:rPr>
        <w:t xml:space="preserve">stated </w:t>
      </w:r>
      <w:r w:rsidRPr="00775A24">
        <w:rPr>
          <w:lang w:val="en-GB"/>
        </w:rPr>
        <w:t xml:space="preserve">that </w:t>
      </w:r>
      <w:r w:rsidR="00DB2804" w:rsidRPr="0092267B">
        <w:rPr>
          <w:lang w:val="en-GB"/>
        </w:rPr>
        <w:t xml:space="preserve">a </w:t>
      </w:r>
      <w:r w:rsidRPr="00775A24">
        <w:rPr>
          <w:lang w:val="en-GB"/>
        </w:rPr>
        <w:t xml:space="preserve">criminal </w:t>
      </w:r>
      <w:r w:rsidR="00DB2804" w:rsidRPr="0092267B">
        <w:rPr>
          <w:lang w:val="en-GB"/>
        </w:rPr>
        <w:t xml:space="preserve">case </w:t>
      </w:r>
      <w:r w:rsidR="005C78B9" w:rsidRPr="00775A24">
        <w:rPr>
          <w:lang w:val="en-GB"/>
        </w:rPr>
        <w:t>wa</w:t>
      </w:r>
      <w:r w:rsidR="00DB2804" w:rsidRPr="00775A24">
        <w:rPr>
          <w:lang w:val="en-GB"/>
        </w:rPr>
        <w:t xml:space="preserve">s open </w:t>
      </w:r>
      <w:r w:rsidRPr="00775A24">
        <w:rPr>
          <w:lang w:val="en-GB"/>
        </w:rPr>
        <w:t xml:space="preserve">against the complainants for </w:t>
      </w:r>
      <w:r w:rsidR="00DB2804" w:rsidRPr="0092267B">
        <w:rPr>
          <w:lang w:val="en-GB"/>
        </w:rPr>
        <w:t>organi</w:t>
      </w:r>
      <w:r w:rsidR="00082407" w:rsidRPr="00775A24">
        <w:rPr>
          <w:lang w:val="en-GB"/>
        </w:rPr>
        <w:t>z</w:t>
      </w:r>
      <w:r w:rsidR="00DB2804" w:rsidRPr="00775A24">
        <w:rPr>
          <w:lang w:val="en-GB"/>
        </w:rPr>
        <w:t>in</w:t>
      </w:r>
      <w:r w:rsidR="005C78B9" w:rsidRPr="00775A24">
        <w:rPr>
          <w:lang w:val="en-GB"/>
        </w:rPr>
        <w:t>g</w:t>
      </w:r>
      <w:r w:rsidR="00DB2804" w:rsidRPr="00775A24">
        <w:rPr>
          <w:lang w:val="en-GB"/>
        </w:rPr>
        <w:t xml:space="preserve"> </w:t>
      </w:r>
      <w:r w:rsidR="00082407" w:rsidRPr="00775A24">
        <w:rPr>
          <w:lang w:val="en-GB"/>
        </w:rPr>
        <w:t xml:space="preserve">public </w:t>
      </w:r>
      <w:r w:rsidR="00DB2804" w:rsidRPr="00775A24">
        <w:rPr>
          <w:lang w:val="en-GB"/>
        </w:rPr>
        <w:t xml:space="preserve">disorder and </w:t>
      </w:r>
      <w:r w:rsidRPr="00775A24">
        <w:rPr>
          <w:lang w:val="en-GB"/>
        </w:rPr>
        <w:t xml:space="preserve">they would be arrested upon return to Belarus. From that moment, the complainants started receiving threatening phone calls from </w:t>
      </w:r>
      <w:r w:rsidR="00F80B1C" w:rsidRPr="0092267B">
        <w:rPr>
          <w:lang w:val="en-GB"/>
        </w:rPr>
        <w:t xml:space="preserve">the </w:t>
      </w:r>
      <w:r w:rsidRPr="00775A24">
        <w:rPr>
          <w:lang w:val="en-GB"/>
        </w:rPr>
        <w:t>Minsk police.</w:t>
      </w:r>
      <w:r w:rsidR="00511338" w:rsidRPr="00775A24">
        <w:rPr>
          <w:rStyle w:val="FootnoteReference"/>
          <w:lang w:val="en-GB"/>
        </w:rPr>
        <w:footnoteReference w:id="4"/>
      </w:r>
      <w:r w:rsidRPr="00775A24">
        <w:rPr>
          <w:lang w:val="en-GB"/>
        </w:rPr>
        <w:t xml:space="preserve"> </w:t>
      </w:r>
    </w:p>
    <w:p w14:paraId="22C0C203" w14:textId="77777777" w:rsidR="00BB6FB0" w:rsidRPr="00775A24" w:rsidRDefault="00BB6FB0">
      <w:pPr>
        <w:pStyle w:val="SingleTxtG"/>
        <w:spacing w:line="240" w:lineRule="exact"/>
        <w:rPr>
          <w:lang w:val="en-GB"/>
        </w:rPr>
      </w:pPr>
      <w:r w:rsidRPr="00775A24">
        <w:rPr>
          <w:lang w:val="en-GB"/>
        </w:rPr>
        <w:t>2.4</w:t>
      </w:r>
      <w:r w:rsidRPr="00775A24">
        <w:rPr>
          <w:lang w:val="en-GB"/>
        </w:rPr>
        <w:tab/>
      </w:r>
      <w:r w:rsidR="00B43E1F" w:rsidRPr="0092267B">
        <w:rPr>
          <w:lang w:val="en-GB"/>
        </w:rPr>
        <w:t>T</w:t>
      </w:r>
      <w:r w:rsidR="00B43E1F" w:rsidRPr="00775A24">
        <w:rPr>
          <w:lang w:val="en-GB"/>
        </w:rPr>
        <w:t>he</w:t>
      </w:r>
      <w:r w:rsidRPr="00775A24">
        <w:rPr>
          <w:lang w:val="en-GB"/>
        </w:rPr>
        <w:t xml:space="preserve"> complainants submitted their asylum request to the Swedish Migration Board on 16 June 2011. During the interview, the second complainant stated that she had been subjected to torture in 2006</w:t>
      </w:r>
      <w:r w:rsidR="00F80B1C" w:rsidRPr="0092267B">
        <w:rPr>
          <w:lang w:val="en-GB"/>
        </w:rPr>
        <w:t xml:space="preserve"> and </w:t>
      </w:r>
      <w:r w:rsidRPr="00775A24">
        <w:rPr>
          <w:lang w:val="en-GB"/>
        </w:rPr>
        <w:t xml:space="preserve">showed </w:t>
      </w:r>
      <w:r w:rsidR="00F80B1C" w:rsidRPr="0092267B">
        <w:rPr>
          <w:lang w:val="en-GB"/>
        </w:rPr>
        <w:t>the</w:t>
      </w:r>
      <w:r w:rsidRPr="00775A24">
        <w:rPr>
          <w:lang w:val="en-GB"/>
        </w:rPr>
        <w:t xml:space="preserve"> </w:t>
      </w:r>
      <w:r w:rsidR="00F80B1C" w:rsidRPr="0092267B">
        <w:rPr>
          <w:lang w:val="en-GB"/>
        </w:rPr>
        <w:t>marks on her body</w:t>
      </w:r>
      <w:r w:rsidRPr="00775A24">
        <w:rPr>
          <w:lang w:val="en-GB"/>
        </w:rPr>
        <w:t xml:space="preserve">. It was </w:t>
      </w:r>
      <w:r w:rsidR="00F80B1C" w:rsidRPr="0092267B">
        <w:rPr>
          <w:lang w:val="en-GB"/>
        </w:rPr>
        <w:t>record</w:t>
      </w:r>
      <w:r w:rsidR="00F84D31" w:rsidRPr="00775A24">
        <w:rPr>
          <w:lang w:val="en-GB"/>
        </w:rPr>
        <w:t>ed</w:t>
      </w:r>
      <w:r w:rsidR="00F80B1C" w:rsidRPr="00775A24">
        <w:rPr>
          <w:lang w:val="en-GB"/>
        </w:rPr>
        <w:t xml:space="preserve"> </w:t>
      </w:r>
      <w:r w:rsidRPr="00775A24">
        <w:rPr>
          <w:lang w:val="en-GB"/>
        </w:rPr>
        <w:t xml:space="preserve">that the second complainant had been subjected to </w:t>
      </w:r>
      <w:r w:rsidR="00E26D4E" w:rsidRPr="0092267B">
        <w:rPr>
          <w:lang w:val="en-GB"/>
        </w:rPr>
        <w:t xml:space="preserve">police </w:t>
      </w:r>
      <w:r w:rsidRPr="00775A24">
        <w:rPr>
          <w:lang w:val="en-GB"/>
        </w:rPr>
        <w:t xml:space="preserve">abuse. She also referred to a medical statement from a therapist in Sweden </w:t>
      </w:r>
      <w:r w:rsidR="00F80B1C" w:rsidRPr="0092267B">
        <w:rPr>
          <w:lang w:val="en-GB"/>
        </w:rPr>
        <w:t xml:space="preserve">which </w:t>
      </w:r>
      <w:r w:rsidRPr="00775A24">
        <w:rPr>
          <w:lang w:val="en-GB"/>
        </w:rPr>
        <w:t xml:space="preserve">declared inter alia that her injuries </w:t>
      </w:r>
      <w:r w:rsidR="00F80B1C" w:rsidRPr="0092267B">
        <w:rPr>
          <w:lang w:val="en-GB"/>
        </w:rPr>
        <w:t xml:space="preserve">could have been </w:t>
      </w:r>
      <w:r w:rsidRPr="00775A24">
        <w:rPr>
          <w:lang w:val="en-GB"/>
        </w:rPr>
        <w:t>inflicted in the way</w:t>
      </w:r>
      <w:r w:rsidR="009C51D0" w:rsidRPr="00775A24">
        <w:rPr>
          <w:lang w:val="en-GB"/>
        </w:rPr>
        <w:t xml:space="preserve"> that</w:t>
      </w:r>
      <w:r w:rsidRPr="00775A24">
        <w:rPr>
          <w:lang w:val="en-GB"/>
        </w:rPr>
        <w:t xml:space="preserve"> she had described. </w:t>
      </w:r>
      <w:r w:rsidR="00E26D4E" w:rsidRPr="0092267B">
        <w:rPr>
          <w:lang w:val="en-GB"/>
        </w:rPr>
        <w:t>O</w:t>
      </w:r>
      <w:r w:rsidR="00E26D4E" w:rsidRPr="00775A24">
        <w:rPr>
          <w:lang w:val="en-GB"/>
        </w:rPr>
        <w:t>n 9 September 2011</w:t>
      </w:r>
      <w:r w:rsidR="00F80B1C" w:rsidRPr="0092267B">
        <w:rPr>
          <w:lang w:val="en-GB"/>
        </w:rPr>
        <w:t>,</w:t>
      </w:r>
      <w:r w:rsidR="00E26D4E" w:rsidRPr="00775A24">
        <w:rPr>
          <w:lang w:val="en-GB"/>
        </w:rPr>
        <w:t xml:space="preserve"> </w:t>
      </w:r>
      <w:r w:rsidR="00B43E1F" w:rsidRPr="0092267B">
        <w:rPr>
          <w:lang w:val="en-GB"/>
        </w:rPr>
        <w:t>t</w:t>
      </w:r>
      <w:r w:rsidR="00B43E1F" w:rsidRPr="00775A24">
        <w:rPr>
          <w:lang w:val="en-GB"/>
        </w:rPr>
        <w:t>he</w:t>
      </w:r>
      <w:r w:rsidRPr="00775A24">
        <w:rPr>
          <w:lang w:val="en-GB"/>
        </w:rPr>
        <w:t xml:space="preserve"> Migration Board rejected the asylum application and </w:t>
      </w:r>
      <w:r w:rsidR="00F80B1C" w:rsidRPr="0092267B">
        <w:rPr>
          <w:lang w:val="en-GB"/>
        </w:rPr>
        <w:t xml:space="preserve">ordered the </w:t>
      </w:r>
      <w:r w:rsidRPr="00775A24">
        <w:rPr>
          <w:lang w:val="en-GB"/>
        </w:rPr>
        <w:t>complainants</w:t>
      </w:r>
      <w:r w:rsidR="00F80B1C" w:rsidRPr="0092267B">
        <w:rPr>
          <w:lang w:val="en-GB"/>
        </w:rPr>
        <w:t>’ deportation</w:t>
      </w:r>
      <w:r w:rsidRPr="00775A24">
        <w:rPr>
          <w:lang w:val="en-GB"/>
        </w:rPr>
        <w:t xml:space="preserve">. </w:t>
      </w:r>
      <w:r w:rsidR="00E26D4E" w:rsidRPr="0092267B">
        <w:rPr>
          <w:lang w:val="en-GB"/>
        </w:rPr>
        <w:t xml:space="preserve">It </w:t>
      </w:r>
      <w:r w:rsidRPr="00775A24">
        <w:rPr>
          <w:lang w:val="en-GB"/>
        </w:rPr>
        <w:t xml:space="preserve">stated that the </w:t>
      </w:r>
      <w:r w:rsidR="00E26D4E" w:rsidRPr="00775A24">
        <w:rPr>
          <w:lang w:val="en-GB"/>
        </w:rPr>
        <w:t xml:space="preserve">false information about his identity submitted </w:t>
      </w:r>
      <w:r w:rsidR="00E26D4E" w:rsidRPr="0092267B">
        <w:rPr>
          <w:lang w:val="en-GB"/>
        </w:rPr>
        <w:t xml:space="preserve">by </w:t>
      </w:r>
      <w:r w:rsidRPr="00775A24">
        <w:rPr>
          <w:lang w:val="en-GB"/>
        </w:rPr>
        <w:t>the first complainant wh</w:t>
      </w:r>
      <w:r w:rsidR="00E26D4E" w:rsidRPr="0092267B">
        <w:rPr>
          <w:lang w:val="en-GB"/>
        </w:rPr>
        <w:t xml:space="preserve">ile </w:t>
      </w:r>
      <w:r w:rsidRPr="00775A24">
        <w:rPr>
          <w:lang w:val="en-GB"/>
        </w:rPr>
        <w:t xml:space="preserve">applying for asylum </w:t>
      </w:r>
      <w:r w:rsidR="003F5E85" w:rsidRPr="0092267B">
        <w:rPr>
          <w:lang w:val="en-GB"/>
        </w:rPr>
        <w:t>back in 2004</w:t>
      </w:r>
      <w:r w:rsidRPr="00775A24">
        <w:rPr>
          <w:lang w:val="en-GB"/>
        </w:rPr>
        <w:t xml:space="preserve"> had affected his credibility </w:t>
      </w:r>
      <w:r w:rsidR="00F84D31" w:rsidRPr="00775A24">
        <w:rPr>
          <w:lang w:val="en-GB"/>
        </w:rPr>
        <w:t>and that</w:t>
      </w:r>
      <w:r w:rsidRPr="00775A24">
        <w:rPr>
          <w:lang w:val="en-GB"/>
        </w:rPr>
        <w:t xml:space="preserve"> of the second complainant. Furthermore, the first complainant’s information regarding his political </w:t>
      </w:r>
      <w:r w:rsidRPr="00775A24">
        <w:rPr>
          <w:lang w:val="en-GB"/>
        </w:rPr>
        <w:lastRenderedPageBreak/>
        <w:t xml:space="preserve">activities was vague and difficult to interpret. It appeared strange that he did not submit any information regarding his political activities during the first asylum </w:t>
      </w:r>
      <w:r w:rsidR="00780FA2" w:rsidRPr="00775A24">
        <w:rPr>
          <w:lang w:val="en-GB"/>
        </w:rPr>
        <w:t>proceedings</w:t>
      </w:r>
      <w:r w:rsidRPr="00775A24">
        <w:rPr>
          <w:lang w:val="en-GB"/>
        </w:rPr>
        <w:t xml:space="preserve">. The family could travel freely and the authorities did not show any interest in stopping them. The complainants were not politically active </w:t>
      </w:r>
      <w:r w:rsidR="003F5E85" w:rsidRPr="0092267B">
        <w:rPr>
          <w:lang w:val="en-GB"/>
        </w:rPr>
        <w:t>to</w:t>
      </w:r>
      <w:r w:rsidRPr="00775A24">
        <w:rPr>
          <w:lang w:val="en-GB"/>
        </w:rPr>
        <w:t xml:space="preserve"> such an extent that the authorities would be interested in them. The lack of written documents, the lack of credibility and the fact of having been in Sweden during the critical demonstrations of 2010 (in the context of the </w:t>
      </w:r>
      <w:r w:rsidR="00F84D31" w:rsidRPr="00775A24">
        <w:rPr>
          <w:lang w:val="en-GB"/>
        </w:rPr>
        <w:t>p</w:t>
      </w:r>
      <w:r w:rsidRPr="00775A24">
        <w:rPr>
          <w:lang w:val="en-GB"/>
        </w:rPr>
        <w:t xml:space="preserve">residential elections) all </w:t>
      </w:r>
      <w:r w:rsidR="00F84D31" w:rsidRPr="00775A24">
        <w:rPr>
          <w:lang w:val="en-GB"/>
        </w:rPr>
        <w:t xml:space="preserve">meant </w:t>
      </w:r>
      <w:r w:rsidRPr="00775A24">
        <w:rPr>
          <w:lang w:val="en-GB"/>
        </w:rPr>
        <w:t xml:space="preserve">that the complainants had not </w:t>
      </w:r>
      <w:r w:rsidR="00F84D31" w:rsidRPr="00775A24">
        <w:rPr>
          <w:lang w:val="en-GB"/>
        </w:rPr>
        <w:t xml:space="preserve">shown </w:t>
      </w:r>
      <w:r w:rsidRPr="00775A24">
        <w:rPr>
          <w:lang w:val="en-GB"/>
        </w:rPr>
        <w:t xml:space="preserve">their need </w:t>
      </w:r>
      <w:r w:rsidR="00F84D31" w:rsidRPr="00775A24">
        <w:rPr>
          <w:lang w:val="en-GB"/>
        </w:rPr>
        <w:t xml:space="preserve">for </w:t>
      </w:r>
      <w:r w:rsidRPr="00775A24">
        <w:rPr>
          <w:lang w:val="en-GB"/>
        </w:rPr>
        <w:t xml:space="preserve">protection </w:t>
      </w:r>
      <w:r w:rsidR="00F84D31" w:rsidRPr="00775A24">
        <w:rPr>
          <w:lang w:val="en-GB"/>
        </w:rPr>
        <w:t xml:space="preserve">to be </w:t>
      </w:r>
      <w:r w:rsidRPr="00775A24">
        <w:rPr>
          <w:lang w:val="en-GB"/>
        </w:rPr>
        <w:t xml:space="preserve">probable. With regard to the treatment allegedly suffered by the second complainant at the hands of </w:t>
      </w:r>
      <w:r w:rsidR="00FF4CC4" w:rsidRPr="00775A24">
        <w:rPr>
          <w:lang w:val="en-GB"/>
        </w:rPr>
        <w:t xml:space="preserve">the </w:t>
      </w:r>
      <w:r w:rsidRPr="00775A24">
        <w:rPr>
          <w:lang w:val="en-GB"/>
        </w:rPr>
        <w:t xml:space="preserve">Minsk police in 2006, the Migration Board referred to it as </w:t>
      </w:r>
      <w:r w:rsidR="003F5E85" w:rsidRPr="0092267B">
        <w:rPr>
          <w:lang w:val="en-GB"/>
        </w:rPr>
        <w:t xml:space="preserve">a </w:t>
      </w:r>
      <w:r w:rsidRPr="00775A24">
        <w:rPr>
          <w:lang w:val="en-GB"/>
        </w:rPr>
        <w:t xml:space="preserve">police assault. The word </w:t>
      </w:r>
      <w:r w:rsidR="00F84D31" w:rsidRPr="00775A24">
        <w:rPr>
          <w:lang w:val="en-GB"/>
        </w:rPr>
        <w:t>“</w:t>
      </w:r>
      <w:r w:rsidRPr="00775A24">
        <w:rPr>
          <w:lang w:val="en-GB"/>
        </w:rPr>
        <w:t>torture</w:t>
      </w:r>
      <w:r w:rsidR="00F84D31" w:rsidRPr="00775A24">
        <w:rPr>
          <w:lang w:val="en-GB"/>
        </w:rPr>
        <w:t>”</w:t>
      </w:r>
      <w:r w:rsidRPr="00775A24">
        <w:rPr>
          <w:lang w:val="en-GB"/>
        </w:rPr>
        <w:t xml:space="preserve"> was not </w:t>
      </w:r>
      <w:r w:rsidR="00FF4CC4" w:rsidRPr="00775A24">
        <w:rPr>
          <w:lang w:val="en-GB"/>
        </w:rPr>
        <w:t>used</w:t>
      </w:r>
      <w:r w:rsidRPr="00775A24">
        <w:rPr>
          <w:lang w:val="en-GB"/>
        </w:rPr>
        <w:t xml:space="preserve"> by the Migration Board.</w:t>
      </w:r>
    </w:p>
    <w:p w14:paraId="57DFB28C" w14:textId="77777777" w:rsidR="00BB6FB0" w:rsidRPr="00775A24" w:rsidRDefault="00BB6FB0">
      <w:pPr>
        <w:pStyle w:val="SingleTxtG"/>
        <w:spacing w:line="240" w:lineRule="exact"/>
        <w:rPr>
          <w:lang w:val="en-GB"/>
        </w:rPr>
      </w:pPr>
      <w:r w:rsidRPr="00775A24">
        <w:rPr>
          <w:lang w:val="en-GB"/>
        </w:rPr>
        <w:t>2.5</w:t>
      </w:r>
      <w:r w:rsidRPr="00775A24">
        <w:rPr>
          <w:lang w:val="en-GB"/>
        </w:rPr>
        <w:tab/>
      </w:r>
      <w:r w:rsidR="00FA3029" w:rsidRPr="0092267B">
        <w:rPr>
          <w:lang w:val="en-GB"/>
        </w:rPr>
        <w:t xml:space="preserve">On an unspecified date, the decision </w:t>
      </w:r>
      <w:r w:rsidR="00FA3029" w:rsidRPr="00775A24">
        <w:rPr>
          <w:lang w:val="en-GB"/>
        </w:rPr>
        <w:t xml:space="preserve">of the Migration Board was appealed </w:t>
      </w:r>
      <w:r w:rsidR="00F84D31" w:rsidRPr="00775A24">
        <w:rPr>
          <w:lang w:val="en-GB"/>
        </w:rPr>
        <w:t xml:space="preserve">before </w:t>
      </w:r>
      <w:r w:rsidRPr="00775A24">
        <w:rPr>
          <w:lang w:val="en-GB"/>
        </w:rPr>
        <w:t>the Migration Court</w:t>
      </w:r>
      <w:r w:rsidR="00151576" w:rsidRPr="0092267B">
        <w:rPr>
          <w:lang w:val="en-GB"/>
        </w:rPr>
        <w:t>.</w:t>
      </w:r>
      <w:r w:rsidR="00151576" w:rsidRPr="00775A24">
        <w:rPr>
          <w:lang w:val="en-GB"/>
        </w:rPr>
        <w:t xml:space="preserve"> On 20 April 2012</w:t>
      </w:r>
      <w:r w:rsidRPr="00775A24">
        <w:rPr>
          <w:lang w:val="en-GB"/>
        </w:rPr>
        <w:t xml:space="preserve">, </w:t>
      </w:r>
      <w:r w:rsidR="00151576" w:rsidRPr="0092267B">
        <w:rPr>
          <w:lang w:val="en-GB"/>
        </w:rPr>
        <w:t xml:space="preserve">the Migration Court </w:t>
      </w:r>
      <w:r w:rsidRPr="00775A24">
        <w:rPr>
          <w:lang w:val="en-GB"/>
        </w:rPr>
        <w:t xml:space="preserve">rejected </w:t>
      </w:r>
      <w:r w:rsidR="00FA3029" w:rsidRPr="0092267B">
        <w:rPr>
          <w:lang w:val="en-GB"/>
        </w:rPr>
        <w:t>the</w:t>
      </w:r>
      <w:r w:rsidR="00151576" w:rsidRPr="00775A24">
        <w:rPr>
          <w:lang w:val="en-GB"/>
        </w:rPr>
        <w:t xml:space="preserve"> complainants’ </w:t>
      </w:r>
      <w:r w:rsidR="00FA3029" w:rsidRPr="00775A24">
        <w:rPr>
          <w:lang w:val="en-GB"/>
        </w:rPr>
        <w:t>appeal</w:t>
      </w:r>
      <w:r w:rsidR="00FF4CC4" w:rsidRPr="00775A24">
        <w:rPr>
          <w:lang w:val="en-GB"/>
        </w:rPr>
        <w:t>,</w:t>
      </w:r>
      <w:r w:rsidR="009B5CBB" w:rsidRPr="00775A24">
        <w:rPr>
          <w:lang w:val="en-GB"/>
        </w:rPr>
        <w:t xml:space="preserve"> </w:t>
      </w:r>
      <w:r w:rsidR="00151576" w:rsidRPr="00775A24">
        <w:rPr>
          <w:lang w:val="en-GB"/>
        </w:rPr>
        <w:t xml:space="preserve">noting </w:t>
      </w:r>
      <w:r w:rsidRPr="00775A24">
        <w:rPr>
          <w:lang w:val="en-GB"/>
        </w:rPr>
        <w:t xml:space="preserve">inter alia that the complainants had received two police </w:t>
      </w:r>
      <w:r w:rsidR="00780FA2" w:rsidRPr="00775A24">
        <w:rPr>
          <w:lang w:val="en-GB"/>
        </w:rPr>
        <w:t xml:space="preserve">summonses </w:t>
      </w:r>
      <w:r w:rsidRPr="00775A24">
        <w:rPr>
          <w:lang w:val="en-GB"/>
        </w:rPr>
        <w:t>for police interrogation in Minsk</w:t>
      </w:r>
      <w:r w:rsidR="00151576" w:rsidRPr="0092267B">
        <w:rPr>
          <w:lang w:val="en-GB"/>
        </w:rPr>
        <w:t xml:space="preserve"> which</w:t>
      </w:r>
      <w:r w:rsidRPr="00775A24">
        <w:rPr>
          <w:lang w:val="en-GB"/>
        </w:rPr>
        <w:t xml:space="preserve"> mentioned that</w:t>
      </w:r>
      <w:r w:rsidR="00F84D31" w:rsidRPr="00775A24">
        <w:rPr>
          <w:lang w:val="en-GB"/>
        </w:rPr>
        <w:t>,</w:t>
      </w:r>
      <w:r w:rsidRPr="00775A24">
        <w:rPr>
          <w:lang w:val="en-GB"/>
        </w:rPr>
        <w:t xml:space="preserve"> in case of failure to appear, the</w:t>
      </w:r>
      <w:r w:rsidR="00151576" w:rsidRPr="0092267B">
        <w:rPr>
          <w:lang w:val="en-GB"/>
        </w:rPr>
        <w:t>y</w:t>
      </w:r>
      <w:r w:rsidRPr="00775A24">
        <w:rPr>
          <w:lang w:val="en-GB"/>
        </w:rPr>
        <w:t xml:space="preserve"> </w:t>
      </w:r>
      <w:r w:rsidR="00FE2F5F" w:rsidRPr="0092267B">
        <w:rPr>
          <w:lang w:val="en-GB"/>
        </w:rPr>
        <w:t>risk</w:t>
      </w:r>
      <w:r w:rsidR="00F84D31" w:rsidRPr="00775A24">
        <w:rPr>
          <w:lang w:val="en-GB"/>
        </w:rPr>
        <w:t>ed</w:t>
      </w:r>
      <w:r w:rsidR="00FE2F5F" w:rsidRPr="00775A24">
        <w:rPr>
          <w:lang w:val="en-GB"/>
        </w:rPr>
        <w:t xml:space="preserve"> </w:t>
      </w:r>
      <w:r w:rsidRPr="00775A24">
        <w:rPr>
          <w:lang w:val="en-GB"/>
        </w:rPr>
        <w:t xml:space="preserve">a fine or imprisonment. </w:t>
      </w:r>
      <w:r w:rsidR="00A6417D" w:rsidRPr="0092267B">
        <w:rPr>
          <w:lang w:val="en-GB"/>
        </w:rPr>
        <w:t xml:space="preserve">The </w:t>
      </w:r>
      <w:r w:rsidR="00FF4CC4" w:rsidRPr="0092267B">
        <w:rPr>
          <w:lang w:val="en-GB"/>
        </w:rPr>
        <w:t>fact that</w:t>
      </w:r>
      <w:r w:rsidRPr="00775A24">
        <w:rPr>
          <w:lang w:val="en-GB"/>
        </w:rPr>
        <w:t xml:space="preserve"> the reason for being </w:t>
      </w:r>
      <w:r w:rsidR="00780FA2" w:rsidRPr="00775A24">
        <w:rPr>
          <w:lang w:val="en-GB"/>
        </w:rPr>
        <w:t>summonsed</w:t>
      </w:r>
      <w:r w:rsidR="00FF4CC4" w:rsidRPr="00775A24">
        <w:rPr>
          <w:lang w:val="en-GB"/>
        </w:rPr>
        <w:t xml:space="preserve"> was not indicated</w:t>
      </w:r>
      <w:r w:rsidR="00780FA2" w:rsidRPr="0092267B">
        <w:rPr>
          <w:lang w:val="en-GB"/>
        </w:rPr>
        <w:t xml:space="preserve"> </w:t>
      </w:r>
      <w:r w:rsidR="00A6417D" w:rsidRPr="00775A24">
        <w:rPr>
          <w:lang w:val="en-GB"/>
        </w:rPr>
        <w:t>was interpreted by</w:t>
      </w:r>
      <w:r w:rsidRPr="00775A24">
        <w:rPr>
          <w:lang w:val="en-GB"/>
        </w:rPr>
        <w:t xml:space="preserve"> the Court as evidence that the complainants were not in need of protection. The Migration Court also referred to the treatment suffered in 2006 by the second complainant as </w:t>
      </w:r>
      <w:r w:rsidR="00FA3029" w:rsidRPr="0092267B">
        <w:rPr>
          <w:lang w:val="en-GB"/>
        </w:rPr>
        <w:t xml:space="preserve">a </w:t>
      </w:r>
      <w:r w:rsidRPr="00775A24">
        <w:rPr>
          <w:lang w:val="en-GB"/>
        </w:rPr>
        <w:t xml:space="preserve">police assault and not </w:t>
      </w:r>
      <w:r w:rsidR="00FA3029" w:rsidRPr="0092267B">
        <w:rPr>
          <w:lang w:val="en-GB"/>
        </w:rPr>
        <w:t xml:space="preserve">as </w:t>
      </w:r>
      <w:r w:rsidRPr="00775A24">
        <w:rPr>
          <w:lang w:val="en-GB"/>
        </w:rPr>
        <w:t xml:space="preserve">torture. The complainants </w:t>
      </w:r>
      <w:r w:rsidR="00FE2F5F" w:rsidRPr="0092267B">
        <w:rPr>
          <w:lang w:val="en-GB"/>
        </w:rPr>
        <w:t xml:space="preserve">applied for </w:t>
      </w:r>
      <w:r w:rsidR="00FE2F5F" w:rsidRPr="00775A24">
        <w:rPr>
          <w:lang w:val="en-GB"/>
        </w:rPr>
        <w:t xml:space="preserve">leave to </w:t>
      </w:r>
      <w:r w:rsidRPr="00775A24">
        <w:rPr>
          <w:lang w:val="en-GB"/>
        </w:rPr>
        <w:t>appeal</w:t>
      </w:r>
      <w:r w:rsidR="00FE2F5F" w:rsidRPr="0092267B">
        <w:rPr>
          <w:lang w:val="en-GB"/>
        </w:rPr>
        <w:t xml:space="preserve"> </w:t>
      </w:r>
      <w:r w:rsidR="00F84D31" w:rsidRPr="0092267B">
        <w:rPr>
          <w:lang w:val="en-GB"/>
        </w:rPr>
        <w:t>before</w:t>
      </w:r>
      <w:r w:rsidR="00F84D31" w:rsidRPr="00775A24">
        <w:rPr>
          <w:lang w:val="en-GB"/>
        </w:rPr>
        <w:t xml:space="preserve"> </w:t>
      </w:r>
      <w:r w:rsidRPr="00775A24">
        <w:rPr>
          <w:lang w:val="en-GB"/>
        </w:rPr>
        <w:t>the Migration Court</w:t>
      </w:r>
      <w:r w:rsidR="00A547F0" w:rsidRPr="0092267B">
        <w:rPr>
          <w:lang w:val="en-GB"/>
        </w:rPr>
        <w:t xml:space="preserve"> of Appeal</w:t>
      </w:r>
      <w:r w:rsidRPr="00775A24">
        <w:rPr>
          <w:lang w:val="en-GB"/>
        </w:rPr>
        <w:t xml:space="preserve">. </w:t>
      </w:r>
      <w:r w:rsidR="00FE2F5F" w:rsidRPr="0092267B">
        <w:rPr>
          <w:lang w:val="en-GB"/>
        </w:rPr>
        <w:t xml:space="preserve">On </w:t>
      </w:r>
      <w:r w:rsidR="00B771A8" w:rsidRPr="00775A24">
        <w:rPr>
          <w:lang w:val="en-GB"/>
        </w:rPr>
        <w:t>8 June 2012,</w:t>
      </w:r>
      <w:r w:rsidR="00FE2F5F" w:rsidRPr="00775A24">
        <w:rPr>
          <w:lang w:val="en-GB"/>
        </w:rPr>
        <w:t xml:space="preserve"> t</w:t>
      </w:r>
      <w:r w:rsidRPr="00775A24">
        <w:rPr>
          <w:lang w:val="en-GB"/>
        </w:rPr>
        <w:t>he Migration</w:t>
      </w:r>
      <w:r w:rsidR="00A547F0" w:rsidRPr="0092267B">
        <w:rPr>
          <w:lang w:val="en-GB"/>
        </w:rPr>
        <w:t xml:space="preserve"> Court of Appeal</w:t>
      </w:r>
      <w:r w:rsidR="00F84D31" w:rsidRPr="00775A24">
        <w:rPr>
          <w:lang w:val="en-GB"/>
        </w:rPr>
        <w:t xml:space="preserve"> </w:t>
      </w:r>
      <w:r w:rsidRPr="00775A24">
        <w:rPr>
          <w:lang w:val="en-GB"/>
        </w:rPr>
        <w:t>found</w:t>
      </w:r>
      <w:r w:rsidR="00F84D31" w:rsidRPr="0092267B">
        <w:rPr>
          <w:lang w:val="en-GB"/>
        </w:rPr>
        <w:t>,</w:t>
      </w:r>
      <w:r w:rsidR="00F84D31" w:rsidRPr="00775A24">
        <w:rPr>
          <w:lang w:val="en-GB"/>
        </w:rPr>
        <w:t xml:space="preserve"> however,</w:t>
      </w:r>
      <w:r w:rsidRPr="00775A24">
        <w:rPr>
          <w:lang w:val="en-GB"/>
        </w:rPr>
        <w:t xml:space="preserve"> that this case did not </w:t>
      </w:r>
      <w:r w:rsidR="009B5CBB" w:rsidRPr="0092267B">
        <w:rPr>
          <w:lang w:val="en-GB"/>
        </w:rPr>
        <w:t xml:space="preserve">present </w:t>
      </w:r>
      <w:r w:rsidRPr="00775A24">
        <w:rPr>
          <w:lang w:val="en-GB"/>
        </w:rPr>
        <w:t>such an interest</w:t>
      </w:r>
      <w:r w:rsidR="00A547F0" w:rsidRPr="0092267B">
        <w:rPr>
          <w:lang w:val="en-GB"/>
        </w:rPr>
        <w:t xml:space="preserve"> and rejected </w:t>
      </w:r>
      <w:r w:rsidR="009B5CBB" w:rsidRPr="00775A24">
        <w:rPr>
          <w:lang w:val="en-GB"/>
        </w:rPr>
        <w:t>the</w:t>
      </w:r>
      <w:r w:rsidRPr="00775A24">
        <w:rPr>
          <w:lang w:val="en-GB"/>
        </w:rPr>
        <w:t xml:space="preserve"> application </w:t>
      </w:r>
      <w:r w:rsidR="00970364" w:rsidRPr="0092267B">
        <w:rPr>
          <w:lang w:val="en-GB"/>
        </w:rPr>
        <w:t xml:space="preserve">for leave </w:t>
      </w:r>
      <w:r w:rsidR="00970364" w:rsidRPr="00775A24">
        <w:rPr>
          <w:lang w:val="en-GB"/>
        </w:rPr>
        <w:t>to appeal</w:t>
      </w:r>
      <w:r w:rsidR="00FE2F5F" w:rsidRPr="00775A24">
        <w:rPr>
          <w:lang w:val="en-GB"/>
        </w:rPr>
        <w:t>.</w:t>
      </w:r>
    </w:p>
    <w:p w14:paraId="3BD18D4F" w14:textId="77777777" w:rsidR="00BB6FB0" w:rsidRPr="00775A24" w:rsidRDefault="00BB6FB0">
      <w:pPr>
        <w:pStyle w:val="SingleTxtG"/>
        <w:spacing w:line="240" w:lineRule="exact"/>
        <w:rPr>
          <w:lang w:val="en-GB"/>
        </w:rPr>
      </w:pPr>
      <w:r w:rsidRPr="00775A24">
        <w:rPr>
          <w:lang w:val="en-GB"/>
        </w:rPr>
        <w:t>2.6</w:t>
      </w:r>
      <w:r w:rsidRPr="00775A24">
        <w:rPr>
          <w:lang w:val="en-GB"/>
        </w:rPr>
        <w:tab/>
      </w:r>
      <w:r w:rsidR="00FE2F5F" w:rsidRPr="0092267B">
        <w:rPr>
          <w:lang w:val="en-GB"/>
        </w:rPr>
        <w:t xml:space="preserve">On </w:t>
      </w:r>
      <w:r w:rsidR="00B771A8" w:rsidRPr="00775A24">
        <w:rPr>
          <w:lang w:val="en-GB"/>
        </w:rPr>
        <w:t>an unspecified date</w:t>
      </w:r>
      <w:r w:rsidR="00FE2F5F" w:rsidRPr="00775A24">
        <w:rPr>
          <w:lang w:val="en-GB"/>
        </w:rPr>
        <w:t>, t</w:t>
      </w:r>
      <w:r w:rsidRPr="00775A24">
        <w:rPr>
          <w:lang w:val="en-GB"/>
        </w:rPr>
        <w:t xml:space="preserve">he complainants applied to the Migration Board for reconsideration of their case based on new circumstances. The second complainant stated that her asylum application had been considered on the basis of the alleged abuse suffered and not on the ground that she had </w:t>
      </w:r>
      <w:r w:rsidR="00FF4CC4" w:rsidRPr="0092267B">
        <w:rPr>
          <w:lang w:val="en-GB"/>
        </w:rPr>
        <w:t xml:space="preserve">allegedly </w:t>
      </w:r>
      <w:r w:rsidRPr="00775A24">
        <w:rPr>
          <w:lang w:val="en-GB"/>
        </w:rPr>
        <w:t xml:space="preserve">been tortured. She </w:t>
      </w:r>
      <w:r w:rsidR="0010426C" w:rsidRPr="00775A24">
        <w:rPr>
          <w:lang w:val="en-GB"/>
        </w:rPr>
        <w:t xml:space="preserve">was </w:t>
      </w:r>
      <w:r w:rsidRPr="00775A24">
        <w:rPr>
          <w:lang w:val="en-GB"/>
        </w:rPr>
        <w:t xml:space="preserve">not </w:t>
      </w:r>
      <w:r w:rsidR="0010426C" w:rsidRPr="00775A24">
        <w:rPr>
          <w:lang w:val="en-GB"/>
        </w:rPr>
        <w:t>able to</w:t>
      </w:r>
      <w:r w:rsidR="00F84D31" w:rsidRPr="00775A24">
        <w:rPr>
          <w:lang w:val="en-GB"/>
        </w:rPr>
        <w:t xml:space="preserve"> </w:t>
      </w:r>
      <w:r w:rsidRPr="00775A24">
        <w:rPr>
          <w:lang w:val="en-GB"/>
        </w:rPr>
        <w:t xml:space="preserve">read the </w:t>
      </w:r>
      <w:r w:rsidR="00FE2F5F" w:rsidRPr="0092267B">
        <w:rPr>
          <w:lang w:val="en-GB"/>
        </w:rPr>
        <w:t>interview record</w:t>
      </w:r>
      <w:r w:rsidRPr="00775A24">
        <w:rPr>
          <w:lang w:val="en-GB"/>
        </w:rPr>
        <w:t xml:space="preserve">, because it was written in Swedish. She had relied upon the Swedish authorities and believed that the Swedish authorities had assessed her allegations of torture. The complainants also claimed to have received a number of new calls from </w:t>
      </w:r>
      <w:r w:rsidR="00FE2F5F" w:rsidRPr="0092267B">
        <w:rPr>
          <w:lang w:val="en-GB"/>
        </w:rPr>
        <w:t xml:space="preserve">the </w:t>
      </w:r>
      <w:r w:rsidRPr="00775A24">
        <w:rPr>
          <w:lang w:val="en-GB"/>
        </w:rPr>
        <w:t xml:space="preserve">Minsk police </w:t>
      </w:r>
      <w:r w:rsidR="00FE2F5F" w:rsidRPr="0092267B">
        <w:rPr>
          <w:lang w:val="en-GB"/>
        </w:rPr>
        <w:t>in the meantime</w:t>
      </w:r>
      <w:r w:rsidRPr="00775A24">
        <w:rPr>
          <w:lang w:val="en-GB"/>
        </w:rPr>
        <w:t xml:space="preserve"> and referred to the general situation in Belarus as regard</w:t>
      </w:r>
      <w:r w:rsidR="00A9063E" w:rsidRPr="00775A24">
        <w:rPr>
          <w:lang w:val="en-GB"/>
        </w:rPr>
        <w:t>ed</w:t>
      </w:r>
      <w:r w:rsidRPr="00775A24">
        <w:rPr>
          <w:lang w:val="en-GB"/>
        </w:rPr>
        <w:t xml:space="preserve"> human rights </w:t>
      </w:r>
      <w:r w:rsidR="00FE2F5F" w:rsidRPr="0092267B">
        <w:rPr>
          <w:lang w:val="en-GB"/>
        </w:rPr>
        <w:t xml:space="preserve">abuses </w:t>
      </w:r>
      <w:r w:rsidRPr="00775A24">
        <w:rPr>
          <w:lang w:val="en-GB"/>
        </w:rPr>
        <w:t xml:space="preserve">by the police. </w:t>
      </w:r>
      <w:r w:rsidR="00FE2F5F" w:rsidRPr="0092267B">
        <w:rPr>
          <w:lang w:val="en-GB"/>
        </w:rPr>
        <w:t>On 8 September 2012, t</w:t>
      </w:r>
      <w:r w:rsidRPr="00775A24">
        <w:rPr>
          <w:lang w:val="en-GB"/>
        </w:rPr>
        <w:t xml:space="preserve">he Migration Board rejected the application on the ground that only new circumstances could be taken into consideration. The Board considered that the elements put forward had already been taken into consideration </w:t>
      </w:r>
      <w:r w:rsidR="0010426C" w:rsidRPr="00775A24">
        <w:rPr>
          <w:lang w:val="en-GB"/>
        </w:rPr>
        <w:t xml:space="preserve">during </w:t>
      </w:r>
      <w:r w:rsidRPr="00775A24">
        <w:rPr>
          <w:lang w:val="en-GB"/>
        </w:rPr>
        <w:t xml:space="preserve">the previous </w:t>
      </w:r>
      <w:r w:rsidR="00780FA2" w:rsidRPr="00775A24">
        <w:rPr>
          <w:lang w:val="en-GB"/>
        </w:rPr>
        <w:t>proceedings</w:t>
      </w:r>
      <w:r w:rsidRPr="00775A24">
        <w:rPr>
          <w:lang w:val="en-GB"/>
        </w:rPr>
        <w:t>. At the same time, the Migration Board noted that no information was given during the first</w:t>
      </w:r>
      <w:r w:rsidR="00780FA2" w:rsidRPr="00775A24">
        <w:rPr>
          <w:lang w:val="en-GB"/>
        </w:rPr>
        <w:t xml:space="preserve"> set of</w:t>
      </w:r>
      <w:r w:rsidRPr="00775A24">
        <w:rPr>
          <w:lang w:val="en-GB"/>
        </w:rPr>
        <w:t xml:space="preserve"> </w:t>
      </w:r>
      <w:r w:rsidR="00780FA2" w:rsidRPr="00775A24">
        <w:rPr>
          <w:lang w:val="en-GB"/>
        </w:rPr>
        <w:t xml:space="preserve">proceedings </w:t>
      </w:r>
      <w:r w:rsidRPr="00775A24">
        <w:rPr>
          <w:lang w:val="en-GB"/>
        </w:rPr>
        <w:t xml:space="preserve">with regard to the first complainant’s alleged torture. In the absence of new circumstances, the Board concluded that there was no reason to re-examine the asylum application. </w:t>
      </w:r>
    </w:p>
    <w:p w14:paraId="7126F17A" w14:textId="77777777" w:rsidR="00BB6FB0" w:rsidRPr="00775A24" w:rsidRDefault="00BB6FB0" w:rsidP="00775A24">
      <w:pPr>
        <w:pStyle w:val="SingleTxtG"/>
        <w:rPr>
          <w:lang w:val="en-GB"/>
        </w:rPr>
      </w:pPr>
      <w:r w:rsidRPr="00775A24">
        <w:rPr>
          <w:lang w:val="en-GB"/>
        </w:rPr>
        <w:t>2.7</w:t>
      </w:r>
      <w:r w:rsidRPr="00775A24">
        <w:rPr>
          <w:lang w:val="en-GB"/>
        </w:rPr>
        <w:tab/>
      </w:r>
      <w:r w:rsidR="00FE2F5F" w:rsidRPr="0092267B">
        <w:rPr>
          <w:lang w:val="en-GB"/>
        </w:rPr>
        <w:t xml:space="preserve">On </w:t>
      </w:r>
      <w:r w:rsidR="00B771A8" w:rsidRPr="00775A24">
        <w:rPr>
          <w:lang w:val="en-GB"/>
        </w:rPr>
        <w:t>an unspecified date</w:t>
      </w:r>
      <w:r w:rsidR="00FF4CC4" w:rsidRPr="00775A24">
        <w:rPr>
          <w:lang w:val="en-GB"/>
        </w:rPr>
        <w:t>,</w:t>
      </w:r>
      <w:r w:rsidR="00FE2F5F" w:rsidRPr="00775A24">
        <w:rPr>
          <w:lang w:val="en-GB"/>
        </w:rPr>
        <w:t xml:space="preserve"> t</w:t>
      </w:r>
      <w:r w:rsidRPr="00775A24">
        <w:rPr>
          <w:lang w:val="en-GB"/>
        </w:rPr>
        <w:t xml:space="preserve">he complainants submitted a new application to the Migration Board for reconsideration of their case because of new circumstances, based on a forensic </w:t>
      </w:r>
      <w:r w:rsidR="0010426C" w:rsidRPr="00775A24">
        <w:rPr>
          <w:lang w:val="en-GB"/>
        </w:rPr>
        <w:t xml:space="preserve">report </w:t>
      </w:r>
      <w:r w:rsidR="00210197" w:rsidRPr="00775A24">
        <w:rPr>
          <w:lang w:val="en-GB"/>
        </w:rPr>
        <w:t>issued on</w:t>
      </w:r>
      <w:r w:rsidRPr="00775A24">
        <w:rPr>
          <w:lang w:val="en-GB"/>
        </w:rPr>
        <w:t xml:space="preserve"> 8 October 2012</w:t>
      </w:r>
      <w:r w:rsidR="00E84DF8" w:rsidRPr="0092267B">
        <w:rPr>
          <w:lang w:val="en-GB"/>
        </w:rPr>
        <w:t>.</w:t>
      </w:r>
      <w:r w:rsidR="00E84DF8" w:rsidRPr="00775A24">
        <w:rPr>
          <w:lang w:val="en-GB"/>
        </w:rPr>
        <w:t xml:space="preserve"> </w:t>
      </w:r>
      <w:r w:rsidR="00FE2F5F" w:rsidRPr="00775A24">
        <w:rPr>
          <w:lang w:val="en-GB"/>
        </w:rPr>
        <w:t xml:space="preserve">According to the </w:t>
      </w:r>
      <w:r w:rsidR="0010426C" w:rsidRPr="00775A24">
        <w:rPr>
          <w:lang w:val="en-GB"/>
        </w:rPr>
        <w:t>report</w:t>
      </w:r>
      <w:r w:rsidR="00FE2F5F" w:rsidRPr="00775A24">
        <w:rPr>
          <w:lang w:val="en-GB"/>
        </w:rPr>
        <w:t xml:space="preserve">, issued by </w:t>
      </w:r>
      <w:r w:rsidR="00B771A8" w:rsidRPr="00775A24">
        <w:rPr>
          <w:lang w:val="en-GB"/>
        </w:rPr>
        <w:t>Professor E</w:t>
      </w:r>
      <w:r w:rsidR="00181E3D" w:rsidRPr="00775A24">
        <w:rPr>
          <w:lang w:val="en-GB"/>
        </w:rPr>
        <w:t>.</w:t>
      </w:r>
      <w:r w:rsidR="00B771A8" w:rsidRPr="00775A24">
        <w:rPr>
          <w:lang w:val="en-GB"/>
        </w:rPr>
        <w:t>E</w:t>
      </w:r>
      <w:r w:rsidR="00181E3D" w:rsidRPr="00775A24">
        <w:rPr>
          <w:lang w:val="en-GB"/>
        </w:rPr>
        <w:t xml:space="preserve">., </w:t>
      </w:r>
      <w:r w:rsidR="00210197" w:rsidRPr="00775A24">
        <w:rPr>
          <w:lang w:val="en-GB"/>
        </w:rPr>
        <w:t>a forensic specialist at the Crisis and Trauma Centre</w:t>
      </w:r>
      <w:r w:rsidR="0010426C" w:rsidRPr="00775A24">
        <w:rPr>
          <w:lang w:val="en-GB"/>
        </w:rPr>
        <w:t>,</w:t>
      </w:r>
      <w:r w:rsidR="00FE2F5F" w:rsidRPr="00775A24">
        <w:rPr>
          <w:lang w:val="en-GB"/>
        </w:rPr>
        <w:t xml:space="preserve"> </w:t>
      </w:r>
      <w:r w:rsidRPr="00775A24">
        <w:rPr>
          <w:lang w:val="en-GB"/>
        </w:rPr>
        <w:t xml:space="preserve">what was discovered during the physical examination of the second complainant gives evidence of torture in the way </w:t>
      </w:r>
      <w:r w:rsidR="00E84DF8" w:rsidRPr="0092267B">
        <w:rPr>
          <w:lang w:val="en-GB"/>
        </w:rPr>
        <w:t>she</w:t>
      </w:r>
      <w:r w:rsidRPr="00775A24">
        <w:rPr>
          <w:lang w:val="en-GB"/>
        </w:rPr>
        <w:t xml:space="preserve"> </w:t>
      </w:r>
      <w:r w:rsidR="00FE2F5F" w:rsidRPr="0092267B">
        <w:rPr>
          <w:lang w:val="en-GB"/>
        </w:rPr>
        <w:t xml:space="preserve">described </w:t>
      </w:r>
      <w:r w:rsidRPr="00775A24">
        <w:rPr>
          <w:lang w:val="en-GB"/>
        </w:rPr>
        <w:t xml:space="preserve">it. The second complainant </w:t>
      </w:r>
      <w:r w:rsidR="00E84DF8" w:rsidRPr="0092267B">
        <w:rPr>
          <w:lang w:val="en-GB"/>
        </w:rPr>
        <w:t xml:space="preserve">maintained </w:t>
      </w:r>
      <w:r w:rsidRPr="00775A24">
        <w:rPr>
          <w:lang w:val="en-GB"/>
        </w:rPr>
        <w:t>that</w:t>
      </w:r>
      <w:r w:rsidR="00FF4CC4" w:rsidRPr="00775A24">
        <w:rPr>
          <w:lang w:val="en-GB"/>
        </w:rPr>
        <w:t>,</w:t>
      </w:r>
      <w:r w:rsidRPr="00775A24">
        <w:rPr>
          <w:lang w:val="en-GB"/>
        </w:rPr>
        <w:t xml:space="preserve"> in 2006</w:t>
      </w:r>
      <w:r w:rsidR="00FF4CC4" w:rsidRPr="00775A24">
        <w:rPr>
          <w:lang w:val="en-GB"/>
        </w:rPr>
        <w:t>,</w:t>
      </w:r>
      <w:r w:rsidRPr="00775A24">
        <w:rPr>
          <w:lang w:val="en-GB"/>
        </w:rPr>
        <w:t xml:space="preserve"> she was forced by a police officer to sign a </w:t>
      </w:r>
      <w:r w:rsidR="00FF4CC4" w:rsidRPr="00775A24">
        <w:rPr>
          <w:lang w:val="en-GB"/>
        </w:rPr>
        <w:t xml:space="preserve">statement </w:t>
      </w:r>
      <w:r w:rsidRPr="00775A24">
        <w:rPr>
          <w:lang w:val="en-GB"/>
        </w:rPr>
        <w:t xml:space="preserve">discrediting </w:t>
      </w:r>
      <w:r w:rsidR="00E84DF8" w:rsidRPr="0092267B">
        <w:rPr>
          <w:lang w:val="en-GB"/>
        </w:rPr>
        <w:t xml:space="preserve">the </w:t>
      </w:r>
      <w:r w:rsidRPr="00775A24">
        <w:rPr>
          <w:lang w:val="en-GB"/>
        </w:rPr>
        <w:t xml:space="preserve">former </w:t>
      </w:r>
      <w:r w:rsidR="0010426C" w:rsidRPr="0092267B">
        <w:rPr>
          <w:lang w:val="en-GB"/>
        </w:rPr>
        <w:t>p</w:t>
      </w:r>
      <w:r w:rsidR="00E84DF8" w:rsidRPr="00775A24">
        <w:rPr>
          <w:lang w:val="en-GB"/>
        </w:rPr>
        <w:t>resident</w:t>
      </w:r>
      <w:r w:rsidR="0010426C" w:rsidRPr="00775A24">
        <w:rPr>
          <w:lang w:val="en-GB"/>
        </w:rPr>
        <w:t>ial</w:t>
      </w:r>
      <w:r w:rsidR="00E84DF8" w:rsidRPr="00775A24">
        <w:rPr>
          <w:lang w:val="en-GB"/>
        </w:rPr>
        <w:t xml:space="preserve"> </w:t>
      </w:r>
      <w:r w:rsidRPr="00775A24">
        <w:rPr>
          <w:lang w:val="en-GB"/>
        </w:rPr>
        <w:t xml:space="preserve">candidate </w:t>
      </w:r>
      <w:r w:rsidR="0010426C" w:rsidRPr="00775A24">
        <w:rPr>
          <w:lang w:val="en-GB"/>
        </w:rPr>
        <w:t xml:space="preserve">Mr. </w:t>
      </w:r>
      <w:r w:rsidRPr="00775A24">
        <w:rPr>
          <w:lang w:val="en-GB"/>
        </w:rPr>
        <w:t>Kozulin</w:t>
      </w:r>
      <w:r w:rsidR="00FF4CC4" w:rsidRPr="00775A24">
        <w:rPr>
          <w:lang w:val="en-GB"/>
        </w:rPr>
        <w:t xml:space="preserve"> and</w:t>
      </w:r>
      <w:r w:rsidRPr="00775A24">
        <w:rPr>
          <w:lang w:val="en-GB"/>
        </w:rPr>
        <w:t xml:space="preserve"> stating that she had received payment to demonstrate against the regime</w:t>
      </w:r>
      <w:r w:rsidR="00181E3D" w:rsidRPr="0092267B">
        <w:rPr>
          <w:lang w:val="en-GB"/>
        </w:rPr>
        <w:t xml:space="preserve"> in place</w:t>
      </w:r>
      <w:r w:rsidRPr="00775A24">
        <w:rPr>
          <w:lang w:val="en-GB"/>
        </w:rPr>
        <w:t xml:space="preserve">. </w:t>
      </w:r>
      <w:r w:rsidR="00FF4CC4" w:rsidRPr="00775A24">
        <w:rPr>
          <w:lang w:val="en-GB"/>
        </w:rPr>
        <w:t>When she</w:t>
      </w:r>
      <w:r w:rsidR="00E84DF8" w:rsidRPr="00775A24">
        <w:rPr>
          <w:lang w:val="en-GB"/>
        </w:rPr>
        <w:t xml:space="preserve"> </w:t>
      </w:r>
      <w:r w:rsidRPr="00775A24">
        <w:rPr>
          <w:lang w:val="en-GB"/>
        </w:rPr>
        <w:t>refus</w:t>
      </w:r>
      <w:r w:rsidR="00FF4CC4" w:rsidRPr="0092267B">
        <w:rPr>
          <w:lang w:val="en-GB"/>
        </w:rPr>
        <w:t>ed</w:t>
      </w:r>
      <w:r w:rsidRPr="00775A24">
        <w:rPr>
          <w:lang w:val="en-GB"/>
        </w:rPr>
        <w:t xml:space="preserve"> to sign, she was beaten by a police officer who used a hot iron on her belly. </w:t>
      </w:r>
      <w:r w:rsidR="00FE2F5F" w:rsidRPr="0092267B">
        <w:rPr>
          <w:lang w:val="en-GB"/>
        </w:rPr>
        <w:t xml:space="preserve">When </w:t>
      </w:r>
      <w:r w:rsidR="00E84DF8" w:rsidRPr="00775A24">
        <w:rPr>
          <w:lang w:val="en-GB"/>
        </w:rPr>
        <w:t>she</w:t>
      </w:r>
      <w:r w:rsidRPr="00775A24">
        <w:rPr>
          <w:lang w:val="en-GB"/>
        </w:rPr>
        <w:t xml:space="preserve"> </w:t>
      </w:r>
      <w:r w:rsidR="0010426C" w:rsidRPr="0092267B">
        <w:rPr>
          <w:lang w:val="en-GB"/>
        </w:rPr>
        <w:t xml:space="preserve">finally </w:t>
      </w:r>
      <w:r w:rsidRPr="00775A24">
        <w:rPr>
          <w:lang w:val="en-GB"/>
        </w:rPr>
        <w:t>signed the confession</w:t>
      </w:r>
      <w:r w:rsidR="00FE2F5F" w:rsidRPr="0092267B">
        <w:rPr>
          <w:lang w:val="en-GB"/>
        </w:rPr>
        <w:t xml:space="preserve">, she </w:t>
      </w:r>
      <w:r w:rsidRPr="00775A24">
        <w:rPr>
          <w:lang w:val="en-GB"/>
        </w:rPr>
        <w:t>was</w:t>
      </w:r>
      <w:r w:rsidR="00E84DF8" w:rsidRPr="0092267B">
        <w:rPr>
          <w:lang w:val="en-GB"/>
        </w:rPr>
        <w:t xml:space="preserve"> </w:t>
      </w:r>
      <w:r w:rsidRPr="00775A24">
        <w:rPr>
          <w:lang w:val="en-GB"/>
        </w:rPr>
        <w:t>transferred to hospital</w:t>
      </w:r>
      <w:r w:rsidR="00E84DF8" w:rsidRPr="0092267B">
        <w:rPr>
          <w:lang w:val="en-GB"/>
        </w:rPr>
        <w:t xml:space="preserve"> as her </w:t>
      </w:r>
      <w:r w:rsidR="00E84DF8" w:rsidRPr="00775A24">
        <w:rPr>
          <w:lang w:val="en-GB"/>
        </w:rPr>
        <w:t xml:space="preserve">injuries were of </w:t>
      </w:r>
      <w:r w:rsidR="0010426C" w:rsidRPr="00775A24">
        <w:rPr>
          <w:lang w:val="en-GB"/>
        </w:rPr>
        <w:t xml:space="preserve">a </w:t>
      </w:r>
      <w:r w:rsidR="00E84DF8" w:rsidRPr="00775A24">
        <w:rPr>
          <w:lang w:val="en-GB"/>
        </w:rPr>
        <w:t>life-threat</w:t>
      </w:r>
      <w:r w:rsidR="00FF4CC4" w:rsidRPr="00775A24">
        <w:rPr>
          <w:lang w:val="en-GB"/>
        </w:rPr>
        <w:t>en</w:t>
      </w:r>
      <w:r w:rsidR="00E84DF8" w:rsidRPr="00775A24">
        <w:rPr>
          <w:lang w:val="en-GB"/>
        </w:rPr>
        <w:t xml:space="preserve">ing </w:t>
      </w:r>
      <w:r w:rsidR="0010426C" w:rsidRPr="00775A24">
        <w:rPr>
          <w:lang w:val="en-GB"/>
        </w:rPr>
        <w:t>nature</w:t>
      </w:r>
      <w:r w:rsidRPr="00775A24">
        <w:rPr>
          <w:lang w:val="en-GB"/>
        </w:rPr>
        <w:t xml:space="preserve">. The Migration Board rejected the appeal on 1 November 2012. It considered that no new circumstances had been invoked. With regard to the forensic report, the Board stated that it did not </w:t>
      </w:r>
      <w:r w:rsidR="0010426C" w:rsidRPr="00775A24">
        <w:rPr>
          <w:lang w:val="en-GB"/>
        </w:rPr>
        <w:t xml:space="preserve">put forward </w:t>
      </w:r>
      <w:r w:rsidRPr="00775A24">
        <w:rPr>
          <w:lang w:val="en-GB"/>
        </w:rPr>
        <w:t xml:space="preserve">new elements, since another medical report alleging the same facts had already been presented by the complainants in 2011. Furthermore, the Migration Court assessed the complainants’ statements as lacking credibility. The Court considered that the complainants had not been politically active to </w:t>
      </w:r>
      <w:r w:rsidRPr="00775A24">
        <w:rPr>
          <w:lang w:val="en-GB"/>
        </w:rPr>
        <w:lastRenderedPageBreak/>
        <w:t>the extent that it would justify the authorities</w:t>
      </w:r>
      <w:r w:rsidR="00631D66" w:rsidRPr="0092267B">
        <w:rPr>
          <w:lang w:val="en-GB"/>
        </w:rPr>
        <w:t>’</w:t>
      </w:r>
      <w:r w:rsidR="00A2703A" w:rsidRPr="00775A24">
        <w:rPr>
          <w:lang w:val="en-GB"/>
        </w:rPr>
        <w:t xml:space="preserve"> </w:t>
      </w:r>
      <w:r w:rsidRPr="00775A24">
        <w:rPr>
          <w:lang w:val="en-GB"/>
        </w:rPr>
        <w:t xml:space="preserve">alleged interest in them. Neither had they made </w:t>
      </w:r>
      <w:r w:rsidR="0010426C" w:rsidRPr="00775A24">
        <w:rPr>
          <w:lang w:val="en-GB"/>
        </w:rPr>
        <w:t xml:space="preserve">it seem </w:t>
      </w:r>
      <w:r w:rsidRPr="00775A24">
        <w:rPr>
          <w:lang w:val="en-GB"/>
        </w:rPr>
        <w:t xml:space="preserve">probable that they </w:t>
      </w:r>
      <w:r w:rsidR="00FF4CC4" w:rsidRPr="00775A24">
        <w:rPr>
          <w:lang w:val="en-GB"/>
        </w:rPr>
        <w:t>we</w:t>
      </w:r>
      <w:r w:rsidRPr="00775A24">
        <w:rPr>
          <w:lang w:val="en-GB"/>
        </w:rPr>
        <w:t xml:space="preserve">re sought by the authorities and therefore in danger of being prosecuted or punished. </w:t>
      </w:r>
    </w:p>
    <w:p w14:paraId="7E0AD718" w14:textId="77777777" w:rsidR="00276EB2" w:rsidRPr="00775A24" w:rsidRDefault="00CF732B" w:rsidP="00775A24">
      <w:pPr>
        <w:pStyle w:val="H23G"/>
        <w:rPr>
          <w:i/>
          <w:iCs/>
        </w:rPr>
      </w:pPr>
      <w:r w:rsidRPr="0092267B">
        <w:tab/>
      </w:r>
      <w:r w:rsidR="00151190" w:rsidRPr="00775A24">
        <w:tab/>
      </w:r>
      <w:r w:rsidR="00276EB2" w:rsidRPr="00775A24">
        <w:rPr>
          <w:b w:val="0"/>
          <w:i/>
          <w:iCs/>
        </w:rPr>
        <w:t xml:space="preserve">The </w:t>
      </w:r>
      <w:r w:rsidR="00A722C1" w:rsidRPr="00775A24">
        <w:rPr>
          <w:b w:val="0"/>
          <w:i/>
          <w:iCs/>
        </w:rPr>
        <w:t>c</w:t>
      </w:r>
      <w:r w:rsidR="00276EB2" w:rsidRPr="00775A24">
        <w:rPr>
          <w:b w:val="0"/>
          <w:i/>
          <w:iCs/>
        </w:rPr>
        <w:t>omplaint</w:t>
      </w:r>
    </w:p>
    <w:p w14:paraId="00EAA4A4" w14:textId="77777777" w:rsidR="005E2B27" w:rsidRPr="00775A24" w:rsidRDefault="005E2B27">
      <w:pPr>
        <w:pStyle w:val="SingleTxtG"/>
        <w:rPr>
          <w:lang w:val="en-GB"/>
        </w:rPr>
      </w:pPr>
      <w:r w:rsidRPr="0092267B">
        <w:rPr>
          <w:lang w:val="en-GB"/>
        </w:rPr>
        <w:t>3.</w:t>
      </w:r>
      <w:r w:rsidRPr="0092267B">
        <w:rPr>
          <w:lang w:val="en-GB"/>
        </w:rPr>
        <w:tab/>
        <w:t>The complainants claim that</w:t>
      </w:r>
      <w:r w:rsidR="00E863D2" w:rsidRPr="00775A24">
        <w:rPr>
          <w:lang w:val="en-GB"/>
        </w:rPr>
        <w:t>,</w:t>
      </w:r>
      <w:r w:rsidRPr="00775A24">
        <w:rPr>
          <w:lang w:val="en-GB"/>
        </w:rPr>
        <w:t xml:space="preserve"> by deporting them to Belarus, Sweden would violate their rights under article 3 of the Convention against Torture.</w:t>
      </w:r>
      <w:r w:rsidR="00631D66" w:rsidRPr="00775A24">
        <w:rPr>
          <w:lang w:val="en-GB"/>
        </w:rPr>
        <w:t xml:space="preserve"> They allege that they have disseminated information regarding the political situation in Belarus by means of flyers, orally </w:t>
      </w:r>
      <w:r w:rsidR="00E863D2" w:rsidRPr="00775A24">
        <w:rPr>
          <w:lang w:val="en-GB"/>
        </w:rPr>
        <w:t>and</w:t>
      </w:r>
      <w:r w:rsidR="00631D66" w:rsidRPr="00775A24">
        <w:rPr>
          <w:lang w:val="en-GB"/>
        </w:rPr>
        <w:t xml:space="preserve"> </w:t>
      </w:r>
      <w:r w:rsidR="00E863D2" w:rsidRPr="00775A24">
        <w:rPr>
          <w:lang w:val="en-GB"/>
        </w:rPr>
        <w:t>on the I</w:t>
      </w:r>
      <w:r w:rsidR="00631D66" w:rsidRPr="00775A24">
        <w:rPr>
          <w:lang w:val="en-GB"/>
        </w:rPr>
        <w:t>nternet. They have participated in several opposition demonstrations and</w:t>
      </w:r>
      <w:r w:rsidR="00E863D2" w:rsidRPr="00775A24">
        <w:rPr>
          <w:lang w:val="en-GB"/>
        </w:rPr>
        <w:t>,</w:t>
      </w:r>
      <w:r w:rsidR="00631D66" w:rsidRPr="00775A24">
        <w:rPr>
          <w:lang w:val="en-GB"/>
        </w:rPr>
        <w:t xml:space="preserve"> during one such demonstration</w:t>
      </w:r>
      <w:r w:rsidR="00E863D2" w:rsidRPr="00775A24">
        <w:rPr>
          <w:lang w:val="en-GB"/>
        </w:rPr>
        <w:t>,</w:t>
      </w:r>
      <w:r w:rsidR="00631D66" w:rsidRPr="00775A24">
        <w:rPr>
          <w:lang w:val="en-GB"/>
        </w:rPr>
        <w:t xml:space="preserve"> they were arrested and the second complainant was tortured. The complainants called for an anti-government protest before the 2010 </w:t>
      </w:r>
      <w:r w:rsidR="00E863D2" w:rsidRPr="00775A24">
        <w:rPr>
          <w:lang w:val="en-GB"/>
        </w:rPr>
        <w:t>p</w:t>
      </w:r>
      <w:r w:rsidR="00631D66" w:rsidRPr="00775A24">
        <w:rPr>
          <w:lang w:val="en-GB"/>
        </w:rPr>
        <w:t xml:space="preserve">residential elections and sought permission to participate in such protests. Furthermore, they contend that the Belarusian police continuously harass them by means of </w:t>
      </w:r>
      <w:r w:rsidR="00405135" w:rsidRPr="00775A24">
        <w:rPr>
          <w:lang w:val="en-GB"/>
        </w:rPr>
        <w:t xml:space="preserve">a </w:t>
      </w:r>
      <w:r w:rsidR="00631D66" w:rsidRPr="00775A24">
        <w:rPr>
          <w:lang w:val="en-GB"/>
        </w:rPr>
        <w:t xml:space="preserve">house search, threatening phone calls and </w:t>
      </w:r>
      <w:r w:rsidR="00780FA2" w:rsidRPr="00775A24">
        <w:rPr>
          <w:lang w:val="en-GB"/>
        </w:rPr>
        <w:t xml:space="preserve">summonses </w:t>
      </w:r>
      <w:r w:rsidR="00631D66" w:rsidRPr="00775A24">
        <w:rPr>
          <w:lang w:val="en-GB"/>
        </w:rPr>
        <w:t>by the Minsk police. Taking into account the existence of consistent patterns of gross, flagrant or mass violations of human rights in Belarus, the complainants claim there is a foreseeable, real and personal risk of them suffering torture, if they are expelled to Belarus.</w:t>
      </w:r>
      <w:r w:rsidR="00B43E1F" w:rsidRPr="00775A24">
        <w:rPr>
          <w:rStyle w:val="FootnoteReference"/>
          <w:lang w:val="en-GB"/>
        </w:rPr>
        <w:footnoteReference w:id="5"/>
      </w:r>
    </w:p>
    <w:p w14:paraId="44BAD0DD" w14:textId="77777777" w:rsidR="007A1B5B" w:rsidRPr="00775A24" w:rsidRDefault="009001D7" w:rsidP="00775A24">
      <w:pPr>
        <w:pStyle w:val="H23G"/>
      </w:pPr>
      <w:r w:rsidRPr="00775A24">
        <w:tab/>
      </w:r>
      <w:r w:rsidR="00151190" w:rsidRPr="00775A24">
        <w:tab/>
      </w:r>
      <w:r w:rsidR="004876DE" w:rsidRPr="00775A24">
        <w:t>State party’s observations on admissibility</w:t>
      </w:r>
      <w:r w:rsidR="00F8456D" w:rsidRPr="00775A24">
        <w:t xml:space="preserve"> and merits</w:t>
      </w:r>
    </w:p>
    <w:p w14:paraId="4DEB8B59" w14:textId="77777777" w:rsidR="00780FA2" w:rsidRPr="00775A24" w:rsidRDefault="00CF732B">
      <w:pPr>
        <w:pStyle w:val="SingleTxtG"/>
        <w:rPr>
          <w:lang w:val="en-GB"/>
        </w:rPr>
      </w:pPr>
      <w:r w:rsidRPr="00775A24">
        <w:rPr>
          <w:rStyle w:val="SingleTxtGChar"/>
          <w:lang w:val="en-GB"/>
        </w:rPr>
        <w:t>4.1</w:t>
      </w:r>
      <w:r w:rsidR="0010577B" w:rsidRPr="00775A24">
        <w:rPr>
          <w:rStyle w:val="SingleTxtGChar"/>
          <w:lang w:val="en-GB"/>
        </w:rPr>
        <w:t xml:space="preserve"> </w:t>
      </w:r>
      <w:r w:rsidRPr="00775A24">
        <w:rPr>
          <w:rStyle w:val="SingleTxtGChar"/>
          <w:lang w:val="en-GB"/>
        </w:rPr>
        <w:tab/>
      </w:r>
      <w:r w:rsidR="00371559" w:rsidRPr="0092267B">
        <w:rPr>
          <w:rStyle w:val="SingleTxtGChar"/>
          <w:lang w:val="en-GB"/>
        </w:rPr>
        <w:t>On</w:t>
      </w:r>
      <w:r w:rsidR="00F15875" w:rsidRPr="00775A24">
        <w:rPr>
          <w:rStyle w:val="SingleTxtGChar"/>
          <w:lang w:val="en-GB"/>
        </w:rPr>
        <w:t xml:space="preserve"> </w:t>
      </w:r>
      <w:r w:rsidR="005C3533" w:rsidRPr="00775A24">
        <w:rPr>
          <w:rStyle w:val="SingleTxtGChar"/>
          <w:lang w:val="en-GB"/>
        </w:rPr>
        <w:t>2</w:t>
      </w:r>
      <w:r w:rsidR="005E2B27" w:rsidRPr="0092267B">
        <w:rPr>
          <w:rStyle w:val="SingleTxtGChar"/>
          <w:lang w:val="en-GB"/>
        </w:rPr>
        <w:t>4 May</w:t>
      </w:r>
      <w:r w:rsidR="00A2703A" w:rsidRPr="0092267B">
        <w:rPr>
          <w:rStyle w:val="SingleTxtGChar"/>
          <w:lang w:val="en-GB"/>
        </w:rPr>
        <w:t xml:space="preserve"> </w:t>
      </w:r>
      <w:r w:rsidR="00F15875" w:rsidRPr="00775A24">
        <w:rPr>
          <w:rStyle w:val="SingleTxtGChar"/>
          <w:lang w:val="en-GB"/>
        </w:rPr>
        <w:t>201</w:t>
      </w:r>
      <w:r w:rsidR="00922C6C" w:rsidRPr="00775A24">
        <w:rPr>
          <w:rStyle w:val="SingleTxtGChar"/>
          <w:lang w:val="en-GB"/>
        </w:rPr>
        <w:t>3</w:t>
      </w:r>
      <w:r w:rsidR="00F15875" w:rsidRPr="00775A24">
        <w:rPr>
          <w:rStyle w:val="SingleTxtGChar"/>
          <w:lang w:val="en-GB"/>
        </w:rPr>
        <w:t>, the State party submit</w:t>
      </w:r>
      <w:r w:rsidR="00371559" w:rsidRPr="0092267B">
        <w:rPr>
          <w:rStyle w:val="SingleTxtGChar"/>
          <w:lang w:val="en-GB"/>
        </w:rPr>
        <w:t>s</w:t>
      </w:r>
      <w:r w:rsidR="00F15875" w:rsidRPr="00775A24">
        <w:rPr>
          <w:rStyle w:val="SingleTxtGChar"/>
          <w:lang w:val="en-GB"/>
        </w:rPr>
        <w:t xml:space="preserve"> its observations on the admissibility and merits</w:t>
      </w:r>
      <w:r w:rsidR="00F80836" w:rsidRPr="00775A24">
        <w:rPr>
          <w:rStyle w:val="SingleTxtGChar"/>
          <w:lang w:val="en-GB"/>
        </w:rPr>
        <w:t xml:space="preserve">. </w:t>
      </w:r>
      <w:r w:rsidR="00F80836" w:rsidRPr="00775A24">
        <w:rPr>
          <w:rStyle w:val="SingleTxtGChar"/>
          <w:rFonts w:eastAsia="SimSun"/>
          <w:lang w:val="en-GB"/>
        </w:rPr>
        <w:t xml:space="preserve">It recalls the facts of the case and </w:t>
      </w:r>
      <w:r w:rsidR="0010577B" w:rsidRPr="00775A24">
        <w:rPr>
          <w:rStyle w:val="SingleTxtGChar"/>
          <w:rFonts w:eastAsia="SimSun"/>
          <w:lang w:val="en-GB"/>
        </w:rPr>
        <w:t>notes that t</w:t>
      </w:r>
      <w:r w:rsidR="0010577B" w:rsidRPr="00775A24">
        <w:rPr>
          <w:lang w:val="en-GB"/>
        </w:rPr>
        <w:t xml:space="preserve">he </w:t>
      </w:r>
      <w:r w:rsidR="003A44D3" w:rsidRPr="0092267B">
        <w:rPr>
          <w:lang w:val="en-GB"/>
        </w:rPr>
        <w:t xml:space="preserve">first </w:t>
      </w:r>
      <w:r w:rsidR="003D6DE2" w:rsidRPr="00775A24">
        <w:rPr>
          <w:lang w:val="en-GB"/>
        </w:rPr>
        <w:t>complainant</w:t>
      </w:r>
      <w:r w:rsidR="003A44D3" w:rsidRPr="0092267B">
        <w:rPr>
          <w:lang w:val="en-GB"/>
        </w:rPr>
        <w:t xml:space="preserve"> came to </w:t>
      </w:r>
      <w:r w:rsidR="003D6DE2" w:rsidRPr="00775A24">
        <w:rPr>
          <w:lang w:val="en-GB"/>
        </w:rPr>
        <w:t xml:space="preserve">Sweden </w:t>
      </w:r>
      <w:r w:rsidR="003A44D3" w:rsidRPr="0092267B">
        <w:rPr>
          <w:lang w:val="en-GB"/>
        </w:rPr>
        <w:t xml:space="preserve">for the first time in March 2004 and </w:t>
      </w:r>
      <w:r w:rsidR="003D6DE2" w:rsidRPr="00775A24">
        <w:rPr>
          <w:lang w:val="en-GB"/>
        </w:rPr>
        <w:t xml:space="preserve">applied for asylum </w:t>
      </w:r>
      <w:r w:rsidR="003A44D3" w:rsidRPr="0092267B">
        <w:rPr>
          <w:lang w:val="en-GB"/>
        </w:rPr>
        <w:t xml:space="preserve">after being </w:t>
      </w:r>
      <w:r w:rsidR="00011DB2" w:rsidRPr="00775A24">
        <w:rPr>
          <w:lang w:val="en-GB"/>
        </w:rPr>
        <w:t xml:space="preserve">caught </w:t>
      </w:r>
      <w:r w:rsidR="003A44D3" w:rsidRPr="00775A24">
        <w:rPr>
          <w:lang w:val="en-GB"/>
        </w:rPr>
        <w:t xml:space="preserve">by the police. He did not have any </w:t>
      </w:r>
      <w:r w:rsidR="00011DB2" w:rsidRPr="00775A24">
        <w:rPr>
          <w:lang w:val="en-GB"/>
        </w:rPr>
        <w:t xml:space="preserve">identity </w:t>
      </w:r>
      <w:r w:rsidR="003A44D3" w:rsidRPr="00775A24">
        <w:rPr>
          <w:lang w:val="en-GB"/>
        </w:rPr>
        <w:t>documents and gave a false name, account of his background and reasons for his asylum application</w:t>
      </w:r>
      <w:r w:rsidR="00E863D2" w:rsidRPr="00775A24">
        <w:rPr>
          <w:lang w:val="en-GB"/>
        </w:rPr>
        <w:t>,</w:t>
      </w:r>
      <w:r w:rsidR="003A44D3" w:rsidRPr="00775A24">
        <w:rPr>
          <w:lang w:val="en-GB"/>
        </w:rPr>
        <w:t xml:space="preserve"> </w:t>
      </w:r>
      <w:r w:rsidR="00E863D2" w:rsidRPr="00775A24">
        <w:rPr>
          <w:lang w:val="en-GB"/>
        </w:rPr>
        <w:t xml:space="preserve">which </w:t>
      </w:r>
      <w:r w:rsidR="003A44D3" w:rsidRPr="00775A24">
        <w:rPr>
          <w:lang w:val="en-GB"/>
        </w:rPr>
        <w:t>have been confirmed to be false during the asylum proceedings.</w:t>
      </w:r>
      <w:r w:rsidR="003A44D3" w:rsidRPr="00775A24">
        <w:rPr>
          <w:rStyle w:val="FootnoteReference"/>
          <w:lang w:val="en-GB"/>
        </w:rPr>
        <w:footnoteReference w:id="6"/>
      </w:r>
      <w:r w:rsidR="003A44D3" w:rsidRPr="00775A24">
        <w:rPr>
          <w:lang w:val="en-GB"/>
        </w:rPr>
        <w:t xml:space="preserve"> According to the State party, he stated, </w:t>
      </w:r>
      <w:r w:rsidR="003A44D3" w:rsidRPr="00775A24">
        <w:rPr>
          <w:iCs/>
          <w:lang w:val="en-GB"/>
        </w:rPr>
        <w:t>inter alia</w:t>
      </w:r>
      <w:r w:rsidR="003A44D3" w:rsidRPr="0092267B">
        <w:rPr>
          <w:lang w:val="en-GB"/>
        </w:rPr>
        <w:t xml:space="preserve">, that he was under </w:t>
      </w:r>
      <w:r w:rsidR="00E863D2" w:rsidRPr="00775A24">
        <w:rPr>
          <w:lang w:val="en-GB"/>
        </w:rPr>
        <w:t xml:space="preserve">18 </w:t>
      </w:r>
      <w:r w:rsidR="003A44D3" w:rsidRPr="00775A24">
        <w:rPr>
          <w:lang w:val="en-GB"/>
        </w:rPr>
        <w:t>years of age and he had never been politically active in Belarus. The Migration Board rejected his asylum application and ordered his expulsion to Belarus</w:t>
      </w:r>
      <w:r w:rsidR="00011DB2" w:rsidRPr="00775A24">
        <w:rPr>
          <w:lang w:val="en-GB"/>
        </w:rPr>
        <w:t>,</w:t>
      </w:r>
      <w:r w:rsidR="003A44D3" w:rsidRPr="00775A24">
        <w:rPr>
          <w:lang w:val="en-GB"/>
        </w:rPr>
        <w:t xml:space="preserve"> which took place on 14 May 2005. Subsequently, the first and second complainants visited Sweden in 2009 on a visa valid from 20 August 2009 to 20 February 2010. They left Sweden in November 2009 and came back in February 2010 on a visa valid from 25 February 2010 to 25 February 2011. </w:t>
      </w:r>
    </w:p>
    <w:p w14:paraId="604DAB33" w14:textId="77777777" w:rsidR="00EE62C4" w:rsidRPr="00775A24" w:rsidRDefault="00EE62C4">
      <w:pPr>
        <w:pStyle w:val="SingleTxtG"/>
        <w:rPr>
          <w:lang w:val="en-GB"/>
        </w:rPr>
      </w:pPr>
      <w:r w:rsidRPr="00775A24">
        <w:rPr>
          <w:lang w:val="en-GB"/>
        </w:rPr>
        <w:t>4.2</w:t>
      </w:r>
      <w:r w:rsidRPr="00775A24">
        <w:rPr>
          <w:lang w:val="en-GB"/>
        </w:rPr>
        <w:tab/>
        <w:t>The State party further notes that</w:t>
      </w:r>
      <w:r w:rsidR="00AE2BBC" w:rsidRPr="00775A24">
        <w:rPr>
          <w:lang w:val="en-GB"/>
        </w:rPr>
        <w:t>,</w:t>
      </w:r>
      <w:r w:rsidRPr="00775A24">
        <w:rPr>
          <w:lang w:val="en-GB"/>
        </w:rPr>
        <w:t xml:space="preserve"> </w:t>
      </w:r>
      <w:r w:rsidR="00AE2BBC" w:rsidRPr="00775A24">
        <w:rPr>
          <w:lang w:val="en-GB"/>
        </w:rPr>
        <w:t>in accordance with</w:t>
      </w:r>
      <w:r w:rsidRPr="00775A24">
        <w:rPr>
          <w:lang w:val="en-GB"/>
        </w:rPr>
        <w:t xml:space="preserve"> article 22 </w:t>
      </w:r>
      <w:r w:rsidR="00E863D2" w:rsidRPr="00775A24">
        <w:rPr>
          <w:lang w:val="en-GB"/>
        </w:rPr>
        <w:t>(</w:t>
      </w:r>
      <w:r w:rsidRPr="00775A24">
        <w:rPr>
          <w:lang w:val="en-GB"/>
        </w:rPr>
        <w:t>5</w:t>
      </w:r>
      <w:r w:rsidR="00E863D2" w:rsidRPr="00775A24">
        <w:rPr>
          <w:lang w:val="en-GB"/>
        </w:rPr>
        <w:t>)</w:t>
      </w:r>
      <w:r w:rsidRPr="00775A24">
        <w:rPr>
          <w:lang w:val="en-GB"/>
        </w:rPr>
        <w:t xml:space="preserve"> (a) of the Convention, the Committee shall </w:t>
      </w:r>
      <w:r w:rsidRPr="00775A24">
        <w:rPr>
          <w:rStyle w:val="SingleTxtGChar"/>
          <w:lang w:val="en-GB"/>
        </w:rPr>
        <w:t>not</w:t>
      </w:r>
      <w:r w:rsidRPr="0092267B">
        <w:rPr>
          <w:lang w:val="en-GB"/>
        </w:rPr>
        <w:t xml:space="preserve"> consider any communication unless it has ascertained that the same matter has no</w:t>
      </w:r>
      <w:r w:rsidRPr="00775A24">
        <w:rPr>
          <w:lang w:val="en-GB"/>
        </w:rPr>
        <w:t xml:space="preserve">t been, and is not being, examined under another procedure of international investigation or settlement and notes that it is not aware whether the present case was or is subject to any other such investigation or settlement. </w:t>
      </w:r>
      <w:r w:rsidR="00AE2BBC" w:rsidRPr="00775A24">
        <w:rPr>
          <w:lang w:val="en-GB"/>
        </w:rPr>
        <w:t>T</w:t>
      </w:r>
      <w:r w:rsidRPr="00775A24">
        <w:rPr>
          <w:lang w:val="en-GB"/>
        </w:rPr>
        <w:t>he State party acknowledges that all available domestic remedies have been exhausted in the present case</w:t>
      </w:r>
      <w:r w:rsidR="00AE2BBC" w:rsidRPr="00775A24">
        <w:rPr>
          <w:lang w:val="en-GB"/>
        </w:rPr>
        <w:t>,</w:t>
      </w:r>
      <w:r w:rsidRPr="00775A24">
        <w:rPr>
          <w:lang w:val="en-GB"/>
        </w:rPr>
        <w:t xml:space="preserve"> as required </w:t>
      </w:r>
      <w:r w:rsidR="00AE2BBC" w:rsidRPr="00775A24">
        <w:rPr>
          <w:lang w:val="en-GB"/>
        </w:rPr>
        <w:t xml:space="preserve">in </w:t>
      </w:r>
      <w:r w:rsidRPr="00775A24">
        <w:rPr>
          <w:lang w:val="en-GB"/>
        </w:rPr>
        <w:t xml:space="preserve">article 22 </w:t>
      </w:r>
      <w:r w:rsidR="00E863D2" w:rsidRPr="00775A24">
        <w:rPr>
          <w:lang w:val="en-GB"/>
        </w:rPr>
        <w:t>(</w:t>
      </w:r>
      <w:r w:rsidRPr="00775A24">
        <w:rPr>
          <w:lang w:val="en-GB"/>
        </w:rPr>
        <w:t>5</w:t>
      </w:r>
      <w:r w:rsidR="00E863D2" w:rsidRPr="00775A24">
        <w:rPr>
          <w:lang w:val="en-GB"/>
        </w:rPr>
        <w:t>)</w:t>
      </w:r>
      <w:r w:rsidRPr="00775A24">
        <w:rPr>
          <w:lang w:val="en-GB"/>
        </w:rPr>
        <w:t xml:space="preserve"> (b) of the Convention. </w:t>
      </w:r>
    </w:p>
    <w:p w14:paraId="1EADA383" w14:textId="77777777" w:rsidR="003A33B6" w:rsidRPr="00775A24" w:rsidRDefault="00EE62C4">
      <w:pPr>
        <w:pStyle w:val="SingleTxtG"/>
        <w:rPr>
          <w:lang w:val="en-GB"/>
        </w:rPr>
      </w:pPr>
      <w:r w:rsidRPr="0092267B">
        <w:rPr>
          <w:lang w:val="en-GB"/>
        </w:rPr>
        <w:t>4.3</w:t>
      </w:r>
      <w:r w:rsidRPr="0092267B">
        <w:rPr>
          <w:lang w:val="en-GB"/>
        </w:rPr>
        <w:tab/>
      </w:r>
      <w:r w:rsidRPr="00775A24">
        <w:rPr>
          <w:lang w:val="en-GB"/>
        </w:rPr>
        <w:t xml:space="preserve">The State party further maintains that the complainants’ assertion that they are at risk of being treated in a manner that would amount to a breach of article 3 of the Convention if returned to Belarus fails to achieve the minimum level of substantiation </w:t>
      </w:r>
      <w:r w:rsidRPr="00775A24">
        <w:rPr>
          <w:lang w:val="en-GB"/>
        </w:rPr>
        <w:lastRenderedPageBreak/>
        <w:t xml:space="preserve">required for purposes of admissibility. According to the State party, the present communication is manifestly unfounded and thus inadmissible pursuant to article 22 </w:t>
      </w:r>
      <w:r w:rsidR="00E863D2" w:rsidRPr="00775A24">
        <w:rPr>
          <w:lang w:val="en-GB"/>
        </w:rPr>
        <w:t>(</w:t>
      </w:r>
      <w:r w:rsidRPr="00775A24">
        <w:rPr>
          <w:lang w:val="en-GB"/>
        </w:rPr>
        <w:t>2</w:t>
      </w:r>
      <w:r w:rsidR="00E863D2" w:rsidRPr="00775A24">
        <w:rPr>
          <w:lang w:val="en-GB"/>
        </w:rPr>
        <w:t>)</w:t>
      </w:r>
      <w:r w:rsidRPr="00775A24">
        <w:rPr>
          <w:lang w:val="en-GB"/>
        </w:rPr>
        <w:t xml:space="preserve"> of the Convention and rule 107 (b) of the Committee’s rules of procedure.</w:t>
      </w:r>
      <w:r w:rsidRPr="00775A24">
        <w:rPr>
          <w:vertAlign w:val="superscript"/>
          <w:lang w:val="en-GB"/>
        </w:rPr>
        <w:footnoteReference w:id="7"/>
      </w:r>
      <w:r w:rsidR="003A33B6" w:rsidRPr="00775A24">
        <w:rPr>
          <w:lang w:val="en-GB"/>
        </w:rPr>
        <w:t xml:space="preserve"> Should the Committee declare it admissible, the issue before the Committee would be whether the forced return of the complainants to </w:t>
      </w:r>
      <w:r w:rsidR="003A33B6" w:rsidRPr="0092267B">
        <w:rPr>
          <w:lang w:val="en-GB"/>
        </w:rPr>
        <w:t>Belarus</w:t>
      </w:r>
      <w:r w:rsidR="003A33B6" w:rsidRPr="00775A24">
        <w:rPr>
          <w:lang w:val="en-GB"/>
        </w:rPr>
        <w:t xml:space="preserve"> would violate the obligation of Sweden under article 3 of the Convention not to expel or return a person to another State where there are substantial grounds for believing that he or she would be in danger of being subjected to torture.</w:t>
      </w:r>
    </w:p>
    <w:p w14:paraId="0666A638" w14:textId="77777777" w:rsidR="00DC2079" w:rsidRPr="00775A24" w:rsidRDefault="00DC2079" w:rsidP="00CF732B">
      <w:pPr>
        <w:pStyle w:val="SingleTxtG"/>
        <w:rPr>
          <w:lang w:val="en-GB"/>
        </w:rPr>
      </w:pPr>
      <w:r w:rsidRPr="00775A24">
        <w:rPr>
          <w:lang w:val="en-GB"/>
        </w:rPr>
        <w:t>4.</w:t>
      </w:r>
      <w:r w:rsidR="00C162A4" w:rsidRPr="0092267B">
        <w:rPr>
          <w:lang w:val="en-GB"/>
        </w:rPr>
        <w:t>4</w:t>
      </w:r>
      <w:r w:rsidRPr="00775A24">
        <w:rPr>
          <w:lang w:val="en-GB"/>
        </w:rPr>
        <w:t xml:space="preserve"> </w:t>
      </w:r>
      <w:r w:rsidR="00CF732B" w:rsidRPr="0092267B">
        <w:rPr>
          <w:lang w:val="en-GB"/>
        </w:rPr>
        <w:tab/>
      </w:r>
      <w:r w:rsidRPr="00775A24">
        <w:rPr>
          <w:lang w:val="en-GB"/>
        </w:rPr>
        <w:t>The State party notes that</w:t>
      </w:r>
      <w:r w:rsidR="006F68FB" w:rsidRPr="00775A24">
        <w:rPr>
          <w:lang w:val="en-GB"/>
        </w:rPr>
        <w:t>,</w:t>
      </w:r>
      <w:r w:rsidRPr="00775A24">
        <w:rPr>
          <w:lang w:val="en-GB"/>
        </w:rPr>
        <w:t xml:space="preserve"> when determining whether the forced return of a person to another country would constitute a violation of article 3, the Committee must take into account all relevant considerations, including the existence of a consistent pattern of gross, flagrant or mass violations of human rights in that country. However, as the Committee has repeatedly emphasi</w:t>
      </w:r>
      <w:r w:rsidR="006F68FB" w:rsidRPr="00775A24">
        <w:rPr>
          <w:lang w:val="en-GB"/>
        </w:rPr>
        <w:t>z</w:t>
      </w:r>
      <w:r w:rsidRPr="00775A24">
        <w:rPr>
          <w:lang w:val="en-GB"/>
        </w:rPr>
        <w:t xml:space="preserve">ed, the aim of such a determination is to establish whether the individual concerned would be personally at risk of being subjected to torture in the country </w:t>
      </w:r>
      <w:r w:rsidR="00473471" w:rsidRPr="0092267B">
        <w:rPr>
          <w:lang w:val="en-GB"/>
        </w:rPr>
        <w:t>of</w:t>
      </w:r>
      <w:r w:rsidRPr="00775A24">
        <w:rPr>
          <w:lang w:val="en-GB"/>
        </w:rPr>
        <w:t xml:space="preserve"> return. The existence of a consistent pattern of gross, flagrant or mass violations of human rights in a country does not </w:t>
      </w:r>
      <w:r w:rsidR="00C162A4" w:rsidRPr="0092267B">
        <w:rPr>
          <w:lang w:val="en-GB"/>
        </w:rPr>
        <w:t>in itself</w:t>
      </w:r>
      <w:r w:rsidR="00A2703A" w:rsidRPr="0092267B">
        <w:rPr>
          <w:lang w:val="en-GB"/>
        </w:rPr>
        <w:t xml:space="preserve"> </w:t>
      </w:r>
      <w:r w:rsidRPr="00775A24">
        <w:rPr>
          <w:lang w:val="en-GB"/>
        </w:rPr>
        <w:t xml:space="preserve">constitute </w:t>
      </w:r>
      <w:r w:rsidR="00C162A4" w:rsidRPr="0092267B">
        <w:rPr>
          <w:lang w:val="en-GB"/>
        </w:rPr>
        <w:t xml:space="preserve">a </w:t>
      </w:r>
      <w:r w:rsidRPr="00775A24">
        <w:rPr>
          <w:lang w:val="en-GB"/>
        </w:rPr>
        <w:t xml:space="preserve">sufficient ground for determining that a particular person would be in danger of being subjected to torture </w:t>
      </w:r>
      <w:r w:rsidR="00473471" w:rsidRPr="0092267B">
        <w:rPr>
          <w:lang w:val="en-GB"/>
        </w:rPr>
        <w:t>there</w:t>
      </w:r>
      <w:r w:rsidRPr="00775A24">
        <w:rPr>
          <w:lang w:val="en-GB"/>
        </w:rPr>
        <w:t>. For a violation of article 3 to be established, additional grounds must exist showing that the individual concerned would be personally at risk.</w:t>
      </w:r>
      <w:r w:rsidR="00CF732B" w:rsidRPr="00775A24">
        <w:rPr>
          <w:rStyle w:val="FootnoteReference"/>
          <w:lang w:val="en-GB"/>
        </w:rPr>
        <w:footnoteReference w:id="8"/>
      </w:r>
      <w:r w:rsidRPr="00775A24">
        <w:rPr>
          <w:lang w:val="en-GB"/>
        </w:rPr>
        <w:t xml:space="preserve"> </w:t>
      </w:r>
    </w:p>
    <w:p w14:paraId="2B036CB7" w14:textId="77777777" w:rsidR="00DC2079" w:rsidRPr="00775A24" w:rsidRDefault="00DC2079" w:rsidP="00CF732B">
      <w:pPr>
        <w:pStyle w:val="SingleTxtG"/>
        <w:rPr>
          <w:rFonts w:eastAsia="Garamond"/>
          <w:lang w:val="en-GB"/>
        </w:rPr>
      </w:pPr>
      <w:r w:rsidRPr="00775A24">
        <w:rPr>
          <w:lang w:val="en-GB"/>
        </w:rPr>
        <w:t>4.</w:t>
      </w:r>
      <w:r w:rsidR="00C162A4" w:rsidRPr="0092267B">
        <w:rPr>
          <w:lang w:val="en-GB"/>
        </w:rPr>
        <w:t>5</w:t>
      </w:r>
      <w:r w:rsidRPr="00775A24">
        <w:rPr>
          <w:lang w:val="en-GB"/>
        </w:rPr>
        <w:t xml:space="preserve"> </w:t>
      </w:r>
      <w:r w:rsidR="00CF732B" w:rsidRPr="0092267B">
        <w:rPr>
          <w:lang w:val="en-GB"/>
        </w:rPr>
        <w:tab/>
      </w:r>
      <w:r w:rsidRPr="00775A24">
        <w:rPr>
          <w:lang w:val="en-GB"/>
        </w:rPr>
        <w:t xml:space="preserve">In </w:t>
      </w:r>
      <w:r w:rsidR="00473471" w:rsidRPr="0092267B">
        <w:rPr>
          <w:lang w:val="en-GB"/>
        </w:rPr>
        <w:t>this connection</w:t>
      </w:r>
      <w:r w:rsidRPr="00775A24">
        <w:rPr>
          <w:lang w:val="en-GB"/>
        </w:rPr>
        <w:t>, the State party notes that</w:t>
      </w:r>
      <w:r w:rsidR="003338EB" w:rsidRPr="00775A24">
        <w:rPr>
          <w:lang w:val="en-GB"/>
        </w:rPr>
        <w:t>,</w:t>
      </w:r>
      <w:r w:rsidRPr="00775A24">
        <w:rPr>
          <w:lang w:val="en-GB"/>
        </w:rPr>
        <w:t xml:space="preserve"> when determining whether the forced return of the complainant</w:t>
      </w:r>
      <w:r w:rsidR="00D54080" w:rsidRPr="00775A24">
        <w:rPr>
          <w:lang w:val="en-GB"/>
        </w:rPr>
        <w:t>s</w:t>
      </w:r>
      <w:r w:rsidRPr="00775A24">
        <w:rPr>
          <w:lang w:val="en-GB"/>
        </w:rPr>
        <w:t xml:space="preserve"> to </w:t>
      </w:r>
      <w:r w:rsidR="00C162A4" w:rsidRPr="0092267B">
        <w:rPr>
          <w:lang w:val="en-GB"/>
        </w:rPr>
        <w:t>Belarus</w:t>
      </w:r>
      <w:r w:rsidRPr="00775A24">
        <w:rPr>
          <w:lang w:val="en-GB"/>
        </w:rPr>
        <w:t xml:space="preserve"> would constitute a breach of article 3 of the Convention, the following considerations are relevant: (</w:t>
      </w:r>
      <w:r w:rsidR="006A792F" w:rsidRPr="00775A24">
        <w:rPr>
          <w:lang w:val="en-GB"/>
        </w:rPr>
        <w:t>a</w:t>
      </w:r>
      <w:r w:rsidRPr="00775A24">
        <w:rPr>
          <w:lang w:val="en-GB"/>
        </w:rPr>
        <w:t xml:space="preserve">) the general human rights situation in </w:t>
      </w:r>
      <w:r w:rsidR="00C162A4" w:rsidRPr="00537939">
        <w:rPr>
          <w:lang w:val="en-GB"/>
        </w:rPr>
        <w:t>Belarus</w:t>
      </w:r>
      <w:r w:rsidRPr="00775A24">
        <w:rPr>
          <w:lang w:val="en-GB"/>
        </w:rPr>
        <w:t xml:space="preserve"> and, in particular, (</w:t>
      </w:r>
      <w:r w:rsidR="006A792F" w:rsidRPr="00775A24">
        <w:rPr>
          <w:lang w:val="en-GB"/>
        </w:rPr>
        <w:t>b</w:t>
      </w:r>
      <w:r w:rsidRPr="00775A24">
        <w:rPr>
          <w:lang w:val="en-GB"/>
        </w:rPr>
        <w:t>) the personal risk of the complainant</w:t>
      </w:r>
      <w:r w:rsidR="00C162A4" w:rsidRPr="00537939">
        <w:rPr>
          <w:lang w:val="en-GB"/>
        </w:rPr>
        <w:t>s</w:t>
      </w:r>
      <w:r w:rsidRPr="00775A24">
        <w:rPr>
          <w:lang w:val="en-GB"/>
        </w:rPr>
        <w:t xml:space="preserve"> being subjected to torture there. </w:t>
      </w:r>
    </w:p>
    <w:p w14:paraId="3D6E6F10" w14:textId="77777777" w:rsidR="00DC2079" w:rsidRPr="00775A24" w:rsidRDefault="00DC2079" w:rsidP="00CF732B">
      <w:pPr>
        <w:pStyle w:val="SingleTxtG"/>
        <w:rPr>
          <w:rFonts w:eastAsia="Garamond"/>
          <w:lang w:val="en-GB"/>
        </w:rPr>
      </w:pPr>
      <w:r w:rsidRPr="00775A24">
        <w:rPr>
          <w:rFonts w:eastAsia="Garamond"/>
          <w:lang w:val="en-GB"/>
        </w:rPr>
        <w:t>4.</w:t>
      </w:r>
      <w:r w:rsidR="00980988" w:rsidRPr="00537939">
        <w:rPr>
          <w:rFonts w:eastAsia="Garamond"/>
          <w:lang w:val="en-GB"/>
        </w:rPr>
        <w:t>6</w:t>
      </w:r>
      <w:r w:rsidRPr="00775A24">
        <w:rPr>
          <w:rFonts w:eastAsia="Garamond"/>
          <w:lang w:val="en-GB"/>
        </w:rPr>
        <w:t xml:space="preserve"> </w:t>
      </w:r>
      <w:r w:rsidR="00CF732B" w:rsidRPr="00537939">
        <w:rPr>
          <w:rFonts w:eastAsia="Garamond"/>
          <w:lang w:val="en-GB"/>
        </w:rPr>
        <w:tab/>
      </w:r>
      <w:r w:rsidRPr="00775A24">
        <w:rPr>
          <w:rFonts w:eastAsia="Garamond"/>
          <w:lang w:val="en-GB"/>
        </w:rPr>
        <w:t>Furthermore, the State party recalls the Committee’s jurisprudence, according to which the burden of proof in cases like the present one rests with the complainant</w:t>
      </w:r>
      <w:r w:rsidR="00473471" w:rsidRPr="00537939">
        <w:rPr>
          <w:rFonts w:eastAsia="Garamond"/>
          <w:lang w:val="en-GB"/>
        </w:rPr>
        <w:t>s</w:t>
      </w:r>
      <w:r w:rsidRPr="00775A24">
        <w:rPr>
          <w:rFonts w:eastAsia="Garamond"/>
          <w:lang w:val="en-GB"/>
        </w:rPr>
        <w:t xml:space="preserve">, who must present an arguable case establishing that </w:t>
      </w:r>
      <w:r w:rsidR="00473471" w:rsidRPr="00537939">
        <w:rPr>
          <w:rFonts w:eastAsia="Garamond"/>
          <w:lang w:val="en-GB"/>
        </w:rPr>
        <w:t>t</w:t>
      </w:r>
      <w:r w:rsidRPr="00775A24">
        <w:rPr>
          <w:rFonts w:eastAsia="Garamond"/>
          <w:lang w:val="en-GB"/>
        </w:rPr>
        <w:t>he</w:t>
      </w:r>
      <w:r w:rsidR="00473471" w:rsidRPr="00537939">
        <w:rPr>
          <w:rFonts w:eastAsia="Garamond"/>
          <w:lang w:val="en-GB"/>
        </w:rPr>
        <w:t>y</w:t>
      </w:r>
      <w:r w:rsidRPr="00775A24">
        <w:rPr>
          <w:rFonts w:eastAsia="Garamond"/>
          <w:lang w:val="en-GB"/>
        </w:rPr>
        <w:t xml:space="preserve"> run a foreseeable, real and personal risk of being subjected to torture.</w:t>
      </w:r>
      <w:r w:rsidR="00CF732B" w:rsidRPr="00775A24">
        <w:rPr>
          <w:rStyle w:val="FootnoteReference"/>
          <w:rFonts w:eastAsia="Garamond"/>
          <w:lang w:val="en-GB"/>
        </w:rPr>
        <w:footnoteReference w:id="9"/>
      </w:r>
      <w:r w:rsidRPr="00775A24">
        <w:rPr>
          <w:rFonts w:eastAsia="Garamond"/>
          <w:lang w:val="en-GB"/>
        </w:rPr>
        <w:t xml:space="preserve"> In addition, the risk of torture must be assessed on grounds that go beyond mere theory or suspicion. Although the risk does not have to meet the test of being highly probable, it must be personal and present.</w:t>
      </w:r>
      <w:r w:rsidR="00D82A6A" w:rsidRPr="00775A24">
        <w:rPr>
          <w:rStyle w:val="FootnoteReference"/>
          <w:rFonts w:eastAsia="Garamond"/>
          <w:lang w:val="en-GB"/>
        </w:rPr>
        <w:footnoteReference w:id="10"/>
      </w:r>
    </w:p>
    <w:p w14:paraId="50A796B2" w14:textId="77777777" w:rsidR="008176C8" w:rsidRPr="00775A24" w:rsidRDefault="008176C8" w:rsidP="00B56C53">
      <w:pPr>
        <w:pStyle w:val="SingleTxtG"/>
        <w:rPr>
          <w:rFonts w:eastAsia="Garamond"/>
          <w:lang w:val="en-GB"/>
        </w:rPr>
      </w:pPr>
      <w:r w:rsidRPr="00775A24">
        <w:rPr>
          <w:lang w:val="en-GB"/>
        </w:rPr>
        <w:t>4.</w:t>
      </w:r>
      <w:r w:rsidR="00CB31AD" w:rsidRPr="00537939">
        <w:rPr>
          <w:lang w:val="en-GB"/>
        </w:rPr>
        <w:t>7</w:t>
      </w:r>
      <w:r w:rsidRPr="00775A24">
        <w:rPr>
          <w:lang w:val="en-GB"/>
        </w:rPr>
        <w:t xml:space="preserve"> </w:t>
      </w:r>
      <w:r w:rsidR="00D82A6A" w:rsidRPr="00775A24">
        <w:rPr>
          <w:lang w:val="en-GB"/>
        </w:rPr>
        <w:tab/>
      </w:r>
      <w:r w:rsidR="00DE011B" w:rsidRPr="00775A24">
        <w:rPr>
          <w:lang w:val="en-GB"/>
        </w:rPr>
        <w:t xml:space="preserve">Regarding </w:t>
      </w:r>
      <w:r w:rsidRPr="00775A24">
        <w:rPr>
          <w:rFonts w:eastAsia="Garamond"/>
          <w:lang w:val="en-GB"/>
        </w:rPr>
        <w:t>the g</w:t>
      </w:r>
      <w:r w:rsidRPr="00775A24">
        <w:rPr>
          <w:lang w:val="en-GB"/>
        </w:rPr>
        <w:t xml:space="preserve">eneral human rights situation in </w:t>
      </w:r>
      <w:r w:rsidR="005746EB" w:rsidRPr="00537939">
        <w:rPr>
          <w:lang w:val="en-GB"/>
        </w:rPr>
        <w:t>Belarus</w:t>
      </w:r>
      <w:r w:rsidRPr="00775A24">
        <w:rPr>
          <w:lang w:val="en-GB"/>
        </w:rPr>
        <w:t>, the State party notes that</w:t>
      </w:r>
      <w:r w:rsidR="006E36E9" w:rsidRPr="00775A24">
        <w:rPr>
          <w:lang w:val="en-GB"/>
        </w:rPr>
        <w:t>,</w:t>
      </w:r>
      <w:r w:rsidRPr="00775A24">
        <w:rPr>
          <w:lang w:val="en-GB"/>
        </w:rPr>
        <w:t xml:space="preserve"> given that </w:t>
      </w:r>
      <w:r w:rsidR="009B7F00" w:rsidRPr="00537939">
        <w:rPr>
          <w:lang w:val="en-GB"/>
        </w:rPr>
        <w:t>B</w:t>
      </w:r>
      <w:r w:rsidR="009B7F00" w:rsidRPr="00775A24">
        <w:rPr>
          <w:lang w:val="en-GB"/>
        </w:rPr>
        <w:t>elarus</w:t>
      </w:r>
      <w:r w:rsidRPr="00775A24">
        <w:rPr>
          <w:rFonts w:eastAsia="Garamond"/>
          <w:lang w:val="en-GB"/>
        </w:rPr>
        <w:t xml:space="preserve"> is a party to the Convention, as well as party to the International Covenant on Civil and Political Rights, it assumes that the Committee is well aware of the general human rights situation in that country, including the situation </w:t>
      </w:r>
      <w:r w:rsidR="009B7F00" w:rsidRPr="00537939">
        <w:rPr>
          <w:rFonts w:eastAsia="Garamond"/>
          <w:lang w:val="en-GB"/>
        </w:rPr>
        <w:t xml:space="preserve">for political opponents </w:t>
      </w:r>
      <w:r w:rsidR="009B7F00" w:rsidRPr="00775A24">
        <w:rPr>
          <w:rFonts w:eastAsia="Garamond"/>
          <w:lang w:val="en-GB"/>
        </w:rPr>
        <w:t>after the presidential election in December 2010</w:t>
      </w:r>
      <w:r w:rsidRPr="00775A24">
        <w:rPr>
          <w:rFonts w:eastAsia="Garamond"/>
          <w:lang w:val="en-GB"/>
        </w:rPr>
        <w:t xml:space="preserve">. In this regard, the State party therefore finds it sufficient to refer to the information regarding the human rights situation in </w:t>
      </w:r>
      <w:r w:rsidR="009B7F00" w:rsidRPr="00537939">
        <w:rPr>
          <w:rFonts w:eastAsia="Garamond"/>
          <w:lang w:val="en-GB"/>
        </w:rPr>
        <w:t>Belarus</w:t>
      </w:r>
      <w:r w:rsidRPr="00775A24">
        <w:rPr>
          <w:rFonts w:eastAsia="Garamond"/>
          <w:lang w:val="en-GB"/>
        </w:rPr>
        <w:t>, which can be found in recent reports</w:t>
      </w:r>
      <w:r w:rsidR="0012179B" w:rsidRPr="00775A24">
        <w:rPr>
          <w:rFonts w:eastAsia="Garamond"/>
          <w:lang w:val="en-GB"/>
        </w:rPr>
        <w:t>,</w:t>
      </w:r>
      <w:r w:rsidRPr="00775A24">
        <w:rPr>
          <w:rFonts w:eastAsia="Garamond"/>
          <w:lang w:val="en-GB"/>
        </w:rPr>
        <w:t xml:space="preserve"> such as </w:t>
      </w:r>
      <w:r w:rsidR="0012179B" w:rsidRPr="00775A24">
        <w:rPr>
          <w:rFonts w:eastAsia="Garamond"/>
          <w:lang w:val="en-GB"/>
        </w:rPr>
        <w:t xml:space="preserve">one by the </w:t>
      </w:r>
      <w:r w:rsidR="00CB31AD" w:rsidRPr="00537939">
        <w:rPr>
          <w:rFonts w:eastAsia="Garamond"/>
          <w:lang w:val="en-GB"/>
        </w:rPr>
        <w:t>Ministry f</w:t>
      </w:r>
      <w:r w:rsidR="00CB31AD" w:rsidRPr="00775A24">
        <w:rPr>
          <w:rFonts w:eastAsia="Garamond"/>
          <w:lang w:val="en-GB"/>
        </w:rPr>
        <w:t>or Foreign Affairs</w:t>
      </w:r>
      <w:r w:rsidR="0012179B" w:rsidRPr="00775A24">
        <w:rPr>
          <w:rFonts w:eastAsia="Garamond"/>
          <w:lang w:val="en-GB"/>
        </w:rPr>
        <w:t xml:space="preserve"> of</w:t>
      </w:r>
      <w:r w:rsidR="00CB31AD" w:rsidRPr="00775A24">
        <w:rPr>
          <w:rFonts w:eastAsia="Garamond"/>
          <w:lang w:val="en-GB"/>
        </w:rPr>
        <w:t xml:space="preserve"> Sweden</w:t>
      </w:r>
      <w:r w:rsidR="00CB31AD" w:rsidRPr="00775A24">
        <w:rPr>
          <w:rFonts w:eastAsia="Garamond"/>
          <w:vertAlign w:val="superscript"/>
          <w:lang w:val="en-GB"/>
        </w:rPr>
        <w:footnoteReference w:id="11"/>
      </w:r>
      <w:r w:rsidR="00CB31AD" w:rsidRPr="00775A24">
        <w:rPr>
          <w:rFonts w:eastAsia="Garamond"/>
          <w:lang w:val="en-GB"/>
        </w:rPr>
        <w:t xml:space="preserve"> and </w:t>
      </w:r>
      <w:r w:rsidR="00F35133" w:rsidRPr="00775A24">
        <w:rPr>
          <w:rFonts w:eastAsia="Garamond"/>
          <w:lang w:val="en-GB"/>
        </w:rPr>
        <w:t xml:space="preserve">the </w:t>
      </w:r>
      <w:r w:rsidR="00B56C53" w:rsidRPr="00775A24">
        <w:rPr>
          <w:rFonts w:eastAsia="Garamond"/>
          <w:lang w:val="en-GB"/>
        </w:rPr>
        <w:t xml:space="preserve">United States </w:t>
      </w:r>
      <w:r w:rsidRPr="00775A24">
        <w:rPr>
          <w:rFonts w:eastAsia="Garamond"/>
          <w:lang w:val="en-GB"/>
        </w:rPr>
        <w:t>Department of State</w:t>
      </w:r>
      <w:r w:rsidR="00132CF0" w:rsidRPr="00537939">
        <w:rPr>
          <w:rFonts w:eastAsia="Garamond"/>
          <w:lang w:val="en-GB"/>
        </w:rPr>
        <w:t xml:space="preserve"> </w:t>
      </w:r>
      <w:r w:rsidR="00B56C53" w:rsidRPr="00775A24">
        <w:rPr>
          <w:rFonts w:eastAsia="Garamond"/>
          <w:lang w:val="en-GB"/>
        </w:rPr>
        <w:t xml:space="preserve">country report on human rights </w:t>
      </w:r>
      <w:r w:rsidR="00B56C53" w:rsidRPr="00537939">
        <w:rPr>
          <w:rFonts w:eastAsia="Garamond"/>
          <w:lang w:val="en-GB"/>
        </w:rPr>
        <w:t>practices for 2012</w:t>
      </w:r>
      <w:r w:rsidR="00B56C53" w:rsidRPr="00775A24">
        <w:rPr>
          <w:rFonts w:eastAsia="Garamond"/>
          <w:lang w:val="en-GB"/>
        </w:rPr>
        <w:t xml:space="preserve"> on Belarus</w:t>
      </w:r>
      <w:r w:rsidR="00125860" w:rsidRPr="00775A24">
        <w:rPr>
          <w:rFonts w:eastAsia="Garamond"/>
          <w:lang w:val="en-GB"/>
        </w:rPr>
        <w:t>.</w:t>
      </w:r>
      <w:r w:rsidR="00EF4E96" w:rsidRPr="00775A24">
        <w:rPr>
          <w:rStyle w:val="FootnoteReference"/>
          <w:rFonts w:eastAsia="Garamond"/>
          <w:lang w:val="en-GB"/>
        </w:rPr>
        <w:footnoteReference w:id="12"/>
      </w:r>
      <w:r w:rsidRPr="00775A24">
        <w:rPr>
          <w:rFonts w:eastAsia="Garamond"/>
          <w:lang w:val="en-GB"/>
        </w:rPr>
        <w:t xml:space="preserve"> </w:t>
      </w:r>
    </w:p>
    <w:p w14:paraId="484D1B5B" w14:textId="77777777" w:rsidR="008176C8" w:rsidRPr="00775A24" w:rsidRDefault="00CC6F0B" w:rsidP="00D82A6A">
      <w:pPr>
        <w:pStyle w:val="SingleTxtG"/>
        <w:rPr>
          <w:rFonts w:eastAsia="Garamond"/>
          <w:lang w:val="en-GB"/>
        </w:rPr>
      </w:pPr>
      <w:r w:rsidRPr="00775A24">
        <w:rPr>
          <w:rFonts w:eastAsia="Garamond"/>
          <w:lang w:val="en-GB"/>
        </w:rPr>
        <w:lastRenderedPageBreak/>
        <w:t>4.</w:t>
      </w:r>
      <w:r w:rsidR="00BB7FF6" w:rsidRPr="00537939">
        <w:rPr>
          <w:rFonts w:eastAsia="Garamond"/>
          <w:lang w:val="en-GB"/>
        </w:rPr>
        <w:t>8</w:t>
      </w:r>
      <w:r w:rsidR="008176C8" w:rsidRPr="00775A24">
        <w:rPr>
          <w:rFonts w:eastAsia="Garamond"/>
          <w:lang w:val="en-GB"/>
        </w:rPr>
        <w:t xml:space="preserve"> </w:t>
      </w:r>
      <w:r w:rsidR="00D82A6A" w:rsidRPr="00537939">
        <w:rPr>
          <w:rFonts w:eastAsia="Garamond"/>
          <w:lang w:val="en-GB"/>
        </w:rPr>
        <w:tab/>
      </w:r>
      <w:r w:rsidR="00DE011B" w:rsidRPr="00775A24">
        <w:rPr>
          <w:rFonts w:eastAsia="Garamond"/>
          <w:lang w:val="en-GB"/>
        </w:rPr>
        <w:t>T</w:t>
      </w:r>
      <w:r w:rsidR="008176C8" w:rsidRPr="00775A24">
        <w:rPr>
          <w:rFonts w:eastAsia="Garamond"/>
          <w:lang w:val="en-GB"/>
        </w:rPr>
        <w:t>he State party submits that</w:t>
      </w:r>
      <w:r w:rsidR="006E36E9" w:rsidRPr="00775A24">
        <w:rPr>
          <w:rFonts w:eastAsia="Garamond"/>
          <w:lang w:val="en-GB"/>
        </w:rPr>
        <w:t>,</w:t>
      </w:r>
      <w:r w:rsidR="008176C8" w:rsidRPr="00775A24">
        <w:rPr>
          <w:rFonts w:eastAsia="Garamond"/>
          <w:lang w:val="en-GB"/>
        </w:rPr>
        <w:t xml:space="preserve"> while </w:t>
      </w:r>
      <w:r w:rsidR="00BB7FF6" w:rsidRPr="00537939">
        <w:rPr>
          <w:rFonts w:eastAsia="Garamond"/>
          <w:lang w:val="en-GB"/>
        </w:rPr>
        <w:t xml:space="preserve">it does not underestimate the concerns that </w:t>
      </w:r>
      <w:r w:rsidR="00BB7FF6" w:rsidRPr="00775A24">
        <w:rPr>
          <w:rFonts w:eastAsia="Garamond"/>
          <w:lang w:val="en-GB"/>
        </w:rPr>
        <w:t xml:space="preserve">may legitimately be expressed with regard to the current human rights situation in Belarus, in particular regarding political </w:t>
      </w:r>
      <w:r w:rsidR="00F35133" w:rsidRPr="00775A24">
        <w:rPr>
          <w:rFonts w:eastAsia="Garamond"/>
          <w:lang w:val="en-GB"/>
        </w:rPr>
        <w:t>opponents</w:t>
      </w:r>
      <w:r w:rsidR="00BB7FF6" w:rsidRPr="00775A24">
        <w:rPr>
          <w:rFonts w:eastAsia="Garamond"/>
          <w:lang w:val="en-GB"/>
        </w:rPr>
        <w:t xml:space="preserve">, these are not, in themselves, sufficient to establish that the expulsion of the complainants would entail a violation of article 3 of the Convention. </w:t>
      </w:r>
      <w:r w:rsidR="008176C8" w:rsidRPr="00775A24">
        <w:rPr>
          <w:rFonts w:eastAsia="Garamond"/>
          <w:lang w:val="en-GB"/>
        </w:rPr>
        <w:t xml:space="preserve">Therefore, the State party contends that the </w:t>
      </w:r>
      <w:r w:rsidR="00DE011B" w:rsidRPr="00775A24">
        <w:rPr>
          <w:rFonts w:eastAsia="Garamond"/>
          <w:lang w:val="en-GB"/>
        </w:rPr>
        <w:t xml:space="preserve">removal </w:t>
      </w:r>
      <w:r w:rsidR="008176C8" w:rsidRPr="00775A24">
        <w:rPr>
          <w:rFonts w:eastAsia="Garamond"/>
          <w:lang w:val="en-GB"/>
        </w:rPr>
        <w:t>of the complainant</w:t>
      </w:r>
      <w:r w:rsidR="001B6C52" w:rsidRPr="00775A24">
        <w:rPr>
          <w:rFonts w:eastAsia="Garamond"/>
          <w:lang w:val="en-GB"/>
        </w:rPr>
        <w:t>s</w:t>
      </w:r>
      <w:r w:rsidR="008176C8" w:rsidRPr="00775A24">
        <w:rPr>
          <w:rFonts w:eastAsia="Garamond"/>
          <w:lang w:val="en-GB"/>
        </w:rPr>
        <w:t xml:space="preserve"> to </w:t>
      </w:r>
      <w:r w:rsidR="00BB7FF6" w:rsidRPr="00537939">
        <w:rPr>
          <w:rFonts w:eastAsia="Garamond"/>
          <w:lang w:val="en-GB"/>
        </w:rPr>
        <w:t>Belarus</w:t>
      </w:r>
      <w:r w:rsidR="00F35133" w:rsidRPr="00775A24">
        <w:rPr>
          <w:rFonts w:eastAsia="Garamond"/>
          <w:lang w:val="en-GB"/>
        </w:rPr>
        <w:t xml:space="preserve"> </w:t>
      </w:r>
      <w:r w:rsidR="008176C8" w:rsidRPr="00775A24">
        <w:rPr>
          <w:rFonts w:eastAsia="Garamond"/>
          <w:lang w:val="en-GB"/>
        </w:rPr>
        <w:t xml:space="preserve">would only entail a breach of the Convention if </w:t>
      </w:r>
      <w:r w:rsidR="001B6C52" w:rsidRPr="00775A24">
        <w:rPr>
          <w:rFonts w:eastAsia="Garamond"/>
          <w:lang w:val="en-GB"/>
        </w:rPr>
        <w:t>they</w:t>
      </w:r>
      <w:r w:rsidR="008176C8" w:rsidRPr="00775A24">
        <w:rPr>
          <w:rFonts w:eastAsia="Garamond"/>
          <w:lang w:val="en-GB"/>
        </w:rPr>
        <w:t xml:space="preserve"> could show that </w:t>
      </w:r>
      <w:r w:rsidR="001B6C52" w:rsidRPr="00775A24">
        <w:rPr>
          <w:rFonts w:eastAsia="Garamond"/>
          <w:lang w:val="en-GB"/>
        </w:rPr>
        <w:t>they</w:t>
      </w:r>
      <w:r w:rsidR="008176C8" w:rsidRPr="00775A24">
        <w:rPr>
          <w:rFonts w:eastAsia="Garamond"/>
          <w:lang w:val="en-GB"/>
        </w:rPr>
        <w:t xml:space="preserve"> would be personally at risk of being subjected to treatment contrary to article 3. However, in the present case, the complainant</w:t>
      </w:r>
      <w:r w:rsidR="001B6C52" w:rsidRPr="00775A24">
        <w:rPr>
          <w:rFonts w:eastAsia="Garamond"/>
          <w:lang w:val="en-GB"/>
        </w:rPr>
        <w:t>s have</w:t>
      </w:r>
      <w:r w:rsidR="008176C8" w:rsidRPr="00775A24">
        <w:rPr>
          <w:rFonts w:eastAsia="Garamond"/>
          <w:lang w:val="en-GB"/>
        </w:rPr>
        <w:t xml:space="preserve"> failed to substantiate </w:t>
      </w:r>
      <w:r w:rsidR="001B6C52" w:rsidRPr="00775A24">
        <w:rPr>
          <w:rFonts w:eastAsia="Garamond"/>
          <w:lang w:val="en-GB"/>
        </w:rPr>
        <w:t>their</w:t>
      </w:r>
      <w:r w:rsidR="008176C8" w:rsidRPr="00775A24">
        <w:rPr>
          <w:rFonts w:eastAsia="Garamond"/>
          <w:lang w:val="en-GB"/>
        </w:rPr>
        <w:t xml:space="preserve"> claims that </w:t>
      </w:r>
      <w:r w:rsidR="001B6C52" w:rsidRPr="00775A24">
        <w:rPr>
          <w:rFonts w:eastAsia="Garamond"/>
          <w:lang w:val="en-GB"/>
        </w:rPr>
        <w:t>they</w:t>
      </w:r>
      <w:r w:rsidR="008176C8" w:rsidRPr="00775A24">
        <w:rPr>
          <w:rFonts w:eastAsia="Garamond"/>
          <w:lang w:val="en-GB"/>
        </w:rPr>
        <w:t xml:space="preserve"> would run such a risk.</w:t>
      </w:r>
    </w:p>
    <w:p w14:paraId="511F5317" w14:textId="77777777" w:rsidR="00CC6F0B" w:rsidRPr="00775A24" w:rsidRDefault="001B6C52" w:rsidP="00B56C53">
      <w:pPr>
        <w:pStyle w:val="SingleTxtG"/>
        <w:rPr>
          <w:rFonts w:eastAsia="Garamond"/>
          <w:lang w:val="en-GB"/>
        </w:rPr>
      </w:pPr>
      <w:r w:rsidRPr="00775A24">
        <w:rPr>
          <w:rFonts w:eastAsia="Garamond"/>
          <w:lang w:val="en-GB"/>
        </w:rPr>
        <w:t>4.</w:t>
      </w:r>
      <w:r w:rsidR="00CB6A7F" w:rsidRPr="00537939">
        <w:rPr>
          <w:rFonts w:eastAsia="Garamond"/>
          <w:lang w:val="en-GB"/>
        </w:rPr>
        <w:t>9</w:t>
      </w:r>
      <w:r w:rsidRPr="00775A24">
        <w:rPr>
          <w:rFonts w:eastAsia="Garamond"/>
          <w:lang w:val="en-GB"/>
        </w:rPr>
        <w:t xml:space="preserve"> </w:t>
      </w:r>
      <w:r w:rsidR="00D82A6A" w:rsidRPr="00537939">
        <w:rPr>
          <w:rFonts w:eastAsia="Garamond"/>
          <w:lang w:val="en-GB"/>
        </w:rPr>
        <w:tab/>
      </w:r>
      <w:r w:rsidR="00CC6F0B" w:rsidRPr="00775A24">
        <w:rPr>
          <w:rFonts w:eastAsia="Garamond"/>
          <w:lang w:val="en-GB"/>
        </w:rPr>
        <w:t xml:space="preserve">The State party </w:t>
      </w:r>
      <w:r w:rsidR="00F35133" w:rsidRPr="00537939">
        <w:rPr>
          <w:rFonts w:eastAsia="Garamond"/>
          <w:lang w:val="en-GB"/>
        </w:rPr>
        <w:t xml:space="preserve">adds </w:t>
      </w:r>
      <w:r w:rsidR="00CC6F0B" w:rsidRPr="00775A24">
        <w:rPr>
          <w:rFonts w:eastAsia="Garamond"/>
          <w:lang w:val="en-GB"/>
        </w:rPr>
        <w:t xml:space="preserve">that several provisions in the Swedish Aliens Act reflect the same principles as those laid down in article 3 of the Convention. Thus, the Swedish migration authorities apply the same kind of test when considering an application for asylum under the Aliens Act as the one applied by the Committee when examining subsequent complaints under the Convention. The fact that such a test has been applied in the present case is indicated by the reference of the Swedish authorities in their decisions relating to the present case to </w:t>
      </w:r>
      <w:r w:rsidR="00B56C53" w:rsidRPr="00775A24">
        <w:rPr>
          <w:rFonts w:eastAsia="Garamond"/>
          <w:lang w:val="en-GB"/>
        </w:rPr>
        <w:t>s</w:t>
      </w:r>
      <w:r w:rsidR="00CC6F0B" w:rsidRPr="00775A24">
        <w:rPr>
          <w:rFonts w:eastAsia="Garamond"/>
          <w:lang w:val="en-GB"/>
        </w:rPr>
        <w:t xml:space="preserve">ections 1, 2 and 2 </w:t>
      </w:r>
      <w:r w:rsidR="00F35133" w:rsidRPr="00537939">
        <w:rPr>
          <w:rFonts w:eastAsia="Garamond"/>
          <w:lang w:val="en-GB"/>
        </w:rPr>
        <w:t>(</w:t>
      </w:r>
      <w:r w:rsidR="00CC6F0B" w:rsidRPr="00775A24">
        <w:rPr>
          <w:rFonts w:eastAsia="Garamond"/>
          <w:lang w:val="en-GB"/>
        </w:rPr>
        <w:t>a</w:t>
      </w:r>
      <w:r w:rsidR="00F35133" w:rsidRPr="00537939">
        <w:rPr>
          <w:rFonts w:eastAsia="Garamond"/>
          <w:lang w:val="en-GB"/>
        </w:rPr>
        <w:t>)</w:t>
      </w:r>
      <w:r w:rsidR="00B56C53" w:rsidRPr="00775A24">
        <w:rPr>
          <w:rFonts w:eastAsia="Garamond"/>
          <w:lang w:val="en-GB"/>
        </w:rPr>
        <w:t xml:space="preserve"> of chapter 4</w:t>
      </w:r>
      <w:r w:rsidR="00CC6F0B" w:rsidRPr="00775A24">
        <w:rPr>
          <w:rFonts w:eastAsia="Garamond"/>
          <w:lang w:val="en-GB"/>
        </w:rPr>
        <w:t xml:space="preserve"> of the Aliens Act. Furthermore, </w:t>
      </w:r>
      <w:r w:rsidR="00CB6A7F" w:rsidRPr="00537939">
        <w:rPr>
          <w:rFonts w:eastAsia="Garamond"/>
          <w:lang w:val="en-GB"/>
        </w:rPr>
        <w:t xml:space="preserve">regarding the complainants’ requests for re-examination of their applications for residence permits, </w:t>
      </w:r>
      <w:r w:rsidR="00CC6F0B" w:rsidRPr="00775A24">
        <w:rPr>
          <w:rFonts w:eastAsia="Garamond"/>
          <w:lang w:val="en-GB"/>
        </w:rPr>
        <w:t xml:space="preserve">according to </w:t>
      </w:r>
      <w:r w:rsidR="008F476C" w:rsidRPr="00775A24">
        <w:rPr>
          <w:rFonts w:eastAsia="Garamond"/>
          <w:lang w:val="en-GB"/>
        </w:rPr>
        <w:t>s</w:t>
      </w:r>
      <w:r w:rsidR="00CC6F0B" w:rsidRPr="00775A24">
        <w:rPr>
          <w:rFonts w:eastAsia="Garamond"/>
          <w:lang w:val="en-GB"/>
        </w:rPr>
        <w:t>ections 1</w:t>
      </w:r>
      <w:r w:rsidR="00A2703A" w:rsidRPr="00775A24">
        <w:rPr>
          <w:rFonts w:eastAsia="Garamond"/>
          <w:lang w:val="en-GB"/>
        </w:rPr>
        <w:t>-</w:t>
      </w:r>
      <w:r w:rsidR="00CC6F0B" w:rsidRPr="00775A24">
        <w:rPr>
          <w:rFonts w:eastAsia="Garamond"/>
          <w:lang w:val="en-GB"/>
        </w:rPr>
        <w:t>3</w:t>
      </w:r>
      <w:r w:rsidR="00B56C53" w:rsidRPr="00775A24">
        <w:rPr>
          <w:rFonts w:eastAsia="Garamond"/>
          <w:lang w:val="en-GB"/>
        </w:rPr>
        <w:t xml:space="preserve"> of chapter 12</w:t>
      </w:r>
      <w:r w:rsidR="00CC6F0B" w:rsidRPr="00775A24">
        <w:rPr>
          <w:rFonts w:eastAsia="Garamond"/>
          <w:lang w:val="en-GB"/>
        </w:rPr>
        <w:t xml:space="preserve"> of the Aliens Act, </w:t>
      </w:r>
      <w:r w:rsidR="00CB6A7F" w:rsidRPr="00537939">
        <w:rPr>
          <w:rFonts w:eastAsia="Garamond"/>
          <w:lang w:val="en-GB"/>
        </w:rPr>
        <w:t xml:space="preserve">which have been considered, </w:t>
      </w:r>
      <w:r w:rsidR="00CC6F0B" w:rsidRPr="00775A24">
        <w:rPr>
          <w:rFonts w:eastAsia="Garamond"/>
          <w:lang w:val="en-GB"/>
        </w:rPr>
        <w:t>the expulsion may never be enforced to a country where there are reasonable grounds to assume that the alien would be in danger of being subjected, inter alia, to torture or other inhuman or degrading treatment or punishment or to a country where the alien is not protected from being sent on to a country in which the alien would be at such risk.</w:t>
      </w:r>
    </w:p>
    <w:p w14:paraId="39C37BD0" w14:textId="77777777" w:rsidR="003D6DE2" w:rsidRPr="00775A24" w:rsidRDefault="00CC6F0B">
      <w:pPr>
        <w:pStyle w:val="SingleTxtG"/>
        <w:rPr>
          <w:lang w:val="en-GB"/>
        </w:rPr>
      </w:pPr>
      <w:r w:rsidRPr="00775A24">
        <w:rPr>
          <w:rFonts w:eastAsia="Garamond"/>
          <w:lang w:val="en-GB"/>
        </w:rPr>
        <w:t>4.1</w:t>
      </w:r>
      <w:r w:rsidR="004034AE" w:rsidRPr="00537939">
        <w:rPr>
          <w:rFonts w:eastAsia="Garamond"/>
          <w:lang w:val="en-GB"/>
        </w:rPr>
        <w:t>0</w:t>
      </w:r>
      <w:r w:rsidRPr="00775A24">
        <w:rPr>
          <w:rFonts w:eastAsia="Garamond"/>
          <w:lang w:val="en-GB"/>
        </w:rPr>
        <w:t xml:space="preserve"> </w:t>
      </w:r>
      <w:r w:rsidR="00031E39" w:rsidRPr="00775A24">
        <w:rPr>
          <w:rFonts w:eastAsia="Garamond"/>
          <w:lang w:val="en-GB"/>
        </w:rPr>
        <w:tab/>
      </w:r>
      <w:r w:rsidR="00DE011B" w:rsidRPr="00775A24">
        <w:rPr>
          <w:rFonts w:eastAsia="Garamond"/>
          <w:lang w:val="en-GB"/>
        </w:rPr>
        <w:t>T</w:t>
      </w:r>
      <w:r w:rsidRPr="00775A24">
        <w:rPr>
          <w:rFonts w:eastAsia="Garamond"/>
          <w:lang w:val="en-GB"/>
        </w:rPr>
        <w:t xml:space="preserve">he State party </w:t>
      </w:r>
      <w:r w:rsidR="00DE011B" w:rsidRPr="00775A24">
        <w:rPr>
          <w:rFonts w:eastAsia="Garamond"/>
          <w:lang w:val="en-GB"/>
        </w:rPr>
        <w:t>adds</w:t>
      </w:r>
      <w:r w:rsidRPr="00775A24">
        <w:rPr>
          <w:rFonts w:eastAsia="Garamond"/>
          <w:lang w:val="en-GB"/>
        </w:rPr>
        <w:t xml:space="preserve"> that </w:t>
      </w:r>
      <w:r w:rsidR="00DE011B" w:rsidRPr="00775A24">
        <w:rPr>
          <w:rFonts w:eastAsia="Garamond"/>
          <w:lang w:val="en-GB"/>
        </w:rPr>
        <w:t>its</w:t>
      </w:r>
      <w:r w:rsidRPr="00775A24">
        <w:rPr>
          <w:rFonts w:eastAsia="Garamond"/>
          <w:lang w:val="en-GB"/>
        </w:rPr>
        <w:t xml:space="preserve"> national authorities are in a very good position to assess the information submitted by an asylum seeker</w:t>
      </w:r>
      <w:r w:rsidR="00E25939" w:rsidRPr="00537939">
        <w:rPr>
          <w:rFonts w:eastAsia="Garamond"/>
          <w:lang w:val="en-GB"/>
        </w:rPr>
        <w:t>s</w:t>
      </w:r>
      <w:r w:rsidRPr="00775A24">
        <w:rPr>
          <w:rFonts w:eastAsia="Garamond"/>
          <w:lang w:val="en-GB"/>
        </w:rPr>
        <w:t xml:space="preserve"> and to appraise the credibility of </w:t>
      </w:r>
      <w:r w:rsidR="00E25939" w:rsidRPr="00537939">
        <w:rPr>
          <w:rFonts w:eastAsia="Garamond"/>
          <w:lang w:val="en-GB"/>
        </w:rPr>
        <w:t xml:space="preserve">their </w:t>
      </w:r>
      <w:r w:rsidRPr="00775A24">
        <w:rPr>
          <w:rFonts w:eastAsia="Garamond"/>
          <w:lang w:val="en-GB"/>
        </w:rPr>
        <w:t xml:space="preserve">claims. In the present case, the Migration Board and the Migration Court </w:t>
      </w:r>
      <w:r w:rsidR="006640C9" w:rsidRPr="00537939">
        <w:rPr>
          <w:rFonts w:eastAsia="Garamond"/>
          <w:lang w:val="en-GB"/>
        </w:rPr>
        <w:t>undertook</w:t>
      </w:r>
      <w:r w:rsidRPr="00775A24">
        <w:rPr>
          <w:rFonts w:eastAsia="Garamond"/>
          <w:lang w:val="en-GB"/>
        </w:rPr>
        <w:t xml:space="preserve"> thorough examination of the complainants’ case. </w:t>
      </w:r>
      <w:r w:rsidR="003D6DE2" w:rsidRPr="00775A24">
        <w:rPr>
          <w:lang w:val="en-GB"/>
        </w:rPr>
        <w:t>When they applied for asylum</w:t>
      </w:r>
      <w:r w:rsidR="00E25939" w:rsidRPr="00537939">
        <w:rPr>
          <w:lang w:val="en-GB"/>
        </w:rPr>
        <w:t>,</w:t>
      </w:r>
      <w:r w:rsidR="003D6DE2" w:rsidRPr="00775A24">
        <w:rPr>
          <w:lang w:val="en-GB"/>
        </w:rPr>
        <w:t xml:space="preserve"> the Migration Board conducted individual interviews with </w:t>
      </w:r>
      <w:r w:rsidR="006640C9" w:rsidRPr="00537939">
        <w:rPr>
          <w:lang w:val="en-GB"/>
        </w:rPr>
        <w:t xml:space="preserve">both </w:t>
      </w:r>
      <w:r w:rsidR="00E25939" w:rsidRPr="00775A24">
        <w:rPr>
          <w:lang w:val="en-GB"/>
        </w:rPr>
        <w:t>of them</w:t>
      </w:r>
      <w:r w:rsidR="003D6DE2" w:rsidRPr="00775A24">
        <w:rPr>
          <w:lang w:val="en-GB"/>
        </w:rPr>
        <w:t>. The interviews lasted a</w:t>
      </w:r>
      <w:r w:rsidR="006640C9" w:rsidRPr="00537939">
        <w:rPr>
          <w:lang w:val="en-GB"/>
        </w:rPr>
        <w:t>lmost</w:t>
      </w:r>
      <w:r w:rsidR="003D6DE2" w:rsidRPr="00775A24">
        <w:rPr>
          <w:lang w:val="en-GB"/>
        </w:rPr>
        <w:t xml:space="preserve"> </w:t>
      </w:r>
      <w:r w:rsidR="006640C9" w:rsidRPr="00537939">
        <w:rPr>
          <w:lang w:val="en-GB"/>
        </w:rPr>
        <w:t xml:space="preserve">five </w:t>
      </w:r>
      <w:r w:rsidR="003D6DE2" w:rsidRPr="00775A24">
        <w:rPr>
          <w:lang w:val="en-GB"/>
        </w:rPr>
        <w:t xml:space="preserve">hours </w:t>
      </w:r>
      <w:r w:rsidR="00E25939" w:rsidRPr="00537939">
        <w:rPr>
          <w:lang w:val="en-GB"/>
        </w:rPr>
        <w:t xml:space="preserve">for </w:t>
      </w:r>
      <w:r w:rsidR="006640C9" w:rsidRPr="00775A24">
        <w:rPr>
          <w:lang w:val="en-GB"/>
        </w:rPr>
        <w:t xml:space="preserve">the </w:t>
      </w:r>
      <w:r w:rsidR="003D6DE2" w:rsidRPr="00775A24">
        <w:rPr>
          <w:lang w:val="en-GB"/>
        </w:rPr>
        <w:t>first complainant</w:t>
      </w:r>
      <w:r w:rsidR="006640C9" w:rsidRPr="00537939">
        <w:rPr>
          <w:lang w:val="en-GB"/>
        </w:rPr>
        <w:t xml:space="preserve"> and almost two</w:t>
      </w:r>
      <w:r w:rsidR="003D6DE2" w:rsidRPr="00775A24">
        <w:rPr>
          <w:lang w:val="en-GB"/>
        </w:rPr>
        <w:t xml:space="preserve"> hour</w:t>
      </w:r>
      <w:r w:rsidR="006640C9" w:rsidRPr="00537939">
        <w:rPr>
          <w:lang w:val="en-GB"/>
        </w:rPr>
        <w:t>s</w:t>
      </w:r>
      <w:r w:rsidR="003D6DE2" w:rsidRPr="00775A24">
        <w:rPr>
          <w:lang w:val="en-GB"/>
        </w:rPr>
        <w:t xml:space="preserve"> </w:t>
      </w:r>
      <w:r w:rsidR="00E25939" w:rsidRPr="00537939">
        <w:rPr>
          <w:lang w:val="en-GB"/>
        </w:rPr>
        <w:t xml:space="preserve">for </w:t>
      </w:r>
      <w:r w:rsidR="006640C9" w:rsidRPr="00775A24">
        <w:rPr>
          <w:lang w:val="en-GB"/>
        </w:rPr>
        <w:t xml:space="preserve">the </w:t>
      </w:r>
      <w:r w:rsidR="003D6DE2" w:rsidRPr="00775A24">
        <w:rPr>
          <w:lang w:val="en-GB"/>
        </w:rPr>
        <w:t xml:space="preserve">second complainant. The purpose of these interviews was to give the complainants an opportunity to </w:t>
      </w:r>
      <w:r w:rsidR="00C06AA4" w:rsidRPr="00775A24">
        <w:rPr>
          <w:lang w:val="en-GB"/>
        </w:rPr>
        <w:t xml:space="preserve">explain </w:t>
      </w:r>
      <w:r w:rsidR="003D6DE2" w:rsidRPr="00775A24">
        <w:rPr>
          <w:lang w:val="en-GB"/>
        </w:rPr>
        <w:t xml:space="preserve">the reasons for their need for protection and explain all the facts relevant to the Migration Board’s assessment. </w:t>
      </w:r>
      <w:r w:rsidR="006640C9" w:rsidRPr="00537939">
        <w:rPr>
          <w:lang w:val="en-GB"/>
        </w:rPr>
        <w:t>Both</w:t>
      </w:r>
      <w:r w:rsidR="003D6DE2" w:rsidRPr="00775A24">
        <w:rPr>
          <w:lang w:val="en-GB"/>
        </w:rPr>
        <w:t xml:space="preserve"> interviews were conducted in the presence of an interpreter, who</w:t>
      </w:r>
      <w:r w:rsidR="00AE2BBC" w:rsidRPr="00775A24">
        <w:rPr>
          <w:lang w:val="en-GB"/>
        </w:rPr>
        <w:t>m</w:t>
      </w:r>
      <w:r w:rsidR="003D6DE2" w:rsidRPr="00775A24">
        <w:rPr>
          <w:lang w:val="en-GB"/>
        </w:rPr>
        <w:t xml:space="preserve"> the complainants confirmed that they understood well. Further</w:t>
      </w:r>
      <w:r w:rsidR="008F476C" w:rsidRPr="00775A24">
        <w:rPr>
          <w:lang w:val="en-GB"/>
        </w:rPr>
        <w:t>more</w:t>
      </w:r>
      <w:r w:rsidR="003D6DE2" w:rsidRPr="00775A24">
        <w:rPr>
          <w:lang w:val="en-GB"/>
        </w:rPr>
        <w:t xml:space="preserve">, the complainants have argued their case in writing before the Migration Board and the migration courts. Throughout the </w:t>
      </w:r>
      <w:r w:rsidR="00780FA2" w:rsidRPr="00775A24">
        <w:rPr>
          <w:lang w:val="en-GB"/>
        </w:rPr>
        <w:t xml:space="preserve">proceedings </w:t>
      </w:r>
      <w:r w:rsidR="003D6DE2" w:rsidRPr="00775A24">
        <w:rPr>
          <w:lang w:val="en-GB"/>
        </w:rPr>
        <w:t xml:space="preserve">regarding the complainants’ </w:t>
      </w:r>
      <w:r w:rsidR="006640C9" w:rsidRPr="00537939">
        <w:rPr>
          <w:lang w:val="en-GB"/>
        </w:rPr>
        <w:t xml:space="preserve">initial </w:t>
      </w:r>
      <w:r w:rsidR="003D6DE2" w:rsidRPr="00775A24">
        <w:rPr>
          <w:lang w:val="en-GB"/>
        </w:rPr>
        <w:t>asylum request</w:t>
      </w:r>
      <w:r w:rsidR="00AE2BBC" w:rsidRPr="00775A24">
        <w:rPr>
          <w:lang w:val="en-GB"/>
        </w:rPr>
        <w:t>,</w:t>
      </w:r>
      <w:r w:rsidR="003D6DE2" w:rsidRPr="00775A24">
        <w:rPr>
          <w:lang w:val="en-GB"/>
        </w:rPr>
        <w:t xml:space="preserve"> they were represented by a </w:t>
      </w:r>
      <w:r w:rsidR="006640C9" w:rsidRPr="00537939">
        <w:rPr>
          <w:lang w:val="en-GB"/>
        </w:rPr>
        <w:t>public</w:t>
      </w:r>
      <w:r w:rsidR="003D6DE2" w:rsidRPr="00775A24">
        <w:rPr>
          <w:lang w:val="en-GB"/>
        </w:rPr>
        <w:t xml:space="preserve"> counsel. </w:t>
      </w:r>
      <w:r w:rsidR="004034AE" w:rsidRPr="00537939">
        <w:rPr>
          <w:lang w:val="en-GB"/>
        </w:rPr>
        <w:t>Since</w:t>
      </w:r>
      <w:r w:rsidR="003D6DE2" w:rsidRPr="00775A24">
        <w:rPr>
          <w:lang w:val="en-GB"/>
        </w:rPr>
        <w:t xml:space="preserve"> the decision ordering the expulsion of the complainants gained legal force, the Migration Board ha</w:t>
      </w:r>
      <w:r w:rsidRPr="00775A24">
        <w:rPr>
          <w:lang w:val="en-GB"/>
        </w:rPr>
        <w:t>s</w:t>
      </w:r>
      <w:r w:rsidR="003D6DE2" w:rsidRPr="00775A24">
        <w:rPr>
          <w:lang w:val="en-GB"/>
        </w:rPr>
        <w:t xml:space="preserve"> </w:t>
      </w:r>
      <w:r w:rsidR="004034AE" w:rsidRPr="00537939">
        <w:rPr>
          <w:lang w:val="en-GB"/>
        </w:rPr>
        <w:t xml:space="preserve">on four occasions </w:t>
      </w:r>
      <w:r w:rsidR="003D6DE2" w:rsidRPr="00775A24">
        <w:rPr>
          <w:lang w:val="en-GB"/>
        </w:rPr>
        <w:t xml:space="preserve">reviewed new circumstances invoked by the complainants. </w:t>
      </w:r>
      <w:r w:rsidR="004034AE" w:rsidRPr="00537939">
        <w:rPr>
          <w:lang w:val="en-GB"/>
        </w:rPr>
        <w:t>On one of these occasions, the decision of the Migration Board was appealed</w:t>
      </w:r>
      <w:r w:rsidR="004034AE" w:rsidRPr="00775A24">
        <w:rPr>
          <w:lang w:val="en-GB"/>
        </w:rPr>
        <w:t xml:space="preserve">, </w:t>
      </w:r>
      <w:r w:rsidR="003D6DE2" w:rsidRPr="00775A24">
        <w:rPr>
          <w:lang w:val="en-GB"/>
        </w:rPr>
        <w:t>but w</w:t>
      </w:r>
      <w:r w:rsidR="004034AE" w:rsidRPr="00537939">
        <w:rPr>
          <w:lang w:val="en-GB"/>
        </w:rPr>
        <w:t>as</w:t>
      </w:r>
      <w:r w:rsidR="003D6DE2" w:rsidRPr="00775A24">
        <w:rPr>
          <w:lang w:val="en-GB"/>
        </w:rPr>
        <w:t xml:space="preserve"> not overturned by the </w:t>
      </w:r>
      <w:r w:rsidR="004034AE" w:rsidRPr="00537939">
        <w:rPr>
          <w:lang w:val="en-GB"/>
        </w:rPr>
        <w:t>M</w:t>
      </w:r>
      <w:r w:rsidR="003D6DE2" w:rsidRPr="00775A24">
        <w:rPr>
          <w:lang w:val="en-GB"/>
        </w:rPr>
        <w:t xml:space="preserve">igration </w:t>
      </w:r>
      <w:r w:rsidR="004034AE" w:rsidRPr="00537939">
        <w:rPr>
          <w:lang w:val="en-GB"/>
        </w:rPr>
        <w:t>C</w:t>
      </w:r>
      <w:r w:rsidR="003D6DE2" w:rsidRPr="00775A24">
        <w:rPr>
          <w:lang w:val="en-GB"/>
        </w:rPr>
        <w:t xml:space="preserve">ourt. Against this background, the </w:t>
      </w:r>
      <w:r w:rsidRPr="00775A24">
        <w:rPr>
          <w:lang w:val="en-GB"/>
        </w:rPr>
        <w:t>State party</w:t>
      </w:r>
      <w:r w:rsidR="003D6DE2" w:rsidRPr="00775A24">
        <w:rPr>
          <w:lang w:val="en-GB"/>
        </w:rPr>
        <w:t xml:space="preserve"> holds that it must be considered that the Migration Board and the migration courts had sufficient information, together with the facts and documentation in the case, to ensure that they had a solid basis for making a well-informed, transparent and reasonable risk assessment of the complainants’ need for protection in Sweden. </w:t>
      </w:r>
    </w:p>
    <w:p w14:paraId="1B71A7F7" w14:textId="77777777" w:rsidR="00DC10BA" w:rsidRPr="00775A24" w:rsidRDefault="00DC10BA">
      <w:pPr>
        <w:pStyle w:val="SingleTxtG"/>
        <w:rPr>
          <w:lang w:val="en-GB"/>
        </w:rPr>
      </w:pPr>
      <w:r w:rsidRPr="00775A24">
        <w:rPr>
          <w:lang w:val="en-GB"/>
        </w:rPr>
        <w:t>4.1</w:t>
      </w:r>
      <w:r w:rsidR="00857726" w:rsidRPr="00537939">
        <w:rPr>
          <w:lang w:val="en-GB"/>
        </w:rPr>
        <w:t>1</w:t>
      </w:r>
      <w:r w:rsidRPr="00775A24">
        <w:rPr>
          <w:lang w:val="en-GB"/>
        </w:rPr>
        <w:t xml:space="preserve"> </w:t>
      </w:r>
      <w:r w:rsidR="00031E39" w:rsidRPr="00775A24">
        <w:rPr>
          <w:lang w:val="en-GB"/>
        </w:rPr>
        <w:tab/>
      </w:r>
      <w:r w:rsidRPr="00775A24">
        <w:rPr>
          <w:rFonts w:eastAsia="Garamond"/>
          <w:lang w:val="en-GB"/>
        </w:rPr>
        <w:t xml:space="preserve">In this connection, the State party recalls the Committee’s </w:t>
      </w:r>
      <w:r w:rsidR="006374E3" w:rsidRPr="00775A24">
        <w:rPr>
          <w:rFonts w:eastAsia="Garamond"/>
          <w:lang w:val="en-GB"/>
        </w:rPr>
        <w:t>g</w:t>
      </w:r>
      <w:r w:rsidRPr="00775A24">
        <w:rPr>
          <w:rFonts w:eastAsia="Garamond"/>
          <w:lang w:val="en-GB"/>
        </w:rPr>
        <w:t xml:space="preserve">eneral </w:t>
      </w:r>
      <w:r w:rsidR="006374E3" w:rsidRPr="00775A24">
        <w:rPr>
          <w:rFonts w:eastAsia="Garamond"/>
          <w:lang w:val="en-GB"/>
        </w:rPr>
        <w:t>c</w:t>
      </w:r>
      <w:r w:rsidRPr="00775A24">
        <w:rPr>
          <w:rFonts w:eastAsia="Garamond"/>
          <w:lang w:val="en-GB"/>
        </w:rPr>
        <w:t xml:space="preserve">omment No. 1 </w:t>
      </w:r>
      <w:r w:rsidR="003E3EED" w:rsidRPr="00775A24">
        <w:rPr>
          <w:lang w:val="en-GB"/>
        </w:rPr>
        <w:t xml:space="preserve">(1997) on the implementation of </w:t>
      </w:r>
      <w:r w:rsidRPr="00775A24">
        <w:rPr>
          <w:rFonts w:eastAsia="Garamond"/>
          <w:lang w:val="en-GB"/>
        </w:rPr>
        <w:t xml:space="preserve">article 3 of the Convention, as well as its jurisprudence, where it </w:t>
      </w:r>
      <w:r w:rsidR="00857726" w:rsidRPr="00537939">
        <w:rPr>
          <w:rFonts w:eastAsia="Garamond"/>
          <w:lang w:val="en-GB"/>
        </w:rPr>
        <w:t>is</w:t>
      </w:r>
      <w:r w:rsidR="00857726" w:rsidRPr="00775A24">
        <w:rPr>
          <w:rFonts w:eastAsia="Garamond"/>
          <w:lang w:val="en-GB"/>
        </w:rPr>
        <w:t xml:space="preserve"> </w:t>
      </w:r>
      <w:r w:rsidRPr="00775A24">
        <w:rPr>
          <w:rFonts w:eastAsia="Garamond"/>
          <w:lang w:val="en-GB"/>
        </w:rPr>
        <w:t xml:space="preserve">stated that the Committee is not an appellate, quasi-judicial or an administrative </w:t>
      </w:r>
      <w:r w:rsidRPr="00775A24">
        <w:rPr>
          <w:rFonts w:eastAsia="Garamond"/>
          <w:lang w:val="en-GB"/>
        </w:rPr>
        <w:lastRenderedPageBreak/>
        <w:t>body, and that considerable weight will be given to findings of facts that are made by organs of the State party concerned</w:t>
      </w:r>
      <w:r w:rsidRPr="00775A24">
        <w:rPr>
          <w:lang w:val="en-GB"/>
        </w:rPr>
        <w:t>.</w:t>
      </w:r>
      <w:r w:rsidR="00031E39" w:rsidRPr="00775A24">
        <w:rPr>
          <w:rStyle w:val="FootnoteReference"/>
          <w:lang w:val="en-GB"/>
        </w:rPr>
        <w:footnoteReference w:id="13"/>
      </w:r>
      <w:r w:rsidRPr="00775A24">
        <w:rPr>
          <w:lang w:val="en-GB"/>
        </w:rPr>
        <w:t xml:space="preserve"> Moreover, the Committee has held that it is for the courts of the States parties to the Convention, and not for the Committee, to evaluate the facts and evidence in a particular case, unless it can be ascertained that the manner in which such facts and evidence were evaluated was clearly arbitrary or amounted to a denial of justice.</w:t>
      </w:r>
      <w:r w:rsidR="003A6E4F" w:rsidRPr="00775A24">
        <w:rPr>
          <w:rStyle w:val="FootnoteReference"/>
          <w:lang w:val="en-GB"/>
        </w:rPr>
        <w:footnoteReference w:id="14"/>
      </w:r>
    </w:p>
    <w:p w14:paraId="72457A8E" w14:textId="77777777" w:rsidR="00DC10BA" w:rsidRPr="00775A24" w:rsidRDefault="00DC10BA" w:rsidP="00031E39">
      <w:pPr>
        <w:pStyle w:val="SingleTxtG"/>
        <w:rPr>
          <w:rFonts w:eastAsia="Garamond"/>
          <w:lang w:val="en-GB"/>
        </w:rPr>
      </w:pPr>
      <w:r w:rsidRPr="00775A24">
        <w:rPr>
          <w:rFonts w:eastAsia="Garamond"/>
          <w:lang w:val="en-GB"/>
        </w:rPr>
        <w:t>4.1</w:t>
      </w:r>
      <w:r w:rsidR="00785D14" w:rsidRPr="00537939">
        <w:rPr>
          <w:rFonts w:eastAsia="Garamond"/>
          <w:lang w:val="en-GB"/>
        </w:rPr>
        <w:t>2</w:t>
      </w:r>
      <w:r w:rsidRPr="00775A24">
        <w:rPr>
          <w:rFonts w:eastAsia="Garamond"/>
          <w:lang w:val="en-GB"/>
        </w:rPr>
        <w:t xml:space="preserve"> </w:t>
      </w:r>
      <w:r w:rsidR="00031E39" w:rsidRPr="00775A24">
        <w:rPr>
          <w:rFonts w:eastAsia="Garamond"/>
          <w:lang w:val="en-GB"/>
        </w:rPr>
        <w:tab/>
      </w:r>
      <w:r w:rsidR="00835F3F" w:rsidRPr="00775A24">
        <w:rPr>
          <w:rFonts w:eastAsia="Garamond"/>
          <w:lang w:val="en-GB"/>
        </w:rPr>
        <w:t>The State party contends</w:t>
      </w:r>
      <w:r w:rsidR="006374E3" w:rsidRPr="00775A24">
        <w:rPr>
          <w:rFonts w:eastAsia="Garamond"/>
          <w:lang w:val="en-GB"/>
        </w:rPr>
        <w:t>,</w:t>
      </w:r>
      <w:r w:rsidR="00835F3F" w:rsidRPr="00775A24">
        <w:rPr>
          <w:rFonts w:eastAsia="Garamond"/>
          <w:lang w:val="en-GB"/>
        </w:rPr>
        <w:t xml:space="preserve"> i</w:t>
      </w:r>
      <w:r w:rsidRPr="00775A24">
        <w:rPr>
          <w:rFonts w:eastAsia="Garamond"/>
          <w:lang w:val="en-GB"/>
        </w:rPr>
        <w:t xml:space="preserve">n </w:t>
      </w:r>
      <w:r w:rsidR="006374E3" w:rsidRPr="00775A24">
        <w:rPr>
          <w:rFonts w:eastAsia="Garamond"/>
          <w:lang w:val="en-GB"/>
        </w:rPr>
        <w:t xml:space="preserve">the </w:t>
      </w:r>
      <w:r w:rsidRPr="00775A24">
        <w:rPr>
          <w:rFonts w:eastAsia="Garamond"/>
          <w:lang w:val="en-GB"/>
        </w:rPr>
        <w:t xml:space="preserve">light of the </w:t>
      </w:r>
      <w:r w:rsidR="00835F3F" w:rsidRPr="00775A24">
        <w:rPr>
          <w:rFonts w:eastAsia="Garamond"/>
          <w:lang w:val="en-GB"/>
        </w:rPr>
        <w:t>above</w:t>
      </w:r>
      <w:r w:rsidRPr="00775A24">
        <w:rPr>
          <w:rFonts w:eastAsia="Garamond"/>
          <w:lang w:val="en-GB"/>
        </w:rPr>
        <w:t xml:space="preserve"> and </w:t>
      </w:r>
      <w:r w:rsidR="00835F3F" w:rsidRPr="00775A24">
        <w:rPr>
          <w:rFonts w:eastAsia="Garamond"/>
          <w:lang w:val="en-GB"/>
        </w:rPr>
        <w:t xml:space="preserve">given </w:t>
      </w:r>
      <w:r w:rsidRPr="00775A24">
        <w:rPr>
          <w:rFonts w:eastAsia="Garamond"/>
          <w:lang w:val="en-GB"/>
        </w:rPr>
        <w:t>that the Migration Board and the migration courts are speciali</w:t>
      </w:r>
      <w:r w:rsidR="006374E3" w:rsidRPr="00775A24">
        <w:rPr>
          <w:rFonts w:eastAsia="Garamond"/>
          <w:lang w:val="en-GB"/>
        </w:rPr>
        <w:t>z</w:t>
      </w:r>
      <w:r w:rsidRPr="00775A24">
        <w:rPr>
          <w:rFonts w:eastAsia="Garamond"/>
          <w:lang w:val="en-GB"/>
        </w:rPr>
        <w:t>ed bodies with particular expertise in the field of asylum law and practice, that there is no reason to conclude that the national rulings were inadequate or that the outcome of the domestic proceedings was arbitrary in any way or amounting to a denial of justice in the present case. The State party submits that great weight must be attached to the opinions of the Swedish migration authorities, as expressed in their rulings ordering the expulsion of the complainant</w:t>
      </w:r>
      <w:r w:rsidR="00835F3F" w:rsidRPr="00775A24">
        <w:rPr>
          <w:rFonts w:eastAsia="Garamond"/>
          <w:lang w:val="en-GB"/>
        </w:rPr>
        <w:t>s</w:t>
      </w:r>
      <w:r w:rsidRPr="00775A24">
        <w:rPr>
          <w:rFonts w:eastAsia="Garamond"/>
          <w:lang w:val="en-GB"/>
        </w:rPr>
        <w:t xml:space="preserve"> to </w:t>
      </w:r>
      <w:r w:rsidR="00785D14" w:rsidRPr="00537939">
        <w:rPr>
          <w:rFonts w:eastAsia="Garamond"/>
          <w:lang w:val="en-GB"/>
        </w:rPr>
        <w:t>Belarus</w:t>
      </w:r>
      <w:r w:rsidRPr="00775A24">
        <w:rPr>
          <w:rFonts w:eastAsia="Garamond"/>
          <w:lang w:val="en-GB"/>
        </w:rPr>
        <w:t xml:space="preserve">. </w:t>
      </w:r>
    </w:p>
    <w:p w14:paraId="6E7B92E4" w14:textId="77777777" w:rsidR="00996389" w:rsidRPr="00537939" w:rsidRDefault="00DC10BA">
      <w:pPr>
        <w:pStyle w:val="SingleTxtG"/>
        <w:rPr>
          <w:lang w:val="en-GB"/>
        </w:rPr>
      </w:pPr>
      <w:r w:rsidRPr="00775A24">
        <w:rPr>
          <w:rFonts w:eastAsia="Garamond"/>
          <w:lang w:val="en-GB"/>
        </w:rPr>
        <w:t>4.1</w:t>
      </w:r>
      <w:r w:rsidR="007B5E88" w:rsidRPr="00537939">
        <w:rPr>
          <w:rFonts w:eastAsia="Garamond"/>
          <w:lang w:val="en-GB"/>
        </w:rPr>
        <w:t>3</w:t>
      </w:r>
      <w:r w:rsidRPr="00775A24">
        <w:rPr>
          <w:rFonts w:eastAsia="Garamond"/>
          <w:lang w:val="en-GB"/>
        </w:rPr>
        <w:t xml:space="preserve"> </w:t>
      </w:r>
      <w:r w:rsidR="00082E00" w:rsidRPr="00775A24">
        <w:rPr>
          <w:rFonts w:eastAsia="Garamond"/>
          <w:lang w:val="en-GB"/>
        </w:rPr>
        <w:tab/>
      </w:r>
      <w:r w:rsidRPr="00775A24">
        <w:rPr>
          <w:rFonts w:eastAsia="Garamond"/>
          <w:lang w:val="en-GB"/>
        </w:rPr>
        <w:t xml:space="preserve">In addition, the State party observes that the </w:t>
      </w:r>
      <w:r w:rsidR="003D6DE2" w:rsidRPr="00775A24">
        <w:rPr>
          <w:lang w:val="en-GB"/>
        </w:rPr>
        <w:t xml:space="preserve">complainants </w:t>
      </w:r>
      <w:r w:rsidRPr="00775A24">
        <w:rPr>
          <w:lang w:val="en-GB"/>
        </w:rPr>
        <w:t>have submitted</w:t>
      </w:r>
      <w:r w:rsidR="003D6DE2" w:rsidRPr="00775A24">
        <w:rPr>
          <w:lang w:val="en-GB"/>
        </w:rPr>
        <w:t xml:space="preserve"> </w:t>
      </w:r>
      <w:r w:rsidR="009A2993" w:rsidRPr="00775A24">
        <w:rPr>
          <w:lang w:val="en-GB"/>
        </w:rPr>
        <w:t xml:space="preserve">to </w:t>
      </w:r>
      <w:r w:rsidR="003D6DE2" w:rsidRPr="00775A24">
        <w:rPr>
          <w:lang w:val="en-GB"/>
        </w:rPr>
        <w:t xml:space="preserve">the Committee that expelling them to </w:t>
      </w:r>
      <w:r w:rsidR="00785D14" w:rsidRPr="00537939">
        <w:rPr>
          <w:lang w:val="en-GB"/>
        </w:rPr>
        <w:t>Belarus</w:t>
      </w:r>
      <w:r w:rsidR="003D6DE2" w:rsidRPr="00775A24">
        <w:rPr>
          <w:lang w:val="en-GB"/>
        </w:rPr>
        <w:t xml:space="preserve"> would be </w:t>
      </w:r>
      <w:r w:rsidRPr="00775A24">
        <w:rPr>
          <w:lang w:val="en-GB"/>
        </w:rPr>
        <w:t xml:space="preserve">in </w:t>
      </w:r>
      <w:r w:rsidR="003D6DE2" w:rsidRPr="00775A24">
        <w:rPr>
          <w:lang w:val="en-GB"/>
        </w:rPr>
        <w:t xml:space="preserve">violation of article 3 of the Convention as upon return there </w:t>
      </w:r>
      <w:r w:rsidR="00F30901" w:rsidRPr="00775A24">
        <w:rPr>
          <w:lang w:val="en-GB"/>
        </w:rPr>
        <w:t xml:space="preserve">they </w:t>
      </w:r>
      <w:r w:rsidR="003D6DE2" w:rsidRPr="00775A24">
        <w:rPr>
          <w:lang w:val="en-GB"/>
        </w:rPr>
        <w:t xml:space="preserve">risk being subjected to torture </w:t>
      </w:r>
      <w:r w:rsidR="00AE2BBC" w:rsidRPr="00775A24">
        <w:rPr>
          <w:lang w:val="en-GB"/>
        </w:rPr>
        <w:t xml:space="preserve">owing </w:t>
      </w:r>
      <w:r w:rsidR="003D6DE2" w:rsidRPr="00775A24">
        <w:rPr>
          <w:lang w:val="en-GB"/>
        </w:rPr>
        <w:t>to the</w:t>
      </w:r>
      <w:r w:rsidR="00785D14" w:rsidRPr="00537939">
        <w:rPr>
          <w:lang w:val="en-GB"/>
        </w:rPr>
        <w:t>ir</w:t>
      </w:r>
      <w:r w:rsidR="003D6DE2" w:rsidRPr="00775A24">
        <w:rPr>
          <w:lang w:val="en-GB"/>
        </w:rPr>
        <w:t xml:space="preserve"> </w:t>
      </w:r>
      <w:r w:rsidR="00785D14" w:rsidRPr="00537939">
        <w:rPr>
          <w:lang w:val="en-GB"/>
        </w:rPr>
        <w:t xml:space="preserve">political </w:t>
      </w:r>
      <w:r w:rsidR="003D6DE2" w:rsidRPr="00775A24">
        <w:rPr>
          <w:lang w:val="en-GB"/>
        </w:rPr>
        <w:t xml:space="preserve">activities </w:t>
      </w:r>
      <w:r w:rsidR="00785D14" w:rsidRPr="00537939">
        <w:rPr>
          <w:lang w:val="en-GB"/>
        </w:rPr>
        <w:t>in Belarus</w:t>
      </w:r>
      <w:r w:rsidR="003D6DE2" w:rsidRPr="00775A24">
        <w:rPr>
          <w:lang w:val="en-GB"/>
        </w:rPr>
        <w:t xml:space="preserve">. </w:t>
      </w:r>
    </w:p>
    <w:p w14:paraId="15BF3808" w14:textId="77777777" w:rsidR="00F30901" w:rsidRPr="00775A24" w:rsidRDefault="00F30901">
      <w:pPr>
        <w:pStyle w:val="SingleTxtG"/>
        <w:rPr>
          <w:lang w:val="en-GB"/>
        </w:rPr>
      </w:pPr>
      <w:r w:rsidRPr="00775A24">
        <w:rPr>
          <w:lang w:val="en-GB"/>
        </w:rPr>
        <w:t>4.1</w:t>
      </w:r>
      <w:r w:rsidR="007B5E88" w:rsidRPr="00537939">
        <w:rPr>
          <w:lang w:val="en-GB"/>
        </w:rPr>
        <w:t>4</w:t>
      </w:r>
      <w:r w:rsidRPr="00775A24">
        <w:rPr>
          <w:lang w:val="en-GB"/>
        </w:rPr>
        <w:t xml:space="preserve"> </w:t>
      </w:r>
      <w:r w:rsidR="00082E00" w:rsidRPr="00537939">
        <w:rPr>
          <w:lang w:val="en-GB"/>
        </w:rPr>
        <w:tab/>
      </w:r>
      <w:r w:rsidRPr="00775A24">
        <w:rPr>
          <w:lang w:val="en-GB"/>
        </w:rPr>
        <w:t xml:space="preserve">In this connection, </w:t>
      </w:r>
      <w:r w:rsidRPr="00775A24">
        <w:rPr>
          <w:rFonts w:eastAsia="Garamond"/>
          <w:lang w:val="en-GB"/>
        </w:rPr>
        <w:t>the State party</w:t>
      </w:r>
      <w:r w:rsidRPr="00775A24">
        <w:rPr>
          <w:lang w:val="en-GB"/>
        </w:rPr>
        <w:t xml:space="preserve">, </w:t>
      </w:r>
      <w:r w:rsidR="009A2993" w:rsidRPr="00775A24">
        <w:rPr>
          <w:lang w:val="en-GB"/>
        </w:rPr>
        <w:t xml:space="preserve">as </w:t>
      </w:r>
      <w:r w:rsidRPr="00775A24">
        <w:rPr>
          <w:lang w:val="en-GB"/>
        </w:rPr>
        <w:t>its</w:t>
      </w:r>
      <w:r w:rsidR="003D6DE2" w:rsidRPr="00775A24">
        <w:rPr>
          <w:lang w:val="en-GB"/>
        </w:rPr>
        <w:t xml:space="preserve"> migration authorities, finds a number of aspects that give reason to question the complainants’ </w:t>
      </w:r>
      <w:r w:rsidR="00785D14" w:rsidRPr="00537939">
        <w:rPr>
          <w:lang w:val="en-GB"/>
        </w:rPr>
        <w:t>general credibility</w:t>
      </w:r>
      <w:r w:rsidR="003D6DE2" w:rsidRPr="00775A24">
        <w:rPr>
          <w:lang w:val="en-GB"/>
        </w:rPr>
        <w:t xml:space="preserve">. </w:t>
      </w:r>
      <w:r w:rsidR="009A2993" w:rsidRPr="00775A24">
        <w:rPr>
          <w:lang w:val="en-GB"/>
        </w:rPr>
        <w:t>Firstly</w:t>
      </w:r>
      <w:r w:rsidR="00FB411C" w:rsidRPr="00775A24">
        <w:rPr>
          <w:lang w:val="en-GB"/>
        </w:rPr>
        <w:t>, the State party finds it pertinent</w:t>
      </w:r>
      <w:r w:rsidR="001E2B03" w:rsidRPr="00775A24">
        <w:rPr>
          <w:lang w:val="en-GB"/>
        </w:rPr>
        <w:t xml:space="preserve"> to</w:t>
      </w:r>
      <w:r w:rsidR="00FB411C" w:rsidRPr="00775A24">
        <w:rPr>
          <w:lang w:val="en-GB"/>
        </w:rPr>
        <w:t xml:space="preserve"> </w:t>
      </w:r>
      <w:r w:rsidR="00996389" w:rsidRPr="00537939">
        <w:rPr>
          <w:lang w:val="en-GB"/>
        </w:rPr>
        <w:t>note</w:t>
      </w:r>
      <w:r w:rsidR="00FB411C" w:rsidRPr="00775A24">
        <w:rPr>
          <w:lang w:val="en-GB"/>
        </w:rPr>
        <w:t xml:space="preserve"> that</w:t>
      </w:r>
      <w:r w:rsidR="00FB411C" w:rsidRPr="00537939">
        <w:rPr>
          <w:lang w:val="en-GB"/>
        </w:rPr>
        <w:t xml:space="preserve"> </w:t>
      </w:r>
      <w:r w:rsidR="00785D14" w:rsidRPr="00775A24">
        <w:rPr>
          <w:lang w:val="en-GB"/>
        </w:rPr>
        <w:t xml:space="preserve">the first complainant gave a false name and false information about the grounds for his asylum application in 2004, which he has not been able to give a credible explanation for. The claim that he was planning to </w:t>
      </w:r>
      <w:r w:rsidR="00831B63" w:rsidRPr="00775A24">
        <w:rPr>
          <w:lang w:val="en-GB"/>
        </w:rPr>
        <w:t>stay</w:t>
      </w:r>
      <w:r w:rsidR="00785D14" w:rsidRPr="00775A24">
        <w:rPr>
          <w:lang w:val="en-GB"/>
        </w:rPr>
        <w:t xml:space="preserve"> in Sweden temporarily and that he submitted false information so that he would later be expelled lacks credibility, especially in view of his refusal to return after having been denied asylum. Secondly, the complainants waited over a year after their arrival in Sweden before appl</w:t>
      </w:r>
      <w:r w:rsidR="00996389" w:rsidRPr="00775A24">
        <w:rPr>
          <w:lang w:val="en-GB"/>
        </w:rPr>
        <w:t>y</w:t>
      </w:r>
      <w:r w:rsidR="00785D14" w:rsidRPr="00775A24">
        <w:rPr>
          <w:lang w:val="en-GB"/>
        </w:rPr>
        <w:t>i</w:t>
      </w:r>
      <w:r w:rsidR="00996389" w:rsidRPr="00775A24">
        <w:rPr>
          <w:lang w:val="en-GB"/>
        </w:rPr>
        <w:t>ng</w:t>
      </w:r>
      <w:r w:rsidR="00785D14" w:rsidRPr="00775A24">
        <w:rPr>
          <w:lang w:val="en-GB"/>
        </w:rPr>
        <w:t xml:space="preserve"> for asylum</w:t>
      </w:r>
      <w:r w:rsidR="00996389" w:rsidRPr="00775A24">
        <w:rPr>
          <w:lang w:val="en-GB"/>
        </w:rPr>
        <w:t xml:space="preserve">. </w:t>
      </w:r>
      <w:r w:rsidR="00FB411C" w:rsidRPr="00775A24">
        <w:rPr>
          <w:lang w:val="en-GB"/>
        </w:rPr>
        <w:t>Furthermore, between 2006 and 2009</w:t>
      </w:r>
      <w:r w:rsidR="009A2993" w:rsidRPr="00775A24">
        <w:rPr>
          <w:lang w:val="en-GB"/>
        </w:rPr>
        <w:t>,</w:t>
      </w:r>
      <w:r w:rsidR="00FB411C" w:rsidRPr="00775A24">
        <w:rPr>
          <w:lang w:val="en-GB"/>
        </w:rPr>
        <w:t xml:space="preserve"> the complainants travelled in and out of Belarus on their own passports and were also able to </w:t>
      </w:r>
      <w:r w:rsidR="00831B63" w:rsidRPr="00775A24">
        <w:rPr>
          <w:lang w:val="en-GB"/>
        </w:rPr>
        <w:t>acquire</w:t>
      </w:r>
      <w:r w:rsidR="00FB411C" w:rsidRPr="00775A24">
        <w:rPr>
          <w:lang w:val="en-GB"/>
        </w:rPr>
        <w:t xml:space="preserve"> new passports and </w:t>
      </w:r>
      <w:r w:rsidR="00996389" w:rsidRPr="00775A24">
        <w:rPr>
          <w:lang w:val="en-GB"/>
        </w:rPr>
        <w:t xml:space="preserve">foreign </w:t>
      </w:r>
      <w:r w:rsidR="00FB411C" w:rsidRPr="00775A24">
        <w:rPr>
          <w:lang w:val="en-GB"/>
        </w:rPr>
        <w:t>visa</w:t>
      </w:r>
      <w:r w:rsidR="00996389" w:rsidRPr="00775A24">
        <w:rPr>
          <w:lang w:val="en-GB"/>
        </w:rPr>
        <w:t>s</w:t>
      </w:r>
      <w:r w:rsidR="00FB411C" w:rsidRPr="00775A24">
        <w:rPr>
          <w:lang w:val="en-GB"/>
        </w:rPr>
        <w:t xml:space="preserve"> without attracting the attention of the Belarusian authorities.</w:t>
      </w:r>
      <w:r w:rsidR="007B2F8D" w:rsidRPr="00775A24">
        <w:rPr>
          <w:lang w:val="en-GB"/>
        </w:rPr>
        <w:t xml:space="preserve"> Thirdly, the accounts of the complainants’ political activities between 1996 and 2009 are vague and incoherent, and there is a lack of concrete detail in their stories. The State party contends that there are strong reasons to question the credibility of the claims concerning the complainants’ political activities in Belarus, and thus also that the authorities have any interest in them.</w:t>
      </w:r>
      <w:r w:rsidR="00A2703A" w:rsidRPr="00537939">
        <w:rPr>
          <w:lang w:val="en-GB"/>
        </w:rPr>
        <w:t xml:space="preserve"> </w:t>
      </w:r>
    </w:p>
    <w:p w14:paraId="63D5407A" w14:textId="77777777" w:rsidR="007B5E88" w:rsidRPr="00775A24" w:rsidRDefault="007B5E88">
      <w:pPr>
        <w:pStyle w:val="SingleTxtG"/>
        <w:rPr>
          <w:lang w:val="en-GB"/>
        </w:rPr>
      </w:pPr>
      <w:r w:rsidRPr="00537939">
        <w:rPr>
          <w:lang w:val="en-GB"/>
        </w:rPr>
        <w:t>4.15</w:t>
      </w:r>
      <w:r w:rsidRPr="00537939">
        <w:rPr>
          <w:lang w:val="en-GB"/>
        </w:rPr>
        <w:tab/>
        <w:t>The State party cla</w:t>
      </w:r>
      <w:r w:rsidRPr="00775A24">
        <w:rPr>
          <w:lang w:val="en-GB"/>
        </w:rPr>
        <w:t>rifies that</w:t>
      </w:r>
      <w:r w:rsidR="009A2993" w:rsidRPr="00775A24">
        <w:rPr>
          <w:lang w:val="en-GB"/>
        </w:rPr>
        <w:t>,</w:t>
      </w:r>
      <w:r w:rsidRPr="00775A24">
        <w:rPr>
          <w:lang w:val="en-GB"/>
        </w:rPr>
        <w:t xml:space="preserve"> </w:t>
      </w:r>
      <w:r w:rsidR="009A2993" w:rsidRPr="00775A24">
        <w:rPr>
          <w:lang w:val="en-GB"/>
        </w:rPr>
        <w:t xml:space="preserve">as </w:t>
      </w:r>
      <w:r w:rsidRPr="00775A24">
        <w:rPr>
          <w:lang w:val="en-GB"/>
        </w:rPr>
        <w:t xml:space="preserve">the migration authorities, it does not question the complainants’ submission that they were arrested by the Belarusian authorities during the demonstration in 2006 and subjected to abuse in </w:t>
      </w:r>
      <w:r w:rsidR="009A2993" w:rsidRPr="00775A24">
        <w:rPr>
          <w:lang w:val="en-GB"/>
        </w:rPr>
        <w:t xml:space="preserve">that </w:t>
      </w:r>
      <w:r w:rsidRPr="00775A24">
        <w:rPr>
          <w:lang w:val="en-GB"/>
        </w:rPr>
        <w:t>connection. While acknowledging the concerns that the complaints may legitimately express</w:t>
      </w:r>
      <w:r w:rsidR="00A2703A" w:rsidRPr="00775A24">
        <w:rPr>
          <w:lang w:val="en-GB"/>
        </w:rPr>
        <w:t xml:space="preserve"> </w:t>
      </w:r>
      <w:r w:rsidRPr="00775A24">
        <w:rPr>
          <w:lang w:val="en-GB"/>
        </w:rPr>
        <w:t xml:space="preserve">with respect to the treatment they were subjected to </w:t>
      </w:r>
      <w:r w:rsidR="00B6042A" w:rsidRPr="00775A24">
        <w:rPr>
          <w:lang w:val="en-GB"/>
        </w:rPr>
        <w:t>in the past</w:t>
      </w:r>
      <w:r w:rsidRPr="00775A24">
        <w:rPr>
          <w:lang w:val="en-GB"/>
        </w:rPr>
        <w:t>, the State party notes that they have not presented any claims suggesting that they have been subjected to treatment defined in article 1 of the Convention since then. This is relevant to the assessment of whether the expulsion of the complainants would be inconsistent with article 3 of the Convention, since the Committee</w:t>
      </w:r>
      <w:r w:rsidR="00141198" w:rsidRPr="00775A24">
        <w:rPr>
          <w:lang w:val="en-GB"/>
        </w:rPr>
        <w:t xml:space="preserve">, in </w:t>
      </w:r>
      <w:r w:rsidR="006B38F8" w:rsidRPr="00775A24">
        <w:rPr>
          <w:lang w:val="en-GB"/>
        </w:rPr>
        <w:t xml:space="preserve">paragraph 8 (b) of </w:t>
      </w:r>
      <w:r w:rsidR="00141198" w:rsidRPr="00775A24">
        <w:rPr>
          <w:lang w:val="en-GB"/>
        </w:rPr>
        <w:t>its</w:t>
      </w:r>
      <w:r w:rsidRPr="00775A24">
        <w:rPr>
          <w:lang w:val="en-GB"/>
        </w:rPr>
        <w:t xml:space="preserve"> </w:t>
      </w:r>
      <w:r w:rsidR="009A2993" w:rsidRPr="00775A24">
        <w:rPr>
          <w:lang w:val="en-GB"/>
        </w:rPr>
        <w:t>g</w:t>
      </w:r>
      <w:r w:rsidRPr="00775A24">
        <w:rPr>
          <w:lang w:val="en-GB"/>
        </w:rPr>
        <w:t xml:space="preserve">eneral </w:t>
      </w:r>
      <w:r w:rsidR="009A2993" w:rsidRPr="00775A24">
        <w:rPr>
          <w:lang w:val="en-GB"/>
        </w:rPr>
        <w:t>c</w:t>
      </w:r>
      <w:r w:rsidRPr="00775A24">
        <w:rPr>
          <w:lang w:val="en-GB"/>
        </w:rPr>
        <w:t>omment No. 1, states that information that is considered pertinent to the risk of torture includes whether the complainant has been tortured in the past and</w:t>
      </w:r>
      <w:r w:rsidR="009A2993" w:rsidRPr="00775A24">
        <w:rPr>
          <w:lang w:val="en-GB"/>
        </w:rPr>
        <w:t>,</w:t>
      </w:r>
      <w:r w:rsidRPr="00775A24">
        <w:rPr>
          <w:lang w:val="en-GB"/>
        </w:rPr>
        <w:t xml:space="preserve"> if so, whether this was in the recent past.</w:t>
      </w:r>
      <w:r w:rsidR="003A6E4F" w:rsidRPr="00775A24">
        <w:rPr>
          <w:rStyle w:val="FootnoteReference"/>
          <w:lang w:val="en-GB"/>
        </w:rPr>
        <w:footnoteReference w:id="15"/>
      </w:r>
      <w:r w:rsidR="00A04503" w:rsidRPr="00775A24">
        <w:rPr>
          <w:lang w:val="en-GB"/>
        </w:rPr>
        <w:t xml:space="preserve"> As regards the present case, the complainants were subjected to th</w:t>
      </w:r>
      <w:r w:rsidR="009A2993" w:rsidRPr="00775A24">
        <w:rPr>
          <w:lang w:val="en-GB"/>
        </w:rPr>
        <w:t xml:space="preserve">at </w:t>
      </w:r>
      <w:r w:rsidR="00A04503" w:rsidRPr="00775A24">
        <w:rPr>
          <w:lang w:val="en-GB"/>
        </w:rPr>
        <w:t xml:space="preserve">treatment </w:t>
      </w:r>
      <w:r w:rsidR="009A2993" w:rsidRPr="00775A24">
        <w:rPr>
          <w:lang w:val="en-GB"/>
        </w:rPr>
        <w:t>seven</w:t>
      </w:r>
      <w:r w:rsidR="00A04503" w:rsidRPr="00775A24">
        <w:rPr>
          <w:lang w:val="en-GB"/>
        </w:rPr>
        <w:t xml:space="preserve"> years ago, and thus not in the recent past. </w:t>
      </w:r>
    </w:p>
    <w:p w14:paraId="071783A8" w14:textId="77777777" w:rsidR="00823A53" w:rsidRPr="00775A24" w:rsidRDefault="00423505" w:rsidP="00082E00">
      <w:pPr>
        <w:pStyle w:val="SingleTxtG"/>
        <w:rPr>
          <w:lang w:val="en-GB"/>
        </w:rPr>
      </w:pPr>
      <w:r w:rsidRPr="00775A24">
        <w:rPr>
          <w:lang w:val="en-GB"/>
        </w:rPr>
        <w:lastRenderedPageBreak/>
        <w:t>4.16</w:t>
      </w:r>
      <w:r w:rsidR="00B27A12" w:rsidRPr="00775A24">
        <w:rPr>
          <w:lang w:val="en-GB"/>
        </w:rPr>
        <w:tab/>
        <w:t xml:space="preserve">Furthermore, with regard to the complainants’ allegation that the second complainant did not have any opportunity to read and verify the minutes from the Migration Board’s interview with her, which allegedly resulted in the authorities not being aware of the fact that she was subjected to torture in 2006, the State party maintains the Migration Board’s view that the second complainant had the opportunity to give an account of relevant </w:t>
      </w:r>
      <w:r w:rsidR="00B6042A" w:rsidRPr="00775A24">
        <w:rPr>
          <w:lang w:val="en-GB"/>
        </w:rPr>
        <w:t xml:space="preserve">facts </w:t>
      </w:r>
      <w:r w:rsidR="00B27A12" w:rsidRPr="00775A24">
        <w:rPr>
          <w:lang w:val="en-GB"/>
        </w:rPr>
        <w:t xml:space="preserve">and that her claim therefore lacks credibility. The minutes from the interview show that the complainant </w:t>
      </w:r>
      <w:r w:rsidR="006B38F8" w:rsidRPr="00775A24">
        <w:rPr>
          <w:lang w:val="en-GB"/>
        </w:rPr>
        <w:t xml:space="preserve">had </w:t>
      </w:r>
      <w:r w:rsidR="00B27A12" w:rsidRPr="00775A24">
        <w:rPr>
          <w:lang w:val="en-GB"/>
        </w:rPr>
        <w:t>confirmed that she understood the interpreter, and she also confirmed that she had had the chance to say everything she wanted to say. A public counsel was present during the entire interview. The Sta</w:t>
      </w:r>
      <w:r w:rsidR="00B6042A" w:rsidRPr="00775A24">
        <w:rPr>
          <w:lang w:val="en-GB"/>
        </w:rPr>
        <w:t>t</w:t>
      </w:r>
      <w:r w:rsidR="00B27A12" w:rsidRPr="00775A24">
        <w:rPr>
          <w:lang w:val="en-GB"/>
        </w:rPr>
        <w:t>e party notes</w:t>
      </w:r>
      <w:r w:rsidR="00C61FB8" w:rsidRPr="00775A24">
        <w:rPr>
          <w:lang w:val="en-GB"/>
        </w:rPr>
        <w:t xml:space="preserve"> that</w:t>
      </w:r>
      <w:r w:rsidR="00B27A12" w:rsidRPr="00775A24">
        <w:rPr>
          <w:lang w:val="en-GB"/>
        </w:rPr>
        <w:t xml:space="preserve"> the migration authorities have not questioned that the complainant was subjected to abuse in connection with the demonstration in 2006 and have made their assessments accordingly.</w:t>
      </w:r>
    </w:p>
    <w:p w14:paraId="2C2276C2" w14:textId="77777777" w:rsidR="00F0471B" w:rsidRPr="00775A24" w:rsidRDefault="00423505">
      <w:pPr>
        <w:pStyle w:val="SingleTxtG"/>
        <w:rPr>
          <w:lang w:val="en-GB"/>
        </w:rPr>
      </w:pPr>
      <w:r w:rsidRPr="00775A24">
        <w:rPr>
          <w:lang w:val="en-GB"/>
        </w:rPr>
        <w:t>4.17</w:t>
      </w:r>
      <w:r w:rsidR="00823A53" w:rsidRPr="00775A24">
        <w:rPr>
          <w:lang w:val="en-GB"/>
        </w:rPr>
        <w:tab/>
        <w:t xml:space="preserve">The complainants also allege </w:t>
      </w:r>
      <w:r w:rsidR="006B38F8" w:rsidRPr="00775A24">
        <w:rPr>
          <w:lang w:val="en-GB"/>
        </w:rPr>
        <w:t xml:space="preserve">that they </w:t>
      </w:r>
      <w:r w:rsidR="00823A53" w:rsidRPr="00775A24">
        <w:rPr>
          <w:lang w:val="en-GB"/>
        </w:rPr>
        <w:t xml:space="preserve">continued their political activities after the incidents in 2006 and claim </w:t>
      </w:r>
      <w:r w:rsidR="00ED0A20" w:rsidRPr="00775A24">
        <w:rPr>
          <w:lang w:val="en-GB"/>
        </w:rPr>
        <w:t xml:space="preserve">that they </w:t>
      </w:r>
      <w:r w:rsidR="00823A53" w:rsidRPr="00775A24">
        <w:rPr>
          <w:lang w:val="en-GB"/>
        </w:rPr>
        <w:t>frequently</w:t>
      </w:r>
      <w:r w:rsidR="00ED0A20" w:rsidRPr="00775A24">
        <w:rPr>
          <w:lang w:val="en-GB"/>
        </w:rPr>
        <w:t xml:space="preserve"> received</w:t>
      </w:r>
      <w:r w:rsidR="00823A53" w:rsidRPr="00775A24">
        <w:rPr>
          <w:lang w:val="en-GB"/>
        </w:rPr>
        <w:t xml:space="preserve"> threatening phone calls from the Belarus</w:t>
      </w:r>
      <w:r w:rsidR="00ED0A20" w:rsidRPr="00775A24">
        <w:rPr>
          <w:lang w:val="en-GB"/>
        </w:rPr>
        <w:t>ian</w:t>
      </w:r>
      <w:r w:rsidR="00823A53" w:rsidRPr="00775A24">
        <w:rPr>
          <w:lang w:val="en-GB"/>
        </w:rPr>
        <w:t xml:space="preserve"> police intended to prevent them from contacting the authorities regarding the incidents. The State party finds that the accounts of the complainants’ political </w:t>
      </w:r>
      <w:r w:rsidR="004E4571" w:rsidRPr="00775A24">
        <w:rPr>
          <w:lang w:val="en-GB"/>
        </w:rPr>
        <w:t>activities</w:t>
      </w:r>
      <w:r w:rsidR="00823A53" w:rsidRPr="00775A24">
        <w:rPr>
          <w:lang w:val="en-GB"/>
        </w:rPr>
        <w:t xml:space="preserve"> are vague and general</w:t>
      </w:r>
      <w:r w:rsidR="004E4571" w:rsidRPr="00775A24">
        <w:rPr>
          <w:lang w:val="en-GB"/>
        </w:rPr>
        <w:t xml:space="preserve"> and do not show that there are grounds to conclude that the Belarusian authorities had any interest in them between 2006 and 2009, when the first and second complainant first arrived in Sweden together.</w:t>
      </w:r>
      <w:r w:rsidR="001D56A0" w:rsidRPr="00775A24">
        <w:rPr>
          <w:lang w:val="en-GB"/>
        </w:rPr>
        <w:t xml:space="preserve"> The complainants have been unable to submit any evidence supporting the claim. The State party further notes that</w:t>
      </w:r>
      <w:r w:rsidR="00ED0A20" w:rsidRPr="00775A24">
        <w:rPr>
          <w:lang w:val="en-GB"/>
        </w:rPr>
        <w:t>,</w:t>
      </w:r>
      <w:r w:rsidR="001D56A0" w:rsidRPr="00775A24">
        <w:rPr>
          <w:lang w:val="en-GB"/>
        </w:rPr>
        <w:t xml:space="preserve"> in their submission to the Committee, the </w:t>
      </w:r>
      <w:r w:rsidR="00FC3F77" w:rsidRPr="00775A24">
        <w:rPr>
          <w:lang w:val="en-GB"/>
        </w:rPr>
        <w:t>complainants’</w:t>
      </w:r>
      <w:r w:rsidR="001D56A0" w:rsidRPr="00775A24">
        <w:rPr>
          <w:lang w:val="en-GB"/>
        </w:rPr>
        <w:t xml:space="preserve"> </w:t>
      </w:r>
      <w:r w:rsidR="00782EEC" w:rsidRPr="00775A24">
        <w:rPr>
          <w:lang w:val="en-GB"/>
        </w:rPr>
        <w:t xml:space="preserve">claim </w:t>
      </w:r>
      <w:r w:rsidR="001D56A0" w:rsidRPr="00775A24">
        <w:rPr>
          <w:lang w:val="en-GB"/>
        </w:rPr>
        <w:t xml:space="preserve">that the second complainant participated in a number of demonstrations after 2006 without being arrested or otherwise harassed by the police. In addition, they were able to travel </w:t>
      </w:r>
      <w:r w:rsidR="006B38F8" w:rsidRPr="00775A24">
        <w:rPr>
          <w:lang w:val="en-GB"/>
        </w:rPr>
        <w:t xml:space="preserve">to </w:t>
      </w:r>
      <w:r w:rsidR="001D56A0" w:rsidRPr="00775A24">
        <w:rPr>
          <w:lang w:val="en-GB"/>
        </w:rPr>
        <w:t xml:space="preserve">and </w:t>
      </w:r>
      <w:r w:rsidR="006B38F8" w:rsidRPr="00775A24">
        <w:rPr>
          <w:lang w:val="en-GB"/>
        </w:rPr>
        <w:t>from</w:t>
      </w:r>
      <w:r w:rsidR="001D56A0" w:rsidRPr="00775A24">
        <w:rPr>
          <w:lang w:val="en-GB"/>
        </w:rPr>
        <w:t xml:space="preserve"> Belarus on several occasions during the relevant period. </w:t>
      </w:r>
    </w:p>
    <w:p w14:paraId="4132C931" w14:textId="77777777" w:rsidR="0042042C" w:rsidRPr="00775A24" w:rsidRDefault="00423505">
      <w:pPr>
        <w:pStyle w:val="SingleTxtG"/>
        <w:rPr>
          <w:lang w:val="en-GB"/>
        </w:rPr>
      </w:pPr>
      <w:r w:rsidRPr="00775A24">
        <w:rPr>
          <w:lang w:val="en-GB"/>
        </w:rPr>
        <w:t>4.18</w:t>
      </w:r>
      <w:r w:rsidR="00F0471B" w:rsidRPr="00775A24">
        <w:rPr>
          <w:lang w:val="en-GB"/>
        </w:rPr>
        <w:tab/>
        <w:t xml:space="preserve">Moreover, the complainants claim </w:t>
      </w:r>
      <w:r w:rsidR="00782EEC" w:rsidRPr="00775A24">
        <w:rPr>
          <w:lang w:val="en-GB"/>
        </w:rPr>
        <w:t xml:space="preserve">that </w:t>
      </w:r>
      <w:r w:rsidR="00F0471B" w:rsidRPr="00775A24">
        <w:rPr>
          <w:lang w:val="en-GB"/>
        </w:rPr>
        <w:t>their political activities in Sweden</w:t>
      </w:r>
      <w:r w:rsidR="00782EEC" w:rsidRPr="00775A24">
        <w:rPr>
          <w:lang w:val="en-GB"/>
        </w:rPr>
        <w:t xml:space="preserve"> </w:t>
      </w:r>
      <w:r w:rsidR="00F0471B" w:rsidRPr="00775A24">
        <w:rPr>
          <w:lang w:val="en-GB"/>
        </w:rPr>
        <w:t xml:space="preserve">from 2009 have provoked the </w:t>
      </w:r>
      <w:r w:rsidR="00782EEC" w:rsidRPr="00775A24">
        <w:rPr>
          <w:lang w:val="en-GB"/>
        </w:rPr>
        <w:t xml:space="preserve">Belarusian </w:t>
      </w:r>
      <w:r w:rsidR="00F0471B" w:rsidRPr="00775A24">
        <w:rPr>
          <w:lang w:val="en-GB"/>
        </w:rPr>
        <w:t>authorities’ interest in them and therefore they risk being subjected to torture i</w:t>
      </w:r>
      <w:r w:rsidR="00782EEC" w:rsidRPr="00775A24">
        <w:rPr>
          <w:lang w:val="en-GB"/>
        </w:rPr>
        <w:t xml:space="preserve">n case of </w:t>
      </w:r>
      <w:r w:rsidR="00F0471B" w:rsidRPr="00775A24">
        <w:rPr>
          <w:lang w:val="en-GB"/>
        </w:rPr>
        <w:t xml:space="preserve">return. </w:t>
      </w:r>
      <w:r w:rsidR="00F9773B" w:rsidRPr="00775A24">
        <w:rPr>
          <w:lang w:val="en-GB"/>
        </w:rPr>
        <w:t>They have claimed that, during their stay in Sweden, they inter alia submitted an application</w:t>
      </w:r>
      <w:r w:rsidR="00782EEC" w:rsidRPr="00775A24">
        <w:rPr>
          <w:lang w:val="en-GB"/>
        </w:rPr>
        <w:t xml:space="preserve">, in Belarus, </w:t>
      </w:r>
      <w:r w:rsidR="00F9773B" w:rsidRPr="00775A24">
        <w:rPr>
          <w:lang w:val="en-GB"/>
        </w:rPr>
        <w:t xml:space="preserve">for permission to arrange a demonstration on the day of the Belarusian presidential election on 19 December 2010. They have also alleged that they submitted complaints to various </w:t>
      </w:r>
      <w:r w:rsidR="00782EEC" w:rsidRPr="00775A24">
        <w:rPr>
          <w:lang w:val="en-GB"/>
        </w:rPr>
        <w:t xml:space="preserve">Belarusian </w:t>
      </w:r>
      <w:r w:rsidR="00F9773B" w:rsidRPr="00775A24">
        <w:rPr>
          <w:lang w:val="en-GB"/>
        </w:rPr>
        <w:t xml:space="preserve">authorities and disseminated anti-regime propaganda on the </w:t>
      </w:r>
      <w:r w:rsidR="00405135" w:rsidRPr="00775A24">
        <w:rPr>
          <w:lang w:val="en-GB"/>
        </w:rPr>
        <w:t>I</w:t>
      </w:r>
      <w:r w:rsidR="00F9773B" w:rsidRPr="00775A24">
        <w:rPr>
          <w:lang w:val="en-GB"/>
        </w:rPr>
        <w:t xml:space="preserve">nternet. The application regarding the demonstration was allegedly signed by the first complainant and subsequently delivered to the Belarusian authorities by his mother and stepfather. The </w:t>
      </w:r>
      <w:r w:rsidR="00405135" w:rsidRPr="00775A24">
        <w:rPr>
          <w:lang w:val="en-GB"/>
        </w:rPr>
        <w:t xml:space="preserve">latter two </w:t>
      </w:r>
      <w:r w:rsidR="00F9773B" w:rsidRPr="00775A24">
        <w:rPr>
          <w:lang w:val="en-GB"/>
        </w:rPr>
        <w:t xml:space="preserve">allegedly participated in the demonstration and were arrested and detained for two months at the beginning the 2011. Criminal charges were brought against </w:t>
      </w:r>
      <w:r w:rsidR="00405135" w:rsidRPr="00775A24">
        <w:rPr>
          <w:lang w:val="en-GB"/>
        </w:rPr>
        <w:t>the first complainant’s mother and stepfather</w:t>
      </w:r>
      <w:r w:rsidR="00F9773B" w:rsidRPr="00775A24">
        <w:rPr>
          <w:lang w:val="en-GB"/>
        </w:rPr>
        <w:t xml:space="preserve"> for having organi</w:t>
      </w:r>
      <w:r w:rsidR="00405135" w:rsidRPr="00775A24">
        <w:rPr>
          <w:lang w:val="en-GB"/>
        </w:rPr>
        <w:t>z</w:t>
      </w:r>
      <w:r w:rsidR="00F9773B" w:rsidRPr="00775A24">
        <w:rPr>
          <w:lang w:val="en-GB"/>
        </w:rPr>
        <w:t xml:space="preserve">ed and participated in the event. After </w:t>
      </w:r>
      <w:r w:rsidR="00405135" w:rsidRPr="00775A24">
        <w:rPr>
          <w:lang w:val="en-GB"/>
        </w:rPr>
        <w:t>their</w:t>
      </w:r>
      <w:r w:rsidR="00F9773B" w:rsidRPr="00775A24">
        <w:rPr>
          <w:lang w:val="en-GB"/>
        </w:rPr>
        <w:t xml:space="preserve"> release, the </w:t>
      </w:r>
      <w:r w:rsidR="00405135" w:rsidRPr="00775A24">
        <w:rPr>
          <w:lang w:val="en-GB"/>
        </w:rPr>
        <w:t xml:space="preserve">mother and stepfather </w:t>
      </w:r>
      <w:r w:rsidR="00F9773B" w:rsidRPr="00775A24">
        <w:rPr>
          <w:lang w:val="en-GB"/>
        </w:rPr>
        <w:t xml:space="preserve">allegedly informed the complainants that they also were accused of the same offences. The complainants have also alleged that the Belarusian authorities searched their home and made threatening phone calls to them because of their </w:t>
      </w:r>
      <w:r w:rsidR="00210197" w:rsidRPr="00775A24">
        <w:rPr>
          <w:lang w:val="en-GB"/>
        </w:rPr>
        <w:t>involvement</w:t>
      </w:r>
      <w:r w:rsidR="00F9773B" w:rsidRPr="00775A24">
        <w:rPr>
          <w:lang w:val="en-GB"/>
        </w:rPr>
        <w:t xml:space="preserve"> in the demonstration of 19 December 2010. </w:t>
      </w:r>
    </w:p>
    <w:p w14:paraId="545D3909" w14:textId="77777777" w:rsidR="00B27A12" w:rsidRPr="00775A24" w:rsidRDefault="0042042C">
      <w:pPr>
        <w:pStyle w:val="SingleTxtG"/>
        <w:rPr>
          <w:lang w:val="en-GB"/>
        </w:rPr>
      </w:pPr>
      <w:r w:rsidRPr="00775A24">
        <w:rPr>
          <w:lang w:val="en-GB"/>
        </w:rPr>
        <w:t>4.</w:t>
      </w:r>
      <w:r w:rsidR="00423505" w:rsidRPr="00775A24">
        <w:rPr>
          <w:lang w:val="en-GB"/>
        </w:rPr>
        <w:t>19</w:t>
      </w:r>
      <w:r w:rsidRPr="00775A24">
        <w:rPr>
          <w:lang w:val="en-GB"/>
        </w:rPr>
        <w:tab/>
        <w:t xml:space="preserve">The State party notes that the migration authorities have assessed these claims and concluded that they lack credibility. </w:t>
      </w:r>
      <w:r w:rsidR="00782EEC" w:rsidRPr="00775A24">
        <w:rPr>
          <w:lang w:val="en-GB"/>
        </w:rPr>
        <w:t xml:space="preserve">The authorities found it </w:t>
      </w:r>
      <w:r w:rsidRPr="00775A24">
        <w:rPr>
          <w:lang w:val="en-GB"/>
        </w:rPr>
        <w:t xml:space="preserve">remarkable that one would apply for permission for a demonstration in Belarus from Sweden without any intention of participating in person. There are no documents or other evidence that the complainants in fact submitted any applications or complaints, or disseminated information that </w:t>
      </w:r>
      <w:r w:rsidR="001B2027" w:rsidRPr="00775A24">
        <w:rPr>
          <w:lang w:val="en-GB"/>
        </w:rPr>
        <w:t>wa</w:t>
      </w:r>
      <w:r w:rsidRPr="00775A24">
        <w:rPr>
          <w:lang w:val="en-GB"/>
        </w:rPr>
        <w:t xml:space="preserve">s critical of the regime </w:t>
      </w:r>
      <w:r w:rsidR="00782EEC" w:rsidRPr="00775A24">
        <w:rPr>
          <w:lang w:val="en-GB"/>
        </w:rPr>
        <w:t xml:space="preserve">in place </w:t>
      </w:r>
      <w:r w:rsidRPr="00775A24">
        <w:rPr>
          <w:lang w:val="en-GB"/>
        </w:rPr>
        <w:t xml:space="preserve">on the </w:t>
      </w:r>
      <w:r w:rsidR="00405135" w:rsidRPr="00775A24">
        <w:rPr>
          <w:lang w:val="en-GB"/>
        </w:rPr>
        <w:t>I</w:t>
      </w:r>
      <w:r w:rsidRPr="00775A24">
        <w:rPr>
          <w:lang w:val="en-GB"/>
        </w:rPr>
        <w:t xml:space="preserve">nternet. Moreover, the migration authorities </w:t>
      </w:r>
      <w:r w:rsidR="00C80C0F" w:rsidRPr="00775A24">
        <w:rPr>
          <w:lang w:val="en-GB"/>
        </w:rPr>
        <w:t xml:space="preserve">found it odd that the Belarusian authorities </w:t>
      </w:r>
      <w:r w:rsidRPr="00775A24">
        <w:rPr>
          <w:lang w:val="en-GB"/>
        </w:rPr>
        <w:t>would have accused them of participating in the demonstration on 19 December 2010, since the complainants left Be</w:t>
      </w:r>
      <w:r w:rsidR="00C80C0F" w:rsidRPr="00775A24">
        <w:rPr>
          <w:lang w:val="en-GB"/>
        </w:rPr>
        <w:t>larus legally and the authoriti</w:t>
      </w:r>
      <w:r w:rsidRPr="00775A24">
        <w:rPr>
          <w:lang w:val="en-GB"/>
        </w:rPr>
        <w:t xml:space="preserve">es must have been aware that they were out of the country at the time. </w:t>
      </w:r>
      <w:r w:rsidR="00C80C0F" w:rsidRPr="00775A24">
        <w:rPr>
          <w:lang w:val="en-GB"/>
        </w:rPr>
        <w:t xml:space="preserve">The State </w:t>
      </w:r>
      <w:r w:rsidR="006318D9" w:rsidRPr="00775A24">
        <w:rPr>
          <w:lang w:val="en-GB"/>
        </w:rPr>
        <w:t>party</w:t>
      </w:r>
      <w:r w:rsidR="00C80C0F" w:rsidRPr="00775A24">
        <w:rPr>
          <w:lang w:val="en-GB"/>
        </w:rPr>
        <w:t xml:space="preserve"> maintains the position of the migration authorities and points out that, </w:t>
      </w:r>
      <w:r w:rsidR="006318D9" w:rsidRPr="00775A24">
        <w:rPr>
          <w:lang w:val="en-GB"/>
        </w:rPr>
        <w:t xml:space="preserve">in accordance with the principle of the burden of proof in asylum cases, it is appropriate to require that the applicant provides relevant information, tells the truth and helps the investigator to clarify all the facts in the </w:t>
      </w:r>
      <w:r w:rsidR="006318D9" w:rsidRPr="00775A24">
        <w:rPr>
          <w:lang w:val="en-GB"/>
        </w:rPr>
        <w:lastRenderedPageBreak/>
        <w:t>case.</w:t>
      </w:r>
      <w:r w:rsidR="003A6E4F" w:rsidRPr="00775A24">
        <w:rPr>
          <w:rStyle w:val="FootnoteReference"/>
          <w:lang w:val="en-GB"/>
        </w:rPr>
        <w:footnoteReference w:id="16"/>
      </w:r>
      <w:r w:rsidR="006318D9" w:rsidRPr="00775A24">
        <w:rPr>
          <w:lang w:val="en-GB"/>
        </w:rPr>
        <w:t xml:space="preserve"> </w:t>
      </w:r>
      <w:r w:rsidR="008530A9" w:rsidRPr="00775A24">
        <w:rPr>
          <w:lang w:val="en-GB"/>
        </w:rPr>
        <w:t xml:space="preserve">The State party contends that it is only when this has been done that the applicants seeking asylum should be granted the benefit of doubt. </w:t>
      </w:r>
    </w:p>
    <w:p w14:paraId="1761FF1D" w14:textId="77777777" w:rsidR="00B55C60" w:rsidRPr="00775A24" w:rsidRDefault="00712124">
      <w:pPr>
        <w:pStyle w:val="SingleTxtG"/>
        <w:rPr>
          <w:lang w:val="en-GB"/>
        </w:rPr>
      </w:pPr>
      <w:r w:rsidRPr="00775A24">
        <w:rPr>
          <w:lang w:val="en-GB"/>
        </w:rPr>
        <w:t>4.2</w:t>
      </w:r>
      <w:r w:rsidR="00423505" w:rsidRPr="00775A24">
        <w:rPr>
          <w:lang w:val="en-GB"/>
        </w:rPr>
        <w:t>0</w:t>
      </w:r>
      <w:r w:rsidRPr="00775A24">
        <w:rPr>
          <w:lang w:val="en-GB"/>
        </w:rPr>
        <w:tab/>
        <w:t xml:space="preserve">In this connection, the State party refers to information </w:t>
      </w:r>
      <w:r w:rsidR="002657EE" w:rsidRPr="00775A24">
        <w:rPr>
          <w:lang w:val="en-GB"/>
        </w:rPr>
        <w:t xml:space="preserve">contained in the reports </w:t>
      </w:r>
      <w:r w:rsidRPr="00775A24">
        <w:rPr>
          <w:lang w:val="en-GB"/>
        </w:rPr>
        <w:t>regarding the demonstrations of 19 December 2010 (</w:t>
      </w:r>
      <w:r w:rsidR="002657EE" w:rsidRPr="00775A24">
        <w:rPr>
          <w:lang w:val="en-GB"/>
        </w:rPr>
        <w:t xml:space="preserve">see </w:t>
      </w:r>
      <w:r w:rsidRPr="00775A24">
        <w:rPr>
          <w:lang w:val="en-GB"/>
        </w:rPr>
        <w:t>para</w:t>
      </w:r>
      <w:r w:rsidR="001A56BA" w:rsidRPr="00775A24">
        <w:rPr>
          <w:lang w:val="en-GB"/>
        </w:rPr>
        <w:t>.</w:t>
      </w:r>
      <w:r w:rsidRPr="00775A24">
        <w:rPr>
          <w:lang w:val="en-GB"/>
        </w:rPr>
        <w:t xml:space="preserve"> 4.7</w:t>
      </w:r>
      <w:r w:rsidR="00DF706F" w:rsidRPr="00775A24">
        <w:rPr>
          <w:lang w:val="en-GB"/>
        </w:rPr>
        <w:t xml:space="preserve"> above</w:t>
      </w:r>
      <w:r w:rsidRPr="00775A24">
        <w:rPr>
          <w:lang w:val="en-GB"/>
        </w:rPr>
        <w:t xml:space="preserve">) and notably to information about the response from the Belarusian authorities to the demonstration during the election found in a Human Rights Watch report </w:t>
      </w:r>
      <w:r w:rsidR="001A56BA" w:rsidRPr="00775A24">
        <w:rPr>
          <w:lang w:val="en-GB"/>
        </w:rPr>
        <w:t>“</w:t>
      </w:r>
      <w:r w:rsidRPr="00775A24">
        <w:rPr>
          <w:lang w:val="en-GB"/>
        </w:rPr>
        <w:t xml:space="preserve">Belarus </w:t>
      </w:r>
      <w:r w:rsidR="00B56C53" w:rsidRPr="00775A24">
        <w:rPr>
          <w:lang w:val="en-GB"/>
        </w:rPr>
        <w:t>survey shows massive abuse of protesters</w:t>
      </w:r>
      <w:r w:rsidR="001A56BA" w:rsidRPr="00775A24">
        <w:rPr>
          <w:lang w:val="en-GB"/>
        </w:rPr>
        <w:t>”</w:t>
      </w:r>
      <w:r w:rsidR="00125860" w:rsidRPr="00775A24">
        <w:rPr>
          <w:lang w:val="en-GB"/>
        </w:rPr>
        <w:t>.</w:t>
      </w:r>
      <w:r w:rsidR="003A6E4F" w:rsidRPr="00775A24">
        <w:rPr>
          <w:rStyle w:val="FootnoteReference"/>
          <w:lang w:val="en-GB"/>
        </w:rPr>
        <w:footnoteReference w:id="17"/>
      </w:r>
      <w:r w:rsidRPr="00775A24">
        <w:rPr>
          <w:lang w:val="en-GB"/>
        </w:rPr>
        <w:t xml:space="preserve"> </w:t>
      </w:r>
      <w:r w:rsidR="00CB2B9E" w:rsidRPr="00775A24">
        <w:rPr>
          <w:lang w:val="en-GB"/>
        </w:rPr>
        <w:t>In</w:t>
      </w:r>
      <w:r w:rsidR="00405135" w:rsidRPr="00775A24">
        <w:rPr>
          <w:lang w:val="en-GB"/>
        </w:rPr>
        <w:t xml:space="preserve"> the</w:t>
      </w:r>
      <w:r w:rsidR="00CB2B9E" w:rsidRPr="00775A24">
        <w:rPr>
          <w:lang w:val="en-GB"/>
        </w:rPr>
        <w:t xml:space="preserve"> light of this information, the complainants’ allegation that they would be of interest to the authorities because they applied for permission for the demonstration lacks credibility. </w:t>
      </w:r>
      <w:r w:rsidR="00161858" w:rsidRPr="00775A24">
        <w:rPr>
          <w:lang w:val="en-GB"/>
        </w:rPr>
        <w:t xml:space="preserve">The State party notes that it appears </w:t>
      </w:r>
      <w:r w:rsidR="00FD157C" w:rsidRPr="00775A24">
        <w:rPr>
          <w:lang w:val="en-GB"/>
        </w:rPr>
        <w:t xml:space="preserve">that </w:t>
      </w:r>
      <w:r w:rsidR="00161858" w:rsidRPr="00775A24">
        <w:rPr>
          <w:lang w:val="en-GB"/>
        </w:rPr>
        <w:t xml:space="preserve">the demonstration </w:t>
      </w:r>
      <w:r w:rsidR="00FD157C" w:rsidRPr="00775A24">
        <w:rPr>
          <w:lang w:val="en-GB"/>
        </w:rPr>
        <w:t xml:space="preserve">in question </w:t>
      </w:r>
      <w:r w:rsidR="00161858" w:rsidRPr="00775A24">
        <w:rPr>
          <w:lang w:val="en-GB"/>
        </w:rPr>
        <w:t xml:space="preserve">started peacefully and the authorities only intervened when the election results had been announced and riots had broken out. </w:t>
      </w:r>
    </w:p>
    <w:p w14:paraId="2584C425" w14:textId="77777777" w:rsidR="00DF6280" w:rsidRPr="00775A24" w:rsidRDefault="00423505">
      <w:pPr>
        <w:pStyle w:val="SingleTxtG"/>
        <w:rPr>
          <w:lang w:val="en-GB"/>
        </w:rPr>
      </w:pPr>
      <w:r w:rsidRPr="00775A24">
        <w:rPr>
          <w:lang w:val="en-GB"/>
        </w:rPr>
        <w:t>4.21</w:t>
      </w:r>
      <w:r w:rsidR="00B55C60" w:rsidRPr="00775A24">
        <w:rPr>
          <w:lang w:val="en-GB"/>
        </w:rPr>
        <w:tab/>
        <w:t>As regards the complaina</w:t>
      </w:r>
      <w:r w:rsidR="00C71E6F" w:rsidRPr="00775A24">
        <w:rPr>
          <w:lang w:val="en-GB"/>
        </w:rPr>
        <w:t>n</w:t>
      </w:r>
      <w:r w:rsidR="00B55C60" w:rsidRPr="00775A24">
        <w:rPr>
          <w:lang w:val="en-GB"/>
        </w:rPr>
        <w:t>ts</w:t>
      </w:r>
      <w:r w:rsidR="00DF6280" w:rsidRPr="00775A24">
        <w:rPr>
          <w:lang w:val="en-GB"/>
        </w:rPr>
        <w:t>’ s</w:t>
      </w:r>
      <w:r w:rsidR="00B55C60" w:rsidRPr="00775A24">
        <w:rPr>
          <w:lang w:val="en-GB"/>
        </w:rPr>
        <w:t xml:space="preserve">ubmission </w:t>
      </w:r>
      <w:r w:rsidR="00C71E6F" w:rsidRPr="00775A24">
        <w:rPr>
          <w:lang w:val="en-GB"/>
        </w:rPr>
        <w:t>concerning</w:t>
      </w:r>
      <w:r w:rsidR="00B55C60" w:rsidRPr="00775A24">
        <w:rPr>
          <w:lang w:val="en-GB"/>
        </w:rPr>
        <w:t xml:space="preserve"> the political activity of the first applicant’s </w:t>
      </w:r>
      <w:r w:rsidR="00DD23C8" w:rsidRPr="00775A24">
        <w:rPr>
          <w:lang w:val="en-GB"/>
        </w:rPr>
        <w:t>mother and stepfather</w:t>
      </w:r>
      <w:r w:rsidR="00B55C60" w:rsidRPr="00775A24">
        <w:rPr>
          <w:lang w:val="en-GB"/>
        </w:rPr>
        <w:t xml:space="preserve">, the State party notes that the complainants have failed to submit any evidence </w:t>
      </w:r>
      <w:r w:rsidR="00FD157C" w:rsidRPr="00775A24">
        <w:rPr>
          <w:lang w:val="en-GB"/>
        </w:rPr>
        <w:t xml:space="preserve">regarding the allegations </w:t>
      </w:r>
      <w:r w:rsidR="00B55C60" w:rsidRPr="00775A24">
        <w:rPr>
          <w:lang w:val="en-GB"/>
        </w:rPr>
        <w:t>that the</w:t>
      </w:r>
      <w:r w:rsidR="00E7438F" w:rsidRPr="00775A24">
        <w:rPr>
          <w:lang w:val="en-GB"/>
        </w:rPr>
        <w:t>y</w:t>
      </w:r>
      <w:r w:rsidR="00B55C60" w:rsidRPr="00775A24">
        <w:rPr>
          <w:lang w:val="en-GB"/>
        </w:rPr>
        <w:t xml:space="preserve"> were politically active, participated in the demonstratio</w:t>
      </w:r>
      <w:r w:rsidR="00C71E6F" w:rsidRPr="00775A24">
        <w:rPr>
          <w:lang w:val="en-GB"/>
        </w:rPr>
        <w:t>n</w:t>
      </w:r>
      <w:r w:rsidR="00B55C60" w:rsidRPr="00775A24">
        <w:rPr>
          <w:lang w:val="en-GB"/>
        </w:rPr>
        <w:t xml:space="preserve"> on 19 December 2010 or were detained by the authorities. The State party does not question the assertion that the first complainant’s </w:t>
      </w:r>
      <w:r w:rsidR="00E7438F" w:rsidRPr="00775A24">
        <w:rPr>
          <w:lang w:val="en-GB"/>
        </w:rPr>
        <w:t xml:space="preserve">mother and stepfather </w:t>
      </w:r>
      <w:r w:rsidR="00B55C60" w:rsidRPr="00775A24">
        <w:rPr>
          <w:lang w:val="en-GB"/>
        </w:rPr>
        <w:t xml:space="preserve">were members of the </w:t>
      </w:r>
      <w:r w:rsidR="0078056C" w:rsidRPr="00775A24">
        <w:rPr>
          <w:lang w:val="en-GB"/>
        </w:rPr>
        <w:t>United Civil Party</w:t>
      </w:r>
      <w:r w:rsidR="00B55C60" w:rsidRPr="00775A24">
        <w:rPr>
          <w:lang w:val="en-GB"/>
        </w:rPr>
        <w:t xml:space="preserve">, but maintains that this does not prove that they are subjected to persecution or ill-treatment by the authorities, especially since the </w:t>
      </w:r>
      <w:r w:rsidR="0078056C" w:rsidRPr="00775A24">
        <w:rPr>
          <w:lang w:val="en-GB"/>
        </w:rPr>
        <w:t xml:space="preserve">United Civil Party </w:t>
      </w:r>
      <w:r w:rsidR="00B55C60" w:rsidRPr="00775A24">
        <w:rPr>
          <w:lang w:val="en-GB"/>
        </w:rPr>
        <w:t xml:space="preserve">is a legal party. </w:t>
      </w:r>
      <w:r w:rsidR="00FA1A88" w:rsidRPr="00775A24">
        <w:rPr>
          <w:lang w:val="en-GB"/>
        </w:rPr>
        <w:t xml:space="preserve">Moreover, neither the </w:t>
      </w:r>
      <w:r w:rsidR="00E7438F" w:rsidRPr="00775A24">
        <w:rPr>
          <w:lang w:val="en-GB"/>
        </w:rPr>
        <w:t xml:space="preserve">mother and stepfather </w:t>
      </w:r>
      <w:r w:rsidR="00FA1A88" w:rsidRPr="00775A24">
        <w:rPr>
          <w:lang w:val="en-GB"/>
        </w:rPr>
        <w:t>nor the complainants themselves are on the list of pe</w:t>
      </w:r>
      <w:r w:rsidR="00FD157C" w:rsidRPr="00775A24">
        <w:rPr>
          <w:lang w:val="en-GB"/>
        </w:rPr>
        <w:t>ople</w:t>
      </w:r>
      <w:r w:rsidR="00FA1A88" w:rsidRPr="00775A24">
        <w:rPr>
          <w:lang w:val="en-GB"/>
        </w:rPr>
        <w:t xml:space="preserve"> arrested, suspected or accused of crimes in relation to the events on 19 December 2010.</w:t>
      </w:r>
      <w:r w:rsidR="00FA1A88" w:rsidRPr="00775A24">
        <w:rPr>
          <w:rStyle w:val="FootnoteReference"/>
          <w:lang w:val="en-GB"/>
        </w:rPr>
        <w:footnoteReference w:id="18"/>
      </w:r>
      <w:r w:rsidR="00B55C60" w:rsidRPr="00775A24">
        <w:rPr>
          <w:lang w:val="en-GB"/>
        </w:rPr>
        <w:t xml:space="preserve"> </w:t>
      </w:r>
    </w:p>
    <w:p w14:paraId="7165734A" w14:textId="77777777" w:rsidR="00712124" w:rsidRPr="00775A24" w:rsidRDefault="00423505">
      <w:pPr>
        <w:pStyle w:val="SingleTxtG"/>
        <w:rPr>
          <w:lang w:val="en-GB"/>
        </w:rPr>
      </w:pPr>
      <w:r w:rsidRPr="00775A24">
        <w:rPr>
          <w:lang w:val="en-GB"/>
        </w:rPr>
        <w:t>4.22</w:t>
      </w:r>
      <w:r w:rsidR="00DF6280" w:rsidRPr="00775A24">
        <w:rPr>
          <w:lang w:val="en-GB"/>
        </w:rPr>
        <w:tab/>
      </w:r>
      <w:r w:rsidR="008B13D8" w:rsidRPr="00775A24">
        <w:rPr>
          <w:lang w:val="en-GB"/>
        </w:rPr>
        <w:t xml:space="preserve">Furthermore, the State party shares the migration authorities’ view that the documents submitted by the complainants have low evidentiary value. The </w:t>
      </w:r>
      <w:r w:rsidR="00E7438F" w:rsidRPr="00775A24">
        <w:rPr>
          <w:lang w:val="en-GB"/>
        </w:rPr>
        <w:t xml:space="preserve">mother and stepfather’s </w:t>
      </w:r>
      <w:r w:rsidR="008B13D8" w:rsidRPr="00775A24">
        <w:rPr>
          <w:lang w:val="en-GB"/>
        </w:rPr>
        <w:t>party membership cards are of a simple nature and party membership does not in any case prove that the</w:t>
      </w:r>
      <w:r w:rsidR="00E7438F" w:rsidRPr="00775A24">
        <w:rPr>
          <w:lang w:val="en-GB"/>
        </w:rPr>
        <w:t>y</w:t>
      </w:r>
      <w:r w:rsidR="008B13D8" w:rsidRPr="00775A24">
        <w:rPr>
          <w:lang w:val="en-GB"/>
        </w:rPr>
        <w:t xml:space="preserve"> were of interest to the authorities or prove treatment </w:t>
      </w:r>
      <w:r w:rsidR="003239B5" w:rsidRPr="00775A24">
        <w:rPr>
          <w:lang w:val="en-GB"/>
        </w:rPr>
        <w:t>contrary to</w:t>
      </w:r>
      <w:r w:rsidR="008B13D8" w:rsidRPr="00775A24">
        <w:rPr>
          <w:lang w:val="en-GB"/>
        </w:rPr>
        <w:t xml:space="preserve"> the Convention. Moreover, the documents stating that the complainants are summon</w:t>
      </w:r>
      <w:r w:rsidR="00756DA5" w:rsidRPr="00775A24">
        <w:rPr>
          <w:lang w:val="en-GB"/>
        </w:rPr>
        <w:t>s</w:t>
      </w:r>
      <w:r w:rsidR="008B13D8" w:rsidRPr="00775A24">
        <w:rPr>
          <w:lang w:val="en-GB"/>
        </w:rPr>
        <w:t xml:space="preserve">ed </w:t>
      </w:r>
      <w:r w:rsidR="003239B5" w:rsidRPr="00775A24">
        <w:rPr>
          <w:lang w:val="en-GB"/>
        </w:rPr>
        <w:t xml:space="preserve">by </w:t>
      </w:r>
      <w:r w:rsidR="008B13D8" w:rsidRPr="00775A24">
        <w:rPr>
          <w:lang w:val="en-GB"/>
        </w:rPr>
        <w:t xml:space="preserve">the police in Minsk for questioning do not prove that they are accused of any crimes in relation to the demonstration or </w:t>
      </w:r>
      <w:r w:rsidR="00E7438F" w:rsidRPr="00775A24">
        <w:rPr>
          <w:lang w:val="en-GB"/>
        </w:rPr>
        <w:t xml:space="preserve">owing </w:t>
      </w:r>
      <w:r w:rsidR="008B13D8" w:rsidRPr="00775A24">
        <w:rPr>
          <w:lang w:val="en-GB"/>
        </w:rPr>
        <w:t xml:space="preserve">to their political activities. </w:t>
      </w:r>
    </w:p>
    <w:p w14:paraId="5C04D265" w14:textId="77777777" w:rsidR="008B13D8" w:rsidRPr="00775A24" w:rsidRDefault="00423505" w:rsidP="00082E00">
      <w:pPr>
        <w:pStyle w:val="SingleTxtG"/>
        <w:rPr>
          <w:lang w:val="en-GB"/>
        </w:rPr>
      </w:pPr>
      <w:r w:rsidRPr="00775A24">
        <w:rPr>
          <w:lang w:val="en-GB"/>
        </w:rPr>
        <w:t>4.23</w:t>
      </w:r>
      <w:r w:rsidR="00140F8E" w:rsidRPr="00775A24">
        <w:rPr>
          <w:lang w:val="en-GB"/>
        </w:rPr>
        <w:tab/>
        <w:t>The State p</w:t>
      </w:r>
      <w:r w:rsidR="008B13D8" w:rsidRPr="00775A24">
        <w:rPr>
          <w:lang w:val="en-GB"/>
        </w:rPr>
        <w:t xml:space="preserve">arty contends that the complainants have failed to provide any documents or other evidence showing that they are wanted by the Belarusian authorities or the subject </w:t>
      </w:r>
      <w:r w:rsidR="00140F8E" w:rsidRPr="00775A24">
        <w:rPr>
          <w:lang w:val="en-GB"/>
        </w:rPr>
        <w:t xml:space="preserve">of any legal or administrative proceedings </w:t>
      </w:r>
      <w:r w:rsidR="00A77062" w:rsidRPr="00775A24">
        <w:rPr>
          <w:lang w:val="en-GB"/>
        </w:rPr>
        <w:t xml:space="preserve">owing </w:t>
      </w:r>
      <w:r w:rsidR="00140F8E" w:rsidRPr="00775A24">
        <w:rPr>
          <w:lang w:val="en-GB"/>
        </w:rPr>
        <w:t>to their political activities. They are not members of any political party and have not show</w:t>
      </w:r>
      <w:r w:rsidR="00E7438F" w:rsidRPr="00775A24">
        <w:rPr>
          <w:lang w:val="en-GB"/>
        </w:rPr>
        <w:t>n</w:t>
      </w:r>
      <w:r w:rsidR="00140F8E" w:rsidRPr="00775A24">
        <w:rPr>
          <w:lang w:val="en-GB"/>
        </w:rPr>
        <w:t xml:space="preserve"> that the authorities have any interest in their alleged political activities. The State party thus holds that the complainants have failed to substantiate the claim that they are at risk of being subjected to treatment contrary to article 3 of the Convention </w:t>
      </w:r>
      <w:r w:rsidR="00384974" w:rsidRPr="00775A24">
        <w:rPr>
          <w:lang w:val="en-GB"/>
        </w:rPr>
        <w:t>based on</w:t>
      </w:r>
      <w:r w:rsidR="00140F8E" w:rsidRPr="00775A24">
        <w:rPr>
          <w:lang w:val="en-GB"/>
        </w:rPr>
        <w:t xml:space="preserve"> their political activities. </w:t>
      </w:r>
    </w:p>
    <w:p w14:paraId="400857EA" w14:textId="77777777" w:rsidR="00140F8E" w:rsidRPr="00775A24" w:rsidRDefault="00423505">
      <w:pPr>
        <w:pStyle w:val="SingleTxtG"/>
        <w:rPr>
          <w:lang w:val="en-GB"/>
        </w:rPr>
      </w:pPr>
      <w:r w:rsidRPr="00775A24">
        <w:rPr>
          <w:lang w:val="en-GB"/>
        </w:rPr>
        <w:t>4.24</w:t>
      </w:r>
      <w:r w:rsidR="00140F8E" w:rsidRPr="00775A24">
        <w:rPr>
          <w:lang w:val="en-GB"/>
        </w:rPr>
        <w:tab/>
      </w:r>
      <w:r w:rsidR="00384974" w:rsidRPr="00775A24">
        <w:rPr>
          <w:lang w:val="en-GB"/>
        </w:rPr>
        <w:t>The State party notes that</w:t>
      </w:r>
      <w:r w:rsidR="00E7438F" w:rsidRPr="00775A24">
        <w:rPr>
          <w:lang w:val="en-GB"/>
        </w:rPr>
        <w:t>,</w:t>
      </w:r>
      <w:r w:rsidR="00384974" w:rsidRPr="00775A24">
        <w:rPr>
          <w:lang w:val="en-GB"/>
        </w:rPr>
        <w:t xml:space="preserve"> i</w:t>
      </w:r>
      <w:r w:rsidR="00140F8E" w:rsidRPr="00775A24">
        <w:rPr>
          <w:lang w:val="en-GB"/>
        </w:rPr>
        <w:t xml:space="preserve">n a further submission to the Committee, the complainants state, inter alia, that the first complainant previously conducted business activities as an entrepreneur in Belarus, that his company was shut down by the </w:t>
      </w:r>
      <w:r w:rsidR="009D0ACB" w:rsidRPr="00775A24">
        <w:rPr>
          <w:lang w:val="en-GB"/>
        </w:rPr>
        <w:t xml:space="preserve">local </w:t>
      </w:r>
      <w:r w:rsidR="00140F8E" w:rsidRPr="00775A24">
        <w:rPr>
          <w:lang w:val="en-GB"/>
        </w:rPr>
        <w:t>authorities and that he has been prosecuted because of tax debts, although he had no outstanding debts when he left Belarus. The complainants claim that this is an indication that there is still some risk that the first complainant</w:t>
      </w:r>
      <w:r w:rsidR="00575E88" w:rsidRPr="00775A24">
        <w:rPr>
          <w:lang w:val="en-GB"/>
        </w:rPr>
        <w:t xml:space="preserve"> </w:t>
      </w:r>
      <w:r w:rsidR="00140F8E" w:rsidRPr="00775A24">
        <w:rPr>
          <w:lang w:val="en-GB"/>
        </w:rPr>
        <w:t>might be prosecuted</w:t>
      </w:r>
      <w:r w:rsidR="00E7438F" w:rsidRPr="00775A24">
        <w:rPr>
          <w:lang w:val="en-GB"/>
        </w:rPr>
        <w:t>,</w:t>
      </w:r>
      <w:r w:rsidR="00140F8E" w:rsidRPr="00775A24">
        <w:rPr>
          <w:lang w:val="en-GB"/>
        </w:rPr>
        <w:t xml:space="preserve"> officially because of his previous economic activities, but in fact because of his political activities. In </w:t>
      </w:r>
      <w:r w:rsidR="00E7438F" w:rsidRPr="00775A24">
        <w:rPr>
          <w:lang w:val="en-GB"/>
        </w:rPr>
        <w:t xml:space="preserve">that </w:t>
      </w:r>
      <w:r w:rsidR="00140F8E" w:rsidRPr="00775A24">
        <w:rPr>
          <w:lang w:val="en-GB"/>
        </w:rPr>
        <w:t xml:space="preserve">connection, the complainants have submitted a certificate stating that the first complainant registered </w:t>
      </w:r>
      <w:r w:rsidR="002D40B0" w:rsidRPr="00775A24">
        <w:rPr>
          <w:lang w:val="en-GB"/>
        </w:rPr>
        <w:t>a private company on 11 December 2008</w:t>
      </w:r>
      <w:r w:rsidR="009D0ACB" w:rsidRPr="00775A24">
        <w:rPr>
          <w:lang w:val="en-GB"/>
        </w:rPr>
        <w:t>,</w:t>
      </w:r>
      <w:r w:rsidR="002D40B0" w:rsidRPr="00775A24">
        <w:rPr>
          <w:lang w:val="en-GB"/>
        </w:rPr>
        <w:t xml:space="preserve"> and a summons </w:t>
      </w:r>
      <w:r w:rsidR="009D0ACB" w:rsidRPr="00775A24">
        <w:rPr>
          <w:lang w:val="en-GB"/>
        </w:rPr>
        <w:t>to appear in</w:t>
      </w:r>
      <w:r w:rsidR="002D40B0" w:rsidRPr="00775A24">
        <w:rPr>
          <w:lang w:val="en-GB"/>
        </w:rPr>
        <w:t xml:space="preserve"> court on 18 July 2011 </w:t>
      </w:r>
      <w:r w:rsidR="009D0ACB" w:rsidRPr="00775A24">
        <w:rPr>
          <w:lang w:val="en-GB"/>
        </w:rPr>
        <w:t>inviting him to present</w:t>
      </w:r>
      <w:r w:rsidR="002D40B0" w:rsidRPr="00775A24">
        <w:rPr>
          <w:lang w:val="en-GB"/>
        </w:rPr>
        <w:t xml:space="preserve"> a receipt or a similar document as proof of payment (</w:t>
      </w:r>
      <w:r w:rsidR="009D0ACB" w:rsidRPr="00775A24">
        <w:rPr>
          <w:lang w:val="en-GB"/>
        </w:rPr>
        <w:t>no further details are provided</w:t>
      </w:r>
      <w:r w:rsidR="002D40B0" w:rsidRPr="00775A24">
        <w:rPr>
          <w:lang w:val="en-GB"/>
        </w:rPr>
        <w:t xml:space="preserve">). As far as the State party is aware, the complainants have not submitted the second document in the proceedings before the Swedish migration authorities. </w:t>
      </w:r>
    </w:p>
    <w:p w14:paraId="1B218314" w14:textId="77777777" w:rsidR="002D40B0" w:rsidRPr="00775A24" w:rsidRDefault="00423505">
      <w:pPr>
        <w:pStyle w:val="SingleTxtG"/>
        <w:rPr>
          <w:lang w:val="en-GB"/>
        </w:rPr>
      </w:pPr>
      <w:r w:rsidRPr="00775A24">
        <w:rPr>
          <w:lang w:val="en-GB"/>
        </w:rPr>
        <w:t>4.25</w:t>
      </w:r>
      <w:r w:rsidR="002D40B0" w:rsidRPr="00775A24">
        <w:rPr>
          <w:lang w:val="en-GB"/>
        </w:rPr>
        <w:tab/>
        <w:t>In this regard, the State party notes that the complainants have not submitted any written documentation in support of their claim that the first complainant has been prosecuted. The State party</w:t>
      </w:r>
      <w:r w:rsidR="00624FBF" w:rsidRPr="00775A24">
        <w:rPr>
          <w:lang w:val="en-GB"/>
        </w:rPr>
        <w:t xml:space="preserve"> </w:t>
      </w:r>
      <w:r w:rsidR="002D40B0" w:rsidRPr="00775A24">
        <w:rPr>
          <w:lang w:val="en-GB"/>
        </w:rPr>
        <w:t xml:space="preserve">contends that the complainants have failed to substantiate the claim that the first complainant is at risk of being subjected to treatment contrary to article 3 of the Convention </w:t>
      </w:r>
      <w:r w:rsidR="008555AF" w:rsidRPr="00775A24">
        <w:rPr>
          <w:lang w:val="en-GB"/>
        </w:rPr>
        <w:t xml:space="preserve">owing </w:t>
      </w:r>
      <w:r w:rsidR="002D40B0" w:rsidRPr="00775A24">
        <w:rPr>
          <w:lang w:val="en-GB"/>
        </w:rPr>
        <w:t xml:space="preserve">to his business activities. </w:t>
      </w:r>
      <w:r w:rsidR="00624FBF" w:rsidRPr="00775A24">
        <w:rPr>
          <w:lang w:val="en-GB"/>
        </w:rPr>
        <w:t xml:space="preserve">It also reiterates that they have failed to substantiate the claim that they are at risk of being subjected to treatment contrary to article 3 of the Convention </w:t>
      </w:r>
      <w:r w:rsidR="008555AF" w:rsidRPr="00775A24">
        <w:rPr>
          <w:lang w:val="en-GB"/>
        </w:rPr>
        <w:t xml:space="preserve">owing </w:t>
      </w:r>
      <w:r w:rsidR="00624FBF" w:rsidRPr="00775A24">
        <w:rPr>
          <w:lang w:val="en-GB"/>
        </w:rPr>
        <w:t xml:space="preserve">to their political activities and their latest submission to the Committee does not alter this assessment. </w:t>
      </w:r>
    </w:p>
    <w:p w14:paraId="6FAE4C49" w14:textId="77777777" w:rsidR="00DC2DE8" w:rsidRPr="00775A24" w:rsidRDefault="00C33280">
      <w:pPr>
        <w:pStyle w:val="SingleTxtG"/>
        <w:rPr>
          <w:lang w:val="en-GB"/>
        </w:rPr>
      </w:pPr>
      <w:r w:rsidRPr="00775A24">
        <w:rPr>
          <w:lang w:val="en-GB"/>
        </w:rPr>
        <w:t>4.2</w:t>
      </w:r>
      <w:r w:rsidR="00423505" w:rsidRPr="00537939">
        <w:rPr>
          <w:lang w:val="en-GB"/>
        </w:rPr>
        <w:t>6</w:t>
      </w:r>
      <w:r w:rsidR="00DC2DE8" w:rsidRPr="00775A24">
        <w:rPr>
          <w:lang w:val="en-GB"/>
        </w:rPr>
        <w:t xml:space="preserve"> </w:t>
      </w:r>
      <w:r w:rsidR="00CD7BD2" w:rsidRPr="00775A24">
        <w:rPr>
          <w:lang w:val="en-GB"/>
        </w:rPr>
        <w:tab/>
      </w:r>
      <w:r w:rsidR="00DC2DE8" w:rsidRPr="00775A24">
        <w:rPr>
          <w:lang w:val="en-GB"/>
        </w:rPr>
        <w:t>In sum</w:t>
      </w:r>
      <w:r w:rsidR="008555AF" w:rsidRPr="00775A24">
        <w:rPr>
          <w:lang w:val="en-GB"/>
        </w:rPr>
        <w:t>mary</w:t>
      </w:r>
      <w:r w:rsidR="00DC2DE8" w:rsidRPr="00775A24">
        <w:rPr>
          <w:lang w:val="en-GB"/>
        </w:rPr>
        <w:t xml:space="preserve">, the State party maintains that the present communication should be declared inadmissible as manifestly unfounded </w:t>
      </w:r>
      <w:r w:rsidR="00E0731F" w:rsidRPr="00775A24">
        <w:rPr>
          <w:lang w:val="en-GB"/>
        </w:rPr>
        <w:t xml:space="preserve">under article 22 </w:t>
      </w:r>
      <w:r w:rsidR="008555AF" w:rsidRPr="00775A24">
        <w:rPr>
          <w:lang w:val="en-GB"/>
        </w:rPr>
        <w:t>(</w:t>
      </w:r>
      <w:r w:rsidR="00E0731F" w:rsidRPr="00775A24">
        <w:rPr>
          <w:lang w:val="en-GB"/>
        </w:rPr>
        <w:t>2</w:t>
      </w:r>
      <w:r w:rsidR="008555AF" w:rsidRPr="00537939">
        <w:rPr>
          <w:lang w:val="en-GB"/>
        </w:rPr>
        <w:t>)</w:t>
      </w:r>
      <w:r w:rsidR="009D0ACB" w:rsidRPr="00775A24">
        <w:rPr>
          <w:lang w:val="en-GB"/>
        </w:rPr>
        <w:t xml:space="preserve"> of the Convention</w:t>
      </w:r>
      <w:r w:rsidR="00E0731F" w:rsidRPr="00775A24">
        <w:rPr>
          <w:lang w:val="en-GB"/>
        </w:rPr>
        <w:t xml:space="preserve"> </w:t>
      </w:r>
      <w:r w:rsidR="00DC2DE8" w:rsidRPr="00775A24">
        <w:rPr>
          <w:lang w:val="en-GB"/>
        </w:rPr>
        <w:t>and rule 113</w:t>
      </w:r>
      <w:r w:rsidR="008555AF" w:rsidRPr="00775A24">
        <w:rPr>
          <w:lang w:val="en-GB"/>
        </w:rPr>
        <w:t xml:space="preserve"> </w:t>
      </w:r>
      <w:r w:rsidR="00DC2DE8" w:rsidRPr="00775A24">
        <w:rPr>
          <w:lang w:val="en-GB"/>
        </w:rPr>
        <w:t>(b) of the</w:t>
      </w:r>
      <w:r w:rsidR="00E0731F" w:rsidRPr="00775A24">
        <w:rPr>
          <w:lang w:val="en-GB"/>
        </w:rPr>
        <w:t xml:space="preserve"> Committee’s rules of procedure</w:t>
      </w:r>
      <w:r w:rsidR="00DC2DE8" w:rsidRPr="00775A24">
        <w:rPr>
          <w:lang w:val="en-GB"/>
        </w:rPr>
        <w:t xml:space="preserve"> or, in the alternative, that the present communication reveals no violation of the Convention</w:t>
      </w:r>
      <w:r w:rsidR="009D0ACB" w:rsidRPr="00537939">
        <w:rPr>
          <w:lang w:val="en-GB"/>
        </w:rPr>
        <w:t xml:space="preserve"> on the merits</w:t>
      </w:r>
      <w:r w:rsidR="00DC2DE8" w:rsidRPr="00775A24">
        <w:rPr>
          <w:lang w:val="en-GB"/>
        </w:rPr>
        <w:t>.</w:t>
      </w:r>
    </w:p>
    <w:p w14:paraId="0CB18B4D" w14:textId="77777777" w:rsidR="00FA4AEA" w:rsidRPr="00775A24" w:rsidRDefault="00CD7BD2" w:rsidP="00775A24">
      <w:pPr>
        <w:pStyle w:val="H23G"/>
      </w:pPr>
      <w:r w:rsidRPr="00537939">
        <w:rPr>
          <w:bCs/>
          <w:sz w:val="22"/>
          <w:szCs w:val="22"/>
        </w:rPr>
        <w:tab/>
      </w:r>
      <w:r w:rsidR="00EF41D7" w:rsidRPr="00775A24">
        <w:rPr>
          <w:bCs/>
          <w:sz w:val="22"/>
          <w:szCs w:val="22"/>
        </w:rPr>
        <w:tab/>
      </w:r>
      <w:r w:rsidR="004A6004" w:rsidRPr="00537939">
        <w:rPr>
          <w:bCs/>
        </w:rPr>
        <w:t>The c</w:t>
      </w:r>
      <w:r w:rsidR="00A07F18" w:rsidRPr="00775A24">
        <w:rPr>
          <w:bCs/>
        </w:rPr>
        <w:t>omplainants</w:t>
      </w:r>
      <w:r w:rsidR="00DC2DE8" w:rsidRPr="00775A24">
        <w:rPr>
          <w:bCs/>
        </w:rPr>
        <w:t>’</w:t>
      </w:r>
      <w:r w:rsidR="00A07F18" w:rsidRPr="00775A24">
        <w:rPr>
          <w:bCs/>
        </w:rPr>
        <w:t xml:space="preserve"> comments on the State party’s observations</w:t>
      </w:r>
      <w:r w:rsidR="00857F39" w:rsidRPr="00775A24">
        <w:rPr>
          <w:bCs/>
        </w:rPr>
        <w:t xml:space="preserve"> </w:t>
      </w:r>
      <w:r w:rsidR="00A07F18" w:rsidRPr="00775A24">
        <w:rPr>
          <w:bCs/>
        </w:rPr>
        <w:t>on</w:t>
      </w:r>
      <w:r w:rsidRPr="00775A24">
        <w:rPr>
          <w:bCs/>
        </w:rPr>
        <w:tab/>
      </w:r>
      <w:r w:rsidR="00A07F18" w:rsidRPr="00775A24">
        <w:rPr>
          <w:bCs/>
        </w:rPr>
        <w:t>admissibility and merits</w:t>
      </w:r>
    </w:p>
    <w:p w14:paraId="1239C957" w14:textId="77777777" w:rsidR="002428C2" w:rsidRPr="00775A24" w:rsidRDefault="00C0516D">
      <w:pPr>
        <w:pStyle w:val="SingleTxtG"/>
        <w:rPr>
          <w:lang w:val="en-GB"/>
        </w:rPr>
      </w:pPr>
      <w:r w:rsidRPr="00775A24">
        <w:rPr>
          <w:lang w:val="en-GB"/>
        </w:rPr>
        <w:t>5.1</w:t>
      </w:r>
      <w:r w:rsidRPr="00775A24">
        <w:rPr>
          <w:lang w:val="en-GB"/>
        </w:rPr>
        <w:tab/>
      </w:r>
      <w:r w:rsidR="008B0FA1" w:rsidRPr="00775A24">
        <w:rPr>
          <w:lang w:val="en-GB"/>
        </w:rPr>
        <w:t>In reply to the State party’s observations, o</w:t>
      </w:r>
      <w:r w:rsidR="006536F6" w:rsidRPr="00775A24">
        <w:rPr>
          <w:lang w:val="en-GB"/>
        </w:rPr>
        <w:t>n</w:t>
      </w:r>
      <w:r w:rsidR="000050CA" w:rsidRPr="00775A24">
        <w:rPr>
          <w:lang w:val="en-GB"/>
        </w:rPr>
        <w:t xml:space="preserve"> </w:t>
      </w:r>
      <w:r w:rsidR="00FF7DCB" w:rsidRPr="00775A24">
        <w:rPr>
          <w:lang w:val="en-GB"/>
        </w:rPr>
        <w:t>25 July</w:t>
      </w:r>
      <w:r w:rsidR="00C639F5" w:rsidRPr="00775A24">
        <w:rPr>
          <w:lang w:val="en-GB"/>
        </w:rPr>
        <w:t xml:space="preserve"> 201</w:t>
      </w:r>
      <w:r w:rsidR="00FF7DCB" w:rsidRPr="00775A24">
        <w:rPr>
          <w:lang w:val="en-GB"/>
        </w:rPr>
        <w:t>3</w:t>
      </w:r>
      <w:r w:rsidR="000050CA" w:rsidRPr="00775A24">
        <w:rPr>
          <w:lang w:val="en-GB"/>
        </w:rPr>
        <w:t>, the complainant</w:t>
      </w:r>
      <w:r w:rsidR="00EB5E82" w:rsidRPr="00775A24">
        <w:rPr>
          <w:lang w:val="en-GB"/>
        </w:rPr>
        <w:t xml:space="preserve">s firstly submit that </w:t>
      </w:r>
      <w:r w:rsidR="007251CE" w:rsidRPr="00775A24">
        <w:rPr>
          <w:lang w:val="en-GB"/>
        </w:rPr>
        <w:t xml:space="preserve">the </w:t>
      </w:r>
      <w:r w:rsidR="00575E88" w:rsidRPr="00775A24">
        <w:rPr>
          <w:lang w:val="en-GB"/>
        </w:rPr>
        <w:t>second</w:t>
      </w:r>
      <w:r w:rsidR="007251CE" w:rsidRPr="00775A24">
        <w:rPr>
          <w:lang w:val="en-GB"/>
        </w:rPr>
        <w:t xml:space="preserve"> complainant is in a position to present new information on her criminal case in Belarus, notably that she is now able to present material showing that she is under investigation for a serious weapon offence.</w:t>
      </w:r>
      <w:r w:rsidR="007251CE" w:rsidRPr="00537939">
        <w:rPr>
          <w:rStyle w:val="SingleTxtGChar"/>
          <w:sz w:val="22"/>
          <w:szCs w:val="22"/>
          <w:lang w:val="en-GB"/>
        </w:rPr>
        <w:t xml:space="preserve"> </w:t>
      </w:r>
      <w:r w:rsidR="007251CE" w:rsidRPr="00775A24">
        <w:rPr>
          <w:bCs/>
          <w:lang w:val="en-GB"/>
        </w:rPr>
        <w:t xml:space="preserve">The complainants provide a copy of a statement of the </w:t>
      </w:r>
      <w:r w:rsidR="00575E88" w:rsidRPr="00775A24">
        <w:rPr>
          <w:bCs/>
          <w:lang w:val="en-GB"/>
        </w:rPr>
        <w:t>second</w:t>
      </w:r>
      <w:r w:rsidR="007251CE" w:rsidRPr="00775A24">
        <w:rPr>
          <w:bCs/>
          <w:lang w:val="en-GB"/>
        </w:rPr>
        <w:t xml:space="preserve"> complainant’s lawyer in Belarus</w:t>
      </w:r>
      <w:r w:rsidR="00E82E49" w:rsidRPr="00775A24">
        <w:rPr>
          <w:bCs/>
          <w:lang w:val="en-GB"/>
        </w:rPr>
        <w:t xml:space="preserve">. They </w:t>
      </w:r>
      <w:r w:rsidR="007251CE" w:rsidRPr="00775A24">
        <w:rPr>
          <w:lang w:val="en-GB"/>
        </w:rPr>
        <w:t>further note it has not been possible to obtain this document earlier</w:t>
      </w:r>
      <w:r w:rsidR="00E82E49" w:rsidRPr="00775A24">
        <w:rPr>
          <w:lang w:val="en-GB"/>
        </w:rPr>
        <w:t xml:space="preserve"> as</w:t>
      </w:r>
      <w:r w:rsidR="00A77062" w:rsidRPr="00775A24">
        <w:rPr>
          <w:lang w:val="en-GB"/>
        </w:rPr>
        <w:t>,</w:t>
      </w:r>
      <w:r w:rsidR="00E82E49" w:rsidRPr="00775A24">
        <w:rPr>
          <w:lang w:val="en-GB"/>
        </w:rPr>
        <w:t xml:space="preserve"> in the absence of the </w:t>
      </w:r>
      <w:r w:rsidR="00575E88" w:rsidRPr="00775A24">
        <w:rPr>
          <w:lang w:val="en-GB"/>
        </w:rPr>
        <w:t>second</w:t>
      </w:r>
      <w:r w:rsidR="00E82E49" w:rsidRPr="00775A24">
        <w:rPr>
          <w:lang w:val="en-GB"/>
        </w:rPr>
        <w:t xml:space="preserve"> complainant from Belarus</w:t>
      </w:r>
      <w:r w:rsidR="00A77062" w:rsidRPr="00775A24">
        <w:rPr>
          <w:lang w:val="en-GB"/>
        </w:rPr>
        <w:t>,</w:t>
      </w:r>
      <w:r w:rsidR="00E82E49" w:rsidRPr="00775A24">
        <w:rPr>
          <w:lang w:val="en-GB"/>
        </w:rPr>
        <w:t xml:space="preserve"> the only possibility </w:t>
      </w:r>
      <w:r w:rsidR="008555AF" w:rsidRPr="00775A24">
        <w:rPr>
          <w:lang w:val="en-GB"/>
        </w:rPr>
        <w:t>for concluding a contract with</w:t>
      </w:r>
      <w:r w:rsidR="00E82E49" w:rsidRPr="00775A24">
        <w:rPr>
          <w:lang w:val="en-GB"/>
        </w:rPr>
        <w:t xml:space="preserve"> a lawyer </w:t>
      </w:r>
      <w:r w:rsidR="00A2703A" w:rsidRPr="00775A24">
        <w:rPr>
          <w:lang w:val="en-GB"/>
        </w:rPr>
        <w:t>—</w:t>
      </w:r>
      <w:r w:rsidR="008555AF" w:rsidRPr="00775A24">
        <w:rPr>
          <w:lang w:val="en-GB"/>
        </w:rPr>
        <w:t xml:space="preserve"> </w:t>
      </w:r>
      <w:r w:rsidR="00E82E49" w:rsidRPr="00775A24">
        <w:rPr>
          <w:lang w:val="en-GB"/>
        </w:rPr>
        <w:t xml:space="preserve">an absolute requirement according to the Belarusian procedural law for the lawyer to be able to represent officially the client </w:t>
      </w:r>
      <w:r w:rsidR="00A2703A" w:rsidRPr="00775A24">
        <w:rPr>
          <w:lang w:val="en-GB"/>
        </w:rPr>
        <w:t>—</w:t>
      </w:r>
      <w:r w:rsidR="00E82E49" w:rsidRPr="00775A24">
        <w:rPr>
          <w:lang w:val="en-GB"/>
        </w:rPr>
        <w:t xml:space="preserve"> would be through a third person. No one was willing to undertake this assignment and </w:t>
      </w:r>
      <w:r w:rsidR="008555AF" w:rsidRPr="00775A24">
        <w:rPr>
          <w:lang w:val="en-GB"/>
        </w:rPr>
        <w:t xml:space="preserve">conclude </w:t>
      </w:r>
      <w:r w:rsidR="00E82E49" w:rsidRPr="00775A24">
        <w:rPr>
          <w:lang w:val="en-GB"/>
        </w:rPr>
        <w:t xml:space="preserve">a contract with a lawyer. Furthermore, the </w:t>
      </w:r>
      <w:r w:rsidR="00575E88" w:rsidRPr="00775A24">
        <w:rPr>
          <w:lang w:val="en-GB"/>
        </w:rPr>
        <w:t>second</w:t>
      </w:r>
      <w:r w:rsidR="00E82E49" w:rsidRPr="00775A24">
        <w:rPr>
          <w:lang w:val="en-GB"/>
        </w:rPr>
        <w:t xml:space="preserve"> complainant feared that her son who lives in Minsk </w:t>
      </w:r>
      <w:r w:rsidR="008555AF" w:rsidRPr="00775A24">
        <w:rPr>
          <w:lang w:val="en-GB"/>
        </w:rPr>
        <w:t xml:space="preserve">could </w:t>
      </w:r>
      <w:r w:rsidR="00E82E49" w:rsidRPr="00775A24">
        <w:rPr>
          <w:lang w:val="en-GB"/>
        </w:rPr>
        <w:t xml:space="preserve">be persecuted </w:t>
      </w:r>
      <w:r w:rsidR="008555AF" w:rsidRPr="00775A24">
        <w:rPr>
          <w:lang w:val="en-GB"/>
        </w:rPr>
        <w:t xml:space="preserve">if </w:t>
      </w:r>
      <w:r w:rsidR="00E82E49" w:rsidRPr="00775A24">
        <w:rPr>
          <w:lang w:val="en-GB"/>
        </w:rPr>
        <w:t xml:space="preserve">a lawyer </w:t>
      </w:r>
      <w:r w:rsidR="008555AF" w:rsidRPr="00775A24">
        <w:rPr>
          <w:lang w:val="en-GB"/>
        </w:rPr>
        <w:t xml:space="preserve">was </w:t>
      </w:r>
      <w:r w:rsidR="00E82E49" w:rsidRPr="00775A24">
        <w:rPr>
          <w:lang w:val="en-GB"/>
        </w:rPr>
        <w:t>engage</w:t>
      </w:r>
      <w:r w:rsidR="00575E88" w:rsidRPr="00775A24">
        <w:rPr>
          <w:lang w:val="en-GB"/>
        </w:rPr>
        <w:t>d</w:t>
      </w:r>
      <w:r w:rsidR="00E82E49" w:rsidRPr="00775A24">
        <w:rPr>
          <w:lang w:val="en-GB"/>
        </w:rPr>
        <w:t xml:space="preserve"> to inquire </w:t>
      </w:r>
      <w:r w:rsidR="008555AF" w:rsidRPr="00775A24">
        <w:rPr>
          <w:lang w:val="en-GB"/>
        </w:rPr>
        <w:t xml:space="preserve">into </w:t>
      </w:r>
      <w:r w:rsidR="00E82E49" w:rsidRPr="00775A24">
        <w:rPr>
          <w:lang w:val="en-GB"/>
        </w:rPr>
        <w:t xml:space="preserve">her case. </w:t>
      </w:r>
      <w:r w:rsidR="005C5C5B" w:rsidRPr="00775A24">
        <w:rPr>
          <w:lang w:val="en-GB"/>
        </w:rPr>
        <w:t xml:space="preserve">On the basis of these circumstances and evidence, the complainants have made a new submission to the Migration Board. The </w:t>
      </w:r>
      <w:r w:rsidR="00575E88" w:rsidRPr="00775A24">
        <w:rPr>
          <w:lang w:val="en-GB"/>
        </w:rPr>
        <w:t>second</w:t>
      </w:r>
      <w:r w:rsidR="005C5C5B" w:rsidRPr="00775A24">
        <w:rPr>
          <w:lang w:val="en-GB"/>
        </w:rPr>
        <w:t xml:space="preserve"> complainant maintains that the communication is admissible as the complainants’ assertions do achieve the minimum level of substantiation required for purposes of admissibility. Furthermore, the new material submitted confirms that she is still of interest for the Belarusian authorities and personally at risk of being subjected to torture if returned to Belarus. The letter from her lawyer in Belarus shows that she is facing long-term imprisonment in Belarus. There are substantial grounds to believe </w:t>
      </w:r>
      <w:r w:rsidR="009D0ACB" w:rsidRPr="00775A24">
        <w:rPr>
          <w:lang w:val="en-GB"/>
        </w:rPr>
        <w:t xml:space="preserve">that </w:t>
      </w:r>
      <w:r w:rsidR="005C5C5B" w:rsidRPr="00775A24">
        <w:rPr>
          <w:lang w:val="en-GB"/>
        </w:rPr>
        <w:t xml:space="preserve">she is also in danger of being subjected to torture, notably because she is charged for a crime she has never </w:t>
      </w:r>
      <w:r w:rsidR="00575E88" w:rsidRPr="00775A24">
        <w:rPr>
          <w:lang w:val="en-GB"/>
        </w:rPr>
        <w:t>committed</w:t>
      </w:r>
      <w:r w:rsidR="00494E1C" w:rsidRPr="00775A24">
        <w:rPr>
          <w:lang w:val="en-GB"/>
        </w:rPr>
        <w:t>;</w:t>
      </w:r>
      <w:r w:rsidR="00575E88" w:rsidRPr="00775A24">
        <w:rPr>
          <w:lang w:val="en-GB"/>
        </w:rPr>
        <w:t xml:space="preserve"> her</w:t>
      </w:r>
      <w:r w:rsidR="005C5C5B" w:rsidRPr="00775A24">
        <w:rPr>
          <w:lang w:val="en-GB"/>
        </w:rPr>
        <w:t xml:space="preserve"> criminal case is politically motivated </w:t>
      </w:r>
      <w:r w:rsidR="002428C2" w:rsidRPr="00775A24">
        <w:rPr>
          <w:lang w:val="en-GB"/>
        </w:rPr>
        <w:t xml:space="preserve">and she has been </w:t>
      </w:r>
      <w:r w:rsidR="00494E1C" w:rsidRPr="00775A24">
        <w:rPr>
          <w:lang w:val="en-GB"/>
        </w:rPr>
        <w:t xml:space="preserve">subjected </w:t>
      </w:r>
      <w:r w:rsidR="002428C2" w:rsidRPr="00775A24">
        <w:rPr>
          <w:lang w:val="en-GB"/>
        </w:rPr>
        <w:t xml:space="preserve">to torture in the past. </w:t>
      </w:r>
    </w:p>
    <w:p w14:paraId="4DEDC334" w14:textId="77777777" w:rsidR="00AE2CB0" w:rsidRPr="00775A24" w:rsidRDefault="002428C2" w:rsidP="00CD7BD2">
      <w:pPr>
        <w:pStyle w:val="SingleTxtG"/>
        <w:rPr>
          <w:lang w:val="en-GB"/>
        </w:rPr>
      </w:pPr>
      <w:r w:rsidRPr="00775A24">
        <w:rPr>
          <w:rStyle w:val="SingleTxtGChar"/>
          <w:lang w:val="en-GB"/>
        </w:rPr>
        <w:t>5.2</w:t>
      </w:r>
      <w:r w:rsidRPr="00775A24">
        <w:rPr>
          <w:rStyle w:val="SingleTxtGChar"/>
          <w:lang w:val="en-GB"/>
        </w:rPr>
        <w:tab/>
        <w:t xml:space="preserve">As concerns the merits of the communication, the </w:t>
      </w:r>
      <w:r w:rsidR="00494E1C" w:rsidRPr="00775A24">
        <w:rPr>
          <w:rStyle w:val="SingleTxtGChar"/>
          <w:lang w:val="en-GB"/>
        </w:rPr>
        <w:t>second</w:t>
      </w:r>
      <w:r w:rsidRPr="00775A24">
        <w:rPr>
          <w:rStyle w:val="SingleTxtGChar"/>
          <w:lang w:val="en-GB"/>
        </w:rPr>
        <w:t xml:space="preserve"> complainant </w:t>
      </w:r>
      <w:r w:rsidR="00494E1C" w:rsidRPr="00775A24">
        <w:rPr>
          <w:rStyle w:val="SingleTxtGChar"/>
          <w:lang w:val="en-GB"/>
        </w:rPr>
        <w:t xml:space="preserve">maintains her claim </w:t>
      </w:r>
      <w:r w:rsidR="00A77062" w:rsidRPr="00775A24">
        <w:rPr>
          <w:rStyle w:val="SingleTxtGChar"/>
          <w:lang w:val="en-GB"/>
        </w:rPr>
        <w:t xml:space="preserve">that </w:t>
      </w:r>
      <w:r w:rsidR="00494E1C" w:rsidRPr="00775A24">
        <w:rPr>
          <w:rStyle w:val="SingleTxtGChar"/>
          <w:lang w:val="en-GB"/>
        </w:rPr>
        <w:t xml:space="preserve">she </w:t>
      </w:r>
      <w:r w:rsidRPr="00775A24">
        <w:rPr>
          <w:rStyle w:val="SingleTxtGChar"/>
          <w:lang w:val="en-GB"/>
        </w:rPr>
        <w:t>was subjected to torture by Belarusian police officers in 2006, which is confirmed by a medical report</w:t>
      </w:r>
      <w:r w:rsidR="005C5C5B" w:rsidRPr="00775A24">
        <w:rPr>
          <w:lang w:val="en-GB"/>
        </w:rPr>
        <w:t xml:space="preserve"> </w:t>
      </w:r>
      <w:r w:rsidRPr="00775A24">
        <w:rPr>
          <w:lang w:val="en-GB"/>
        </w:rPr>
        <w:t xml:space="preserve">submitted to the Committee. </w:t>
      </w:r>
      <w:r w:rsidR="00494E1C" w:rsidRPr="00775A24">
        <w:rPr>
          <w:lang w:val="en-GB"/>
        </w:rPr>
        <w:t>The second complainant alleges that</w:t>
      </w:r>
      <w:r w:rsidR="00A77062" w:rsidRPr="00775A24">
        <w:rPr>
          <w:lang w:val="en-GB"/>
        </w:rPr>
        <w:t>,</w:t>
      </w:r>
      <w:r w:rsidR="00494E1C" w:rsidRPr="00775A24">
        <w:rPr>
          <w:lang w:val="en-GB"/>
        </w:rPr>
        <w:t xml:space="preserve"> d</w:t>
      </w:r>
      <w:r w:rsidRPr="00775A24">
        <w:rPr>
          <w:lang w:val="en-GB"/>
        </w:rPr>
        <w:t>uring her interview with the Migration Board</w:t>
      </w:r>
      <w:r w:rsidR="00A77062" w:rsidRPr="00775A24">
        <w:rPr>
          <w:lang w:val="en-GB"/>
        </w:rPr>
        <w:t>,</w:t>
      </w:r>
      <w:r w:rsidRPr="00775A24">
        <w:rPr>
          <w:lang w:val="en-GB"/>
        </w:rPr>
        <w:t xml:space="preserve"> she made a clear statement to this effect</w:t>
      </w:r>
      <w:r w:rsidR="00A77062" w:rsidRPr="00775A24">
        <w:rPr>
          <w:lang w:val="en-GB"/>
        </w:rPr>
        <w:t>,</w:t>
      </w:r>
      <w:r w:rsidRPr="00775A24">
        <w:rPr>
          <w:lang w:val="en-GB"/>
        </w:rPr>
        <w:t xml:space="preserve"> yet it was omitted in the minutes taken by the Migration Board officer. Instead </w:t>
      </w:r>
      <w:r w:rsidR="00030549" w:rsidRPr="00775A24">
        <w:rPr>
          <w:lang w:val="en-GB"/>
        </w:rPr>
        <w:t xml:space="preserve">of torture, </w:t>
      </w:r>
      <w:r w:rsidRPr="00775A24">
        <w:rPr>
          <w:lang w:val="en-GB"/>
        </w:rPr>
        <w:t xml:space="preserve">in the minutes it was </w:t>
      </w:r>
      <w:r w:rsidR="00494E1C" w:rsidRPr="00775A24">
        <w:rPr>
          <w:lang w:val="en-GB"/>
        </w:rPr>
        <w:t xml:space="preserve">recorded </w:t>
      </w:r>
      <w:r w:rsidRPr="00775A24">
        <w:rPr>
          <w:lang w:val="en-GB"/>
        </w:rPr>
        <w:t xml:space="preserve">that she was subjected to abuse. </w:t>
      </w:r>
      <w:r w:rsidR="00FE54B5" w:rsidRPr="00775A24">
        <w:rPr>
          <w:lang w:val="en-GB"/>
        </w:rPr>
        <w:t xml:space="preserve">Therefore, the </w:t>
      </w:r>
      <w:r w:rsidR="00494E1C" w:rsidRPr="00775A24">
        <w:rPr>
          <w:lang w:val="en-GB"/>
        </w:rPr>
        <w:t xml:space="preserve">second </w:t>
      </w:r>
      <w:r w:rsidR="00AE2CB0" w:rsidRPr="00775A24">
        <w:rPr>
          <w:lang w:val="en-GB"/>
        </w:rPr>
        <w:t xml:space="preserve">complainant </w:t>
      </w:r>
      <w:r w:rsidR="00494E1C" w:rsidRPr="00775A24">
        <w:rPr>
          <w:lang w:val="en-GB"/>
        </w:rPr>
        <w:t>argues</w:t>
      </w:r>
      <w:r w:rsidR="00FE54B5" w:rsidRPr="00775A24">
        <w:rPr>
          <w:lang w:val="en-GB"/>
        </w:rPr>
        <w:t xml:space="preserve"> that the fact that she was tortured was not taken into account by the Migration Board. </w:t>
      </w:r>
      <w:r w:rsidR="00AE2CB0" w:rsidRPr="00775A24">
        <w:rPr>
          <w:lang w:val="en-GB"/>
        </w:rPr>
        <w:t xml:space="preserve">She </w:t>
      </w:r>
      <w:r w:rsidR="00494E1C" w:rsidRPr="00775A24">
        <w:rPr>
          <w:lang w:val="en-GB"/>
        </w:rPr>
        <w:t>notes</w:t>
      </w:r>
      <w:r w:rsidR="00AE2CB0" w:rsidRPr="00775A24">
        <w:rPr>
          <w:lang w:val="en-GB"/>
        </w:rPr>
        <w:t xml:space="preserve"> that the Committee should evaluate the fact that she was not only abused but tortured</w:t>
      </w:r>
      <w:r w:rsidR="00A77062" w:rsidRPr="00775A24">
        <w:rPr>
          <w:lang w:val="en-GB"/>
        </w:rPr>
        <w:t>,</w:t>
      </w:r>
      <w:r w:rsidR="00AE2CB0" w:rsidRPr="00775A24">
        <w:rPr>
          <w:lang w:val="en-GB"/>
        </w:rPr>
        <w:t xml:space="preserve"> and that her claim of torture does not lack credibility, contrary to the State party</w:t>
      </w:r>
      <w:r w:rsidR="00A84B4A" w:rsidRPr="00775A24">
        <w:rPr>
          <w:lang w:val="en-GB"/>
        </w:rPr>
        <w:t>’s</w:t>
      </w:r>
      <w:r w:rsidR="00AE2CB0" w:rsidRPr="00775A24">
        <w:rPr>
          <w:lang w:val="en-GB"/>
        </w:rPr>
        <w:t xml:space="preserve"> </w:t>
      </w:r>
      <w:r w:rsidR="00494E1C" w:rsidRPr="00775A24">
        <w:rPr>
          <w:lang w:val="en-GB"/>
        </w:rPr>
        <w:t>assessment</w:t>
      </w:r>
      <w:r w:rsidR="00AE2CB0" w:rsidRPr="00775A24">
        <w:rPr>
          <w:lang w:val="en-GB"/>
        </w:rPr>
        <w:t xml:space="preserve">. She </w:t>
      </w:r>
      <w:r w:rsidR="00494E1C" w:rsidRPr="00775A24">
        <w:rPr>
          <w:lang w:val="en-GB"/>
        </w:rPr>
        <w:t xml:space="preserve">contends that by submitting a medical statement that she was subjected to torture which the Migration Board disregarded, she </w:t>
      </w:r>
      <w:r w:rsidR="00AE2CB0" w:rsidRPr="00775A24">
        <w:rPr>
          <w:lang w:val="en-GB"/>
        </w:rPr>
        <w:t xml:space="preserve">has fulfilled the burden of proof </w:t>
      </w:r>
      <w:r w:rsidR="00494E1C" w:rsidRPr="00775A24">
        <w:rPr>
          <w:lang w:val="en-GB"/>
        </w:rPr>
        <w:t xml:space="preserve">requirement. </w:t>
      </w:r>
    </w:p>
    <w:p w14:paraId="35668F5D" w14:textId="77777777" w:rsidR="003E10EA" w:rsidRPr="00775A24" w:rsidRDefault="00AE2CB0">
      <w:pPr>
        <w:pStyle w:val="SingleTxtG"/>
        <w:rPr>
          <w:lang w:val="en-GB"/>
        </w:rPr>
      </w:pPr>
      <w:r w:rsidRPr="00775A24">
        <w:rPr>
          <w:rStyle w:val="SingleTxtGChar"/>
          <w:lang w:val="en-GB"/>
        </w:rPr>
        <w:t>5.3</w:t>
      </w:r>
      <w:r w:rsidRPr="00537939">
        <w:rPr>
          <w:rStyle w:val="SingleTxtGChar"/>
          <w:sz w:val="22"/>
          <w:szCs w:val="22"/>
          <w:lang w:val="en-GB"/>
        </w:rPr>
        <w:tab/>
      </w:r>
      <w:r w:rsidRPr="00775A24">
        <w:rPr>
          <w:lang w:val="en-GB"/>
        </w:rPr>
        <w:t xml:space="preserve">Furthermore, the </w:t>
      </w:r>
      <w:r w:rsidR="00494E1C" w:rsidRPr="00775A24">
        <w:rPr>
          <w:lang w:val="en-GB"/>
        </w:rPr>
        <w:t xml:space="preserve">complainants challenge the </w:t>
      </w:r>
      <w:r w:rsidRPr="00775A24">
        <w:rPr>
          <w:lang w:val="en-GB"/>
        </w:rPr>
        <w:t>State party</w:t>
      </w:r>
      <w:r w:rsidR="00A77062" w:rsidRPr="00775A24">
        <w:rPr>
          <w:lang w:val="en-GB"/>
        </w:rPr>
        <w:t>’s</w:t>
      </w:r>
      <w:r w:rsidRPr="00775A24">
        <w:rPr>
          <w:lang w:val="en-GB"/>
        </w:rPr>
        <w:t xml:space="preserve"> argument </w:t>
      </w:r>
      <w:r w:rsidR="00A77062" w:rsidRPr="00775A24">
        <w:rPr>
          <w:lang w:val="en-GB"/>
        </w:rPr>
        <w:t>that there is an</w:t>
      </w:r>
      <w:r w:rsidR="00030549" w:rsidRPr="00775A24">
        <w:rPr>
          <w:lang w:val="en-GB"/>
        </w:rPr>
        <w:t xml:space="preserve"> absence of a </w:t>
      </w:r>
      <w:r w:rsidRPr="00775A24">
        <w:rPr>
          <w:lang w:val="en-GB"/>
        </w:rPr>
        <w:t>present or personal risk f</w:t>
      </w:r>
      <w:r w:rsidR="00030549" w:rsidRPr="00775A24">
        <w:rPr>
          <w:lang w:val="en-GB"/>
        </w:rPr>
        <w:t>or</w:t>
      </w:r>
      <w:r w:rsidRPr="00775A24">
        <w:rPr>
          <w:lang w:val="en-GB"/>
        </w:rPr>
        <w:t xml:space="preserve"> </w:t>
      </w:r>
      <w:r w:rsidR="00494E1C" w:rsidRPr="00775A24">
        <w:rPr>
          <w:lang w:val="en-GB"/>
        </w:rPr>
        <w:t xml:space="preserve">them </w:t>
      </w:r>
      <w:r w:rsidR="00030549" w:rsidRPr="00775A24">
        <w:rPr>
          <w:lang w:val="en-GB"/>
        </w:rPr>
        <w:t xml:space="preserve">to </w:t>
      </w:r>
      <w:r w:rsidRPr="00775A24">
        <w:rPr>
          <w:lang w:val="en-GB"/>
        </w:rPr>
        <w:t>be subjected to torture</w:t>
      </w:r>
      <w:r w:rsidR="00A84B4A" w:rsidRPr="00775A24">
        <w:rPr>
          <w:lang w:val="en-GB"/>
        </w:rPr>
        <w:t>,</w:t>
      </w:r>
      <w:r w:rsidRPr="00775A24">
        <w:rPr>
          <w:lang w:val="en-GB"/>
        </w:rPr>
        <w:t xml:space="preserve"> as the </w:t>
      </w:r>
      <w:r w:rsidR="00494E1C" w:rsidRPr="00775A24">
        <w:rPr>
          <w:lang w:val="en-GB"/>
        </w:rPr>
        <w:t>second</w:t>
      </w:r>
      <w:r w:rsidRPr="00775A24">
        <w:rPr>
          <w:lang w:val="en-GB"/>
        </w:rPr>
        <w:t xml:space="preserve"> complainant was subjected to torture in 2006 and the risk of </w:t>
      </w:r>
      <w:r w:rsidR="003E10EA" w:rsidRPr="00775A24">
        <w:rPr>
          <w:lang w:val="en-GB"/>
        </w:rPr>
        <w:t xml:space="preserve">this happening again </w:t>
      </w:r>
      <w:r w:rsidR="00494E1C" w:rsidRPr="00775A24">
        <w:rPr>
          <w:lang w:val="en-GB"/>
        </w:rPr>
        <w:t xml:space="preserve">is still present </w:t>
      </w:r>
      <w:r w:rsidR="00A84B4A" w:rsidRPr="00775A24">
        <w:rPr>
          <w:lang w:val="en-GB"/>
        </w:rPr>
        <w:t xml:space="preserve">owing </w:t>
      </w:r>
      <w:r w:rsidR="003E10EA" w:rsidRPr="00775A24">
        <w:rPr>
          <w:lang w:val="en-GB"/>
        </w:rPr>
        <w:t xml:space="preserve">to the couple’s recent activities. They </w:t>
      </w:r>
      <w:r w:rsidR="00494E1C" w:rsidRPr="00775A24">
        <w:rPr>
          <w:lang w:val="en-GB"/>
        </w:rPr>
        <w:t>claim</w:t>
      </w:r>
      <w:r w:rsidR="00A77062" w:rsidRPr="00775A24">
        <w:rPr>
          <w:lang w:val="en-GB"/>
        </w:rPr>
        <w:t xml:space="preserve"> that they are</w:t>
      </w:r>
      <w:r w:rsidR="00494E1C" w:rsidRPr="00775A24">
        <w:rPr>
          <w:lang w:val="en-GB"/>
        </w:rPr>
        <w:t xml:space="preserve"> </w:t>
      </w:r>
      <w:r w:rsidR="003E10EA" w:rsidRPr="00775A24">
        <w:rPr>
          <w:lang w:val="en-GB"/>
        </w:rPr>
        <w:t xml:space="preserve">suspected </w:t>
      </w:r>
      <w:r w:rsidR="00494E1C" w:rsidRPr="00775A24">
        <w:rPr>
          <w:lang w:val="en-GB"/>
        </w:rPr>
        <w:t xml:space="preserve">by the police in Minsk </w:t>
      </w:r>
      <w:r w:rsidR="00A77062" w:rsidRPr="00775A24">
        <w:rPr>
          <w:lang w:val="en-GB"/>
        </w:rPr>
        <w:t>of</w:t>
      </w:r>
      <w:r w:rsidR="00494E1C" w:rsidRPr="00775A24">
        <w:rPr>
          <w:lang w:val="en-GB"/>
        </w:rPr>
        <w:t xml:space="preserve"> </w:t>
      </w:r>
      <w:r w:rsidR="003E10EA" w:rsidRPr="00775A24">
        <w:rPr>
          <w:lang w:val="en-GB"/>
        </w:rPr>
        <w:t>organi</w:t>
      </w:r>
      <w:r w:rsidR="00A77062" w:rsidRPr="00775A24">
        <w:rPr>
          <w:lang w:val="en-GB"/>
        </w:rPr>
        <w:t>zing</w:t>
      </w:r>
      <w:r w:rsidR="003E10EA" w:rsidRPr="00775A24">
        <w:rPr>
          <w:lang w:val="en-GB"/>
        </w:rPr>
        <w:t xml:space="preserve"> </w:t>
      </w:r>
      <w:r w:rsidR="00A77062" w:rsidRPr="00775A24">
        <w:rPr>
          <w:lang w:val="en-GB"/>
        </w:rPr>
        <w:t>public</w:t>
      </w:r>
      <w:r w:rsidR="003E10EA" w:rsidRPr="00775A24">
        <w:rPr>
          <w:lang w:val="en-GB"/>
        </w:rPr>
        <w:t xml:space="preserve"> disorder since a </w:t>
      </w:r>
      <w:r w:rsidR="00A77062" w:rsidRPr="00775A24">
        <w:rPr>
          <w:lang w:val="en-GB"/>
        </w:rPr>
        <w:t xml:space="preserve">demonstration </w:t>
      </w:r>
      <w:r w:rsidR="003E10EA" w:rsidRPr="00775A24">
        <w:rPr>
          <w:lang w:val="en-GB"/>
        </w:rPr>
        <w:t>in 2010. The</w:t>
      </w:r>
      <w:r w:rsidR="00030549" w:rsidRPr="00775A24">
        <w:rPr>
          <w:lang w:val="en-GB"/>
        </w:rPr>
        <w:t>y</w:t>
      </w:r>
      <w:r w:rsidR="003E10EA" w:rsidRPr="00775A24">
        <w:rPr>
          <w:lang w:val="en-GB"/>
        </w:rPr>
        <w:t xml:space="preserve"> allege they have submitted letters from the police to the Migration Board in support </w:t>
      </w:r>
      <w:r w:rsidR="00590C8A" w:rsidRPr="00775A24">
        <w:rPr>
          <w:lang w:val="en-GB"/>
        </w:rPr>
        <w:t xml:space="preserve">of </w:t>
      </w:r>
      <w:r w:rsidR="003E10EA" w:rsidRPr="00775A24">
        <w:rPr>
          <w:lang w:val="en-GB"/>
        </w:rPr>
        <w:t xml:space="preserve">the fact that they are of interest to the Belarusian authorities. The Migration Board has </w:t>
      </w:r>
      <w:r w:rsidR="00D52CB7" w:rsidRPr="00775A24">
        <w:rPr>
          <w:lang w:val="en-GB"/>
        </w:rPr>
        <w:t>disregarded</w:t>
      </w:r>
      <w:r w:rsidR="003E10EA" w:rsidRPr="00775A24">
        <w:rPr>
          <w:lang w:val="en-GB"/>
        </w:rPr>
        <w:t xml:space="preserve"> these letters since they lacked information on the kind of crime</w:t>
      </w:r>
      <w:r w:rsidR="00D92975" w:rsidRPr="00775A24">
        <w:rPr>
          <w:lang w:val="en-GB"/>
        </w:rPr>
        <w:t xml:space="preserve"> of which</w:t>
      </w:r>
      <w:r w:rsidR="003E10EA" w:rsidRPr="00775A24">
        <w:rPr>
          <w:lang w:val="en-GB"/>
        </w:rPr>
        <w:t xml:space="preserve"> the </w:t>
      </w:r>
      <w:r w:rsidR="00D52CB7" w:rsidRPr="00775A24">
        <w:rPr>
          <w:lang w:val="en-GB"/>
        </w:rPr>
        <w:t>second</w:t>
      </w:r>
      <w:r w:rsidR="003E10EA" w:rsidRPr="00775A24">
        <w:rPr>
          <w:lang w:val="en-GB"/>
        </w:rPr>
        <w:t xml:space="preserve"> complainant is suspected. The complainants contend that the current practice in many countries, especially </w:t>
      </w:r>
      <w:r w:rsidR="00030549" w:rsidRPr="00775A24">
        <w:rPr>
          <w:lang w:val="en-GB"/>
        </w:rPr>
        <w:t>totalitarian ones</w:t>
      </w:r>
      <w:r w:rsidR="003E10EA" w:rsidRPr="00775A24">
        <w:rPr>
          <w:lang w:val="en-GB"/>
        </w:rPr>
        <w:t>, is such that calls from the police would not contain any information on the charges to be anticipated. The</w:t>
      </w:r>
      <w:r w:rsidR="00D52CB7" w:rsidRPr="00775A24">
        <w:rPr>
          <w:lang w:val="en-GB"/>
        </w:rPr>
        <w:t>y further</w:t>
      </w:r>
      <w:r w:rsidR="003E10EA" w:rsidRPr="00775A24">
        <w:rPr>
          <w:lang w:val="en-GB"/>
        </w:rPr>
        <w:t xml:space="preserve"> maintain that the Migration Board has completely disregarded all the written evidence submitted by the</w:t>
      </w:r>
      <w:r w:rsidR="00D52CB7" w:rsidRPr="00775A24">
        <w:rPr>
          <w:lang w:val="en-GB"/>
        </w:rPr>
        <w:t xml:space="preserve"> second</w:t>
      </w:r>
      <w:r w:rsidR="003E10EA" w:rsidRPr="00775A24">
        <w:rPr>
          <w:lang w:val="en-GB"/>
        </w:rPr>
        <w:t xml:space="preserve"> complainant. </w:t>
      </w:r>
    </w:p>
    <w:p w14:paraId="3A96A4B9" w14:textId="77777777" w:rsidR="00EB5E82" w:rsidRPr="00775A24" w:rsidRDefault="003E10EA" w:rsidP="005E6ADA">
      <w:pPr>
        <w:pStyle w:val="SingleTxtG"/>
        <w:rPr>
          <w:lang w:val="en-GB"/>
        </w:rPr>
      </w:pPr>
      <w:r w:rsidRPr="00537939">
        <w:rPr>
          <w:rStyle w:val="SingleTxtGChar"/>
          <w:lang w:val="en-GB"/>
        </w:rPr>
        <w:t>5.4</w:t>
      </w:r>
      <w:r w:rsidRPr="00537939">
        <w:rPr>
          <w:rStyle w:val="SingleTxtGChar"/>
          <w:lang w:val="en-GB"/>
        </w:rPr>
        <w:tab/>
      </w:r>
      <w:r w:rsidR="00BF7E9B" w:rsidRPr="00775A24">
        <w:rPr>
          <w:rStyle w:val="SingleTxtGChar"/>
          <w:lang w:val="en-GB"/>
        </w:rPr>
        <w:t>T</w:t>
      </w:r>
      <w:r w:rsidRPr="00775A24">
        <w:rPr>
          <w:rStyle w:val="SingleTxtGChar"/>
          <w:lang w:val="en-GB"/>
        </w:rPr>
        <w:t xml:space="preserve">he complainants note </w:t>
      </w:r>
      <w:r w:rsidR="00BF7E9B" w:rsidRPr="00775A24">
        <w:rPr>
          <w:rStyle w:val="SingleTxtGChar"/>
          <w:lang w:val="en-GB"/>
        </w:rPr>
        <w:t xml:space="preserve">that </w:t>
      </w:r>
      <w:r w:rsidRPr="00775A24">
        <w:rPr>
          <w:rStyle w:val="SingleTxtGChar"/>
          <w:lang w:val="en-GB"/>
        </w:rPr>
        <w:t xml:space="preserve">the </w:t>
      </w:r>
      <w:r w:rsidR="00D52CB7" w:rsidRPr="00775A24">
        <w:rPr>
          <w:rStyle w:val="SingleTxtGChar"/>
          <w:lang w:val="en-GB"/>
        </w:rPr>
        <w:t xml:space="preserve">documents </w:t>
      </w:r>
      <w:r w:rsidRPr="00775A24">
        <w:rPr>
          <w:rStyle w:val="SingleTxtGChar"/>
          <w:lang w:val="en-GB"/>
        </w:rPr>
        <w:t xml:space="preserve">showing </w:t>
      </w:r>
      <w:r w:rsidR="00BF7E9B" w:rsidRPr="00775A24">
        <w:rPr>
          <w:rStyle w:val="SingleTxtGChar"/>
          <w:lang w:val="en-GB"/>
        </w:rPr>
        <w:t xml:space="preserve">that </w:t>
      </w:r>
      <w:r w:rsidRPr="00775A24">
        <w:rPr>
          <w:rStyle w:val="SingleTxtGChar"/>
          <w:lang w:val="en-GB"/>
        </w:rPr>
        <w:t xml:space="preserve">the </w:t>
      </w:r>
      <w:r w:rsidR="00D52CB7" w:rsidRPr="00775A24">
        <w:rPr>
          <w:rStyle w:val="SingleTxtGChar"/>
          <w:lang w:val="en-GB"/>
        </w:rPr>
        <w:t>second</w:t>
      </w:r>
      <w:r w:rsidRPr="00775A24">
        <w:rPr>
          <w:rStyle w:val="SingleTxtGChar"/>
          <w:lang w:val="en-GB"/>
        </w:rPr>
        <w:t xml:space="preserve"> complainant is under investigation for a weapon offence in Belarus </w:t>
      </w:r>
      <w:r w:rsidR="00BF7E9B" w:rsidRPr="00775A24">
        <w:rPr>
          <w:rStyle w:val="SingleTxtGChar"/>
          <w:lang w:val="en-GB"/>
        </w:rPr>
        <w:t xml:space="preserve">make it clear </w:t>
      </w:r>
      <w:r w:rsidRPr="00775A24">
        <w:rPr>
          <w:rStyle w:val="SingleTxtGChar"/>
          <w:lang w:val="en-GB"/>
        </w:rPr>
        <w:t xml:space="preserve">that she risks </w:t>
      </w:r>
      <w:r w:rsidR="00BF7E9B" w:rsidRPr="00775A24">
        <w:rPr>
          <w:rStyle w:val="SingleTxtGChar"/>
          <w:lang w:val="en-GB"/>
        </w:rPr>
        <w:t>up to</w:t>
      </w:r>
      <w:r w:rsidRPr="00775A24">
        <w:rPr>
          <w:rStyle w:val="SingleTxtGChar"/>
          <w:lang w:val="en-GB"/>
        </w:rPr>
        <w:t xml:space="preserve"> seven years</w:t>
      </w:r>
      <w:r w:rsidR="00BF7E9B" w:rsidRPr="00775A24">
        <w:rPr>
          <w:rStyle w:val="SingleTxtGChar"/>
          <w:lang w:val="en-GB"/>
        </w:rPr>
        <w:t>’</w:t>
      </w:r>
      <w:r w:rsidRPr="00775A24">
        <w:rPr>
          <w:rStyle w:val="SingleTxtGChar"/>
          <w:lang w:val="en-GB"/>
        </w:rPr>
        <w:t xml:space="preserve"> imprisonment</w:t>
      </w:r>
      <w:r w:rsidR="00D52CB7" w:rsidRPr="00775A24">
        <w:rPr>
          <w:rStyle w:val="SingleTxtGChar"/>
          <w:lang w:val="en-GB"/>
        </w:rPr>
        <w:t>. M</w:t>
      </w:r>
      <w:r w:rsidRPr="00775A24">
        <w:rPr>
          <w:rStyle w:val="SingleTxtGChar"/>
          <w:lang w:val="en-GB"/>
        </w:rPr>
        <w:t>oreover, such charges could be easily classified as a terrorist crime in Belarus</w:t>
      </w:r>
      <w:r w:rsidR="00F33B36" w:rsidRPr="00775A24">
        <w:rPr>
          <w:lang w:val="en-GB"/>
        </w:rPr>
        <w:t>.</w:t>
      </w:r>
      <w:r w:rsidR="008168B3" w:rsidRPr="00775A24">
        <w:rPr>
          <w:lang w:val="en-GB"/>
        </w:rPr>
        <w:t xml:space="preserve"> </w:t>
      </w:r>
    </w:p>
    <w:p w14:paraId="403A210D" w14:textId="77777777" w:rsidR="00EB5E82" w:rsidRPr="00537939" w:rsidRDefault="008168B3" w:rsidP="005E6ADA">
      <w:pPr>
        <w:pStyle w:val="SingleTxtG"/>
        <w:rPr>
          <w:lang w:val="en-GB"/>
        </w:rPr>
      </w:pPr>
      <w:r w:rsidRPr="00775A24">
        <w:rPr>
          <w:lang w:val="en-GB"/>
        </w:rPr>
        <w:t>5.</w:t>
      </w:r>
      <w:r w:rsidR="00E91780" w:rsidRPr="00537939">
        <w:rPr>
          <w:lang w:val="en-GB"/>
        </w:rPr>
        <w:t>5</w:t>
      </w:r>
      <w:r w:rsidR="005E6ADA" w:rsidRPr="00775A24">
        <w:rPr>
          <w:lang w:val="en-GB"/>
        </w:rPr>
        <w:tab/>
      </w:r>
      <w:r w:rsidR="00EB5E82" w:rsidRPr="00775A24">
        <w:rPr>
          <w:lang w:val="en-GB"/>
        </w:rPr>
        <w:t>In conclusion</w:t>
      </w:r>
      <w:r w:rsidRPr="00775A24">
        <w:rPr>
          <w:lang w:val="en-GB"/>
        </w:rPr>
        <w:t>, the complainants maintain that the present communication and the</w:t>
      </w:r>
      <w:r w:rsidR="008656F2" w:rsidRPr="00775A24">
        <w:rPr>
          <w:lang w:val="en-GB"/>
        </w:rPr>
        <w:t>ir</w:t>
      </w:r>
      <w:r w:rsidRPr="00775A24">
        <w:rPr>
          <w:lang w:val="en-GB"/>
        </w:rPr>
        <w:t xml:space="preserve"> claims are admissible,</w:t>
      </w:r>
      <w:r w:rsidR="00EB5E82" w:rsidRPr="00775A24">
        <w:rPr>
          <w:lang w:val="en-GB"/>
        </w:rPr>
        <w:t xml:space="preserve"> well-founded and </w:t>
      </w:r>
      <w:r w:rsidRPr="00775A24">
        <w:rPr>
          <w:lang w:val="en-GB"/>
        </w:rPr>
        <w:t>reveal</w:t>
      </w:r>
      <w:r w:rsidR="00EB5E82" w:rsidRPr="00775A24">
        <w:rPr>
          <w:lang w:val="en-GB"/>
        </w:rPr>
        <w:t xml:space="preserve"> that </w:t>
      </w:r>
      <w:r w:rsidRPr="00775A24">
        <w:rPr>
          <w:lang w:val="en-GB"/>
        </w:rPr>
        <w:t>the</w:t>
      </w:r>
      <w:r w:rsidR="008656F2" w:rsidRPr="00775A24">
        <w:rPr>
          <w:lang w:val="en-GB"/>
        </w:rPr>
        <w:t xml:space="preserve">ir </w:t>
      </w:r>
      <w:r w:rsidR="00F33B36" w:rsidRPr="00537939">
        <w:rPr>
          <w:lang w:val="en-GB"/>
        </w:rPr>
        <w:t>expulsion</w:t>
      </w:r>
      <w:r w:rsidR="00A2703A" w:rsidRPr="00537939">
        <w:rPr>
          <w:lang w:val="en-GB"/>
        </w:rPr>
        <w:t xml:space="preserve"> </w:t>
      </w:r>
      <w:r w:rsidRPr="00775A24">
        <w:rPr>
          <w:lang w:val="en-GB"/>
        </w:rPr>
        <w:t xml:space="preserve">to </w:t>
      </w:r>
      <w:r w:rsidR="00F33B36" w:rsidRPr="00537939">
        <w:rPr>
          <w:lang w:val="en-GB"/>
        </w:rPr>
        <w:t>Belarus</w:t>
      </w:r>
      <w:r w:rsidRPr="00775A24">
        <w:rPr>
          <w:lang w:val="en-GB"/>
        </w:rPr>
        <w:t xml:space="preserve"> </w:t>
      </w:r>
      <w:r w:rsidR="00EB5E82" w:rsidRPr="00775A24">
        <w:rPr>
          <w:lang w:val="en-GB"/>
        </w:rPr>
        <w:t>would constitute a violation of the Convention.</w:t>
      </w:r>
    </w:p>
    <w:p w14:paraId="1112D361" w14:textId="77777777" w:rsidR="0016393C" w:rsidRPr="00775A24" w:rsidRDefault="004876DE" w:rsidP="004A3211">
      <w:pPr>
        <w:pStyle w:val="H23G"/>
        <w:spacing w:line="240" w:lineRule="auto"/>
        <w:ind w:left="567" w:right="567" w:firstLine="0"/>
      </w:pPr>
      <w:r w:rsidRPr="00775A24">
        <w:tab/>
      </w:r>
      <w:r w:rsidR="005E6ADA" w:rsidRPr="00775A24">
        <w:tab/>
      </w:r>
      <w:r w:rsidR="0016393C" w:rsidRPr="00775A24">
        <w:t>State party’s further information</w:t>
      </w:r>
    </w:p>
    <w:p w14:paraId="1A43FA0C" w14:textId="77777777" w:rsidR="0016393C" w:rsidRPr="00775A24" w:rsidRDefault="0016393C" w:rsidP="00775A24">
      <w:pPr>
        <w:pStyle w:val="SingleTxtG"/>
        <w:rPr>
          <w:lang w:val="en-GB"/>
        </w:rPr>
      </w:pPr>
      <w:r w:rsidRPr="00775A24">
        <w:rPr>
          <w:lang w:val="en-GB"/>
        </w:rPr>
        <w:t>6.1</w:t>
      </w:r>
      <w:r w:rsidRPr="00775A24">
        <w:rPr>
          <w:lang w:val="en-GB"/>
        </w:rPr>
        <w:tab/>
      </w:r>
      <w:r w:rsidR="00E91780" w:rsidRPr="00775A24">
        <w:rPr>
          <w:lang w:val="en-GB"/>
        </w:rPr>
        <w:t>O</w:t>
      </w:r>
      <w:r w:rsidRPr="00775A24">
        <w:rPr>
          <w:lang w:val="en-GB"/>
        </w:rPr>
        <w:t>n 15 April 2014, the State party submit</w:t>
      </w:r>
      <w:r w:rsidR="00E91780" w:rsidRPr="00775A24">
        <w:rPr>
          <w:lang w:val="en-GB"/>
        </w:rPr>
        <w:t>ted</w:t>
      </w:r>
      <w:r w:rsidRPr="00775A24">
        <w:rPr>
          <w:lang w:val="en-GB"/>
        </w:rPr>
        <w:t xml:space="preserve"> further information. It notes that </w:t>
      </w:r>
      <w:r w:rsidR="007717D6" w:rsidRPr="00775A24">
        <w:rPr>
          <w:lang w:val="en-GB"/>
        </w:rPr>
        <w:t xml:space="preserve">its brief </w:t>
      </w:r>
      <w:r w:rsidR="00E91780" w:rsidRPr="00775A24">
        <w:rPr>
          <w:lang w:val="en-GB"/>
        </w:rPr>
        <w:t>clarifications regarding</w:t>
      </w:r>
      <w:r w:rsidR="007717D6" w:rsidRPr="00775A24">
        <w:rPr>
          <w:lang w:val="en-GB"/>
        </w:rPr>
        <w:t xml:space="preserve"> the complainants’ comments should not be taken as meaning that the State party accepts the reminder of the complainants’ comments not addressed </w:t>
      </w:r>
      <w:r w:rsidR="00E91780" w:rsidRPr="00775A24">
        <w:rPr>
          <w:lang w:val="en-GB"/>
        </w:rPr>
        <w:t>hereafter</w:t>
      </w:r>
      <w:r w:rsidR="007717D6" w:rsidRPr="00775A24">
        <w:rPr>
          <w:lang w:val="en-GB"/>
        </w:rPr>
        <w:t xml:space="preserve">. </w:t>
      </w:r>
    </w:p>
    <w:p w14:paraId="3CDC4E9D" w14:textId="77777777" w:rsidR="007717D6" w:rsidRPr="00775A24" w:rsidRDefault="007717D6" w:rsidP="00775A24">
      <w:pPr>
        <w:pStyle w:val="SingleTxtG"/>
        <w:rPr>
          <w:lang w:val="en-GB"/>
        </w:rPr>
      </w:pPr>
      <w:r w:rsidRPr="00775A24">
        <w:rPr>
          <w:lang w:val="en-GB"/>
        </w:rPr>
        <w:t>6.2</w:t>
      </w:r>
      <w:r w:rsidRPr="00775A24">
        <w:rPr>
          <w:lang w:val="en-GB"/>
        </w:rPr>
        <w:tab/>
        <w:t xml:space="preserve">With regard to the </w:t>
      </w:r>
      <w:r w:rsidR="00D52CB7" w:rsidRPr="00775A24">
        <w:rPr>
          <w:lang w:val="en-GB"/>
        </w:rPr>
        <w:t>second</w:t>
      </w:r>
      <w:r w:rsidRPr="00775A24">
        <w:rPr>
          <w:lang w:val="en-GB"/>
        </w:rPr>
        <w:t xml:space="preserve"> complainant’s allegation that she is under investigation for a serious weapon offence in Belarus and that the accusations against her are politically motivated, on 17 May 2013</w:t>
      </w:r>
      <w:r w:rsidR="00BF7E9B" w:rsidRPr="00775A24">
        <w:rPr>
          <w:lang w:val="en-GB"/>
        </w:rPr>
        <w:t>,</w:t>
      </w:r>
      <w:r w:rsidRPr="00775A24">
        <w:rPr>
          <w:lang w:val="en-GB"/>
        </w:rPr>
        <w:t xml:space="preserve"> the complainants made a submission to the Migration Board, alleging that there were impediments to </w:t>
      </w:r>
      <w:r w:rsidR="00BF7E9B" w:rsidRPr="00775A24">
        <w:rPr>
          <w:lang w:val="en-GB"/>
        </w:rPr>
        <w:t xml:space="preserve">the </w:t>
      </w:r>
      <w:r w:rsidRPr="00775A24">
        <w:rPr>
          <w:lang w:val="en-GB"/>
        </w:rPr>
        <w:t>enforcement of the expulsion order and providing two documents in Belarusian. Following the translation of these documents, on 26 September 2013</w:t>
      </w:r>
      <w:r w:rsidR="00BF7E9B" w:rsidRPr="00775A24">
        <w:rPr>
          <w:lang w:val="en-GB"/>
        </w:rPr>
        <w:t>,</w:t>
      </w:r>
      <w:r w:rsidRPr="00775A24">
        <w:rPr>
          <w:lang w:val="en-GB"/>
        </w:rPr>
        <w:t xml:space="preserve"> the Migration Board decided not to grant the complainants residence permits under </w:t>
      </w:r>
      <w:r w:rsidR="00A84B4A" w:rsidRPr="00775A24">
        <w:rPr>
          <w:lang w:val="en-GB"/>
        </w:rPr>
        <w:t>s</w:t>
      </w:r>
      <w:r w:rsidRPr="00775A24">
        <w:rPr>
          <w:lang w:val="en-GB"/>
        </w:rPr>
        <w:t>ection 18</w:t>
      </w:r>
      <w:r w:rsidR="00B56C53" w:rsidRPr="00775A24">
        <w:rPr>
          <w:lang w:val="en-GB"/>
        </w:rPr>
        <w:t xml:space="preserve"> of chapter 12</w:t>
      </w:r>
      <w:r w:rsidRPr="00775A24">
        <w:rPr>
          <w:lang w:val="en-GB"/>
        </w:rPr>
        <w:t xml:space="preserve"> of the Aliens Act, or to re-examine the</w:t>
      </w:r>
      <w:r w:rsidR="00E91780" w:rsidRPr="00775A24">
        <w:rPr>
          <w:lang w:val="en-GB"/>
        </w:rPr>
        <w:t>ir</w:t>
      </w:r>
      <w:r w:rsidRPr="00775A24">
        <w:rPr>
          <w:lang w:val="en-GB"/>
        </w:rPr>
        <w:t xml:space="preserve"> case under </w:t>
      </w:r>
      <w:r w:rsidR="00A84B4A" w:rsidRPr="00775A24">
        <w:rPr>
          <w:lang w:val="en-GB"/>
        </w:rPr>
        <w:t>s</w:t>
      </w:r>
      <w:r w:rsidRPr="00775A24">
        <w:rPr>
          <w:lang w:val="en-GB"/>
        </w:rPr>
        <w:t xml:space="preserve">ection 19 </w:t>
      </w:r>
      <w:r w:rsidR="00B56C53" w:rsidRPr="00775A24">
        <w:rPr>
          <w:lang w:val="en-GB"/>
        </w:rPr>
        <w:t xml:space="preserve">of chapter 12 </w:t>
      </w:r>
      <w:r w:rsidRPr="00775A24">
        <w:rPr>
          <w:lang w:val="en-GB"/>
        </w:rPr>
        <w:t>of the A</w:t>
      </w:r>
      <w:r w:rsidR="009C4E56" w:rsidRPr="00775A24">
        <w:rPr>
          <w:lang w:val="en-GB"/>
        </w:rPr>
        <w:t xml:space="preserve">liens Act. </w:t>
      </w:r>
    </w:p>
    <w:p w14:paraId="6AC0B5F9" w14:textId="77777777" w:rsidR="0006361A" w:rsidRPr="00775A24" w:rsidRDefault="0006361A" w:rsidP="00775A24">
      <w:pPr>
        <w:pStyle w:val="SingleTxtG"/>
        <w:rPr>
          <w:lang w:val="en-GB"/>
        </w:rPr>
      </w:pPr>
      <w:r w:rsidRPr="00775A24">
        <w:rPr>
          <w:lang w:val="en-GB"/>
        </w:rPr>
        <w:t>6.3</w:t>
      </w:r>
      <w:r w:rsidRPr="00775A24">
        <w:rPr>
          <w:lang w:val="en-GB"/>
        </w:rPr>
        <w:tab/>
        <w:t xml:space="preserve">The decision was appealed </w:t>
      </w:r>
      <w:r w:rsidR="00A84B4A" w:rsidRPr="00775A24">
        <w:rPr>
          <w:lang w:val="en-GB"/>
        </w:rPr>
        <w:t xml:space="preserve">before </w:t>
      </w:r>
      <w:r w:rsidRPr="00775A24">
        <w:rPr>
          <w:lang w:val="en-GB"/>
        </w:rPr>
        <w:t xml:space="preserve">the Migration Court as concerns </w:t>
      </w:r>
      <w:r w:rsidR="00A84B4A" w:rsidRPr="00775A24">
        <w:rPr>
          <w:lang w:val="en-GB"/>
        </w:rPr>
        <w:t>s</w:t>
      </w:r>
      <w:r w:rsidRPr="00775A24">
        <w:rPr>
          <w:lang w:val="en-GB"/>
        </w:rPr>
        <w:t>ection 19</w:t>
      </w:r>
      <w:r w:rsidR="00B56C53" w:rsidRPr="00775A24">
        <w:rPr>
          <w:lang w:val="en-GB"/>
        </w:rPr>
        <w:t xml:space="preserve"> of chapter 12</w:t>
      </w:r>
      <w:r w:rsidRPr="00775A24">
        <w:rPr>
          <w:lang w:val="en-GB"/>
        </w:rPr>
        <w:t xml:space="preserve"> of the Aliens Act. On 5 November 2013</w:t>
      </w:r>
      <w:r w:rsidR="00E91780" w:rsidRPr="00775A24">
        <w:rPr>
          <w:lang w:val="en-GB"/>
        </w:rPr>
        <w:t>,</w:t>
      </w:r>
      <w:r w:rsidRPr="00775A24">
        <w:rPr>
          <w:lang w:val="en-GB"/>
        </w:rPr>
        <w:t xml:space="preserve"> the Migration Court decided to remand the case to the Migration Board for assessment of the authenticity of the submitted documents. After having examined the two documents, the Migration Board found that it could not be assessed whether they ha</w:t>
      </w:r>
      <w:r w:rsidR="00A84B4A" w:rsidRPr="00775A24">
        <w:rPr>
          <w:lang w:val="en-GB"/>
        </w:rPr>
        <w:t>d</w:t>
      </w:r>
      <w:r w:rsidRPr="00775A24">
        <w:rPr>
          <w:lang w:val="en-GB"/>
        </w:rPr>
        <w:t xml:space="preserve"> been issued in an appropriate manner. The question of whether the documents </w:t>
      </w:r>
      <w:r w:rsidR="00C821C0" w:rsidRPr="00775A24">
        <w:rPr>
          <w:lang w:val="en-GB"/>
        </w:rPr>
        <w:t>we</w:t>
      </w:r>
      <w:r w:rsidRPr="00775A24">
        <w:rPr>
          <w:lang w:val="en-GB"/>
        </w:rPr>
        <w:t xml:space="preserve">re authentic was therefore left open. </w:t>
      </w:r>
      <w:r w:rsidR="00A84B4A" w:rsidRPr="00775A24">
        <w:rPr>
          <w:lang w:val="en-GB"/>
        </w:rPr>
        <w:t>Nevertheless</w:t>
      </w:r>
      <w:r w:rsidRPr="00775A24">
        <w:rPr>
          <w:lang w:val="en-GB"/>
        </w:rPr>
        <w:t xml:space="preserve">, the Migration Board found that the content in the submitted documents did not plausibly demonstrate that the complainants would risk torture upon return to Belarus. </w:t>
      </w:r>
    </w:p>
    <w:p w14:paraId="7E120298" w14:textId="77777777" w:rsidR="0006361A" w:rsidRPr="00775A24" w:rsidRDefault="0006361A" w:rsidP="00775A24">
      <w:pPr>
        <w:pStyle w:val="SingleTxtG"/>
        <w:rPr>
          <w:lang w:val="en-GB"/>
        </w:rPr>
      </w:pPr>
      <w:r w:rsidRPr="00775A24">
        <w:rPr>
          <w:lang w:val="en-GB"/>
        </w:rPr>
        <w:t>6.4</w:t>
      </w:r>
      <w:r w:rsidRPr="00775A24">
        <w:rPr>
          <w:lang w:val="en-GB"/>
        </w:rPr>
        <w:tab/>
        <w:t xml:space="preserve">The decision was appealed </w:t>
      </w:r>
      <w:r w:rsidR="00A84B4A" w:rsidRPr="00775A24">
        <w:rPr>
          <w:lang w:val="en-GB"/>
        </w:rPr>
        <w:t xml:space="preserve">before </w:t>
      </w:r>
      <w:r w:rsidRPr="00775A24">
        <w:rPr>
          <w:lang w:val="en-GB"/>
        </w:rPr>
        <w:t>the Migration Court, which on 7 January 2014 rejected the appeal. On 3 February 2014</w:t>
      </w:r>
      <w:r w:rsidR="00C821C0" w:rsidRPr="00775A24">
        <w:rPr>
          <w:lang w:val="en-GB"/>
        </w:rPr>
        <w:t>,</w:t>
      </w:r>
      <w:r w:rsidRPr="00775A24">
        <w:rPr>
          <w:lang w:val="en-GB"/>
        </w:rPr>
        <w:t xml:space="preserve"> the Migration Court of Appeal refused leave to appeal. </w:t>
      </w:r>
      <w:r w:rsidR="00575E88" w:rsidRPr="00775A24">
        <w:rPr>
          <w:lang w:val="en-GB"/>
        </w:rPr>
        <w:t xml:space="preserve">The State party, </w:t>
      </w:r>
      <w:r w:rsidR="00A84B4A" w:rsidRPr="00775A24">
        <w:rPr>
          <w:lang w:val="en-GB"/>
        </w:rPr>
        <w:t xml:space="preserve">as </w:t>
      </w:r>
      <w:r w:rsidR="00575E88" w:rsidRPr="00775A24">
        <w:rPr>
          <w:lang w:val="en-GB"/>
        </w:rPr>
        <w:t xml:space="preserve">its migration authorities, maintains that the complainants have failed to plausibly demonstrate that they are of any interest to the Belarusian authorities on the grounds of political activity. Furthermore, the State party contends that the complainants have not provided an explanation as to why the Belarusian authorities would have falsely accused the </w:t>
      </w:r>
      <w:r w:rsidR="00D52CB7" w:rsidRPr="00775A24">
        <w:rPr>
          <w:lang w:val="en-GB"/>
        </w:rPr>
        <w:t>second</w:t>
      </w:r>
      <w:r w:rsidR="00575E88" w:rsidRPr="00775A24">
        <w:rPr>
          <w:lang w:val="en-GB"/>
        </w:rPr>
        <w:t xml:space="preserve"> complainant of a crime at this point in time or how the complainants received the submitted documents. The State party thus shares the view of the Migration Board and the Migrati</w:t>
      </w:r>
      <w:r w:rsidR="00D52CB7" w:rsidRPr="00775A24">
        <w:rPr>
          <w:lang w:val="en-GB"/>
        </w:rPr>
        <w:t xml:space="preserve">on Court that if the second complainant is indeed suspected of weapon offences, the complainants have not substantiated that the alleged accusations against her are anything else but a regular criminal investigation. </w:t>
      </w:r>
    </w:p>
    <w:p w14:paraId="13FA8C10" w14:textId="77777777" w:rsidR="003F33F6" w:rsidRPr="00775A24" w:rsidRDefault="003F33F6" w:rsidP="00775A24">
      <w:pPr>
        <w:pStyle w:val="SingleTxtG"/>
        <w:rPr>
          <w:lang w:val="en-GB"/>
        </w:rPr>
      </w:pPr>
      <w:r w:rsidRPr="00775A24">
        <w:rPr>
          <w:lang w:val="en-GB"/>
        </w:rPr>
        <w:t>6.5</w:t>
      </w:r>
      <w:r w:rsidRPr="00775A24">
        <w:rPr>
          <w:lang w:val="en-GB"/>
        </w:rPr>
        <w:tab/>
        <w:t xml:space="preserve">Finally, the State party maintains its position regarding the admissibility and merits of the complaint as expressed in the observations submitted on 24 May 2013. </w:t>
      </w:r>
    </w:p>
    <w:p w14:paraId="0DDC0B9F" w14:textId="77777777" w:rsidR="004876DE" w:rsidRPr="00775A24" w:rsidRDefault="0016393C" w:rsidP="00775A24">
      <w:pPr>
        <w:pStyle w:val="H23G"/>
      </w:pPr>
      <w:r w:rsidRPr="00537939">
        <w:tab/>
      </w:r>
      <w:r w:rsidRPr="00537939">
        <w:tab/>
      </w:r>
      <w:r w:rsidR="004876DE" w:rsidRPr="00775A24">
        <w:t>Issues and proceedings before the Committee</w:t>
      </w:r>
    </w:p>
    <w:p w14:paraId="4DB68304" w14:textId="77777777" w:rsidR="00806D53" w:rsidRPr="00775A24" w:rsidRDefault="004A3211" w:rsidP="00775A24">
      <w:pPr>
        <w:pStyle w:val="H23G"/>
      </w:pPr>
      <w:r w:rsidRPr="00537939">
        <w:tab/>
      </w:r>
      <w:r w:rsidR="005E6ADA" w:rsidRPr="00775A24">
        <w:tab/>
      </w:r>
      <w:r w:rsidR="00806D53" w:rsidRPr="00775A24">
        <w:t>Consideration of admissibility</w:t>
      </w:r>
    </w:p>
    <w:p w14:paraId="6DCD0964" w14:textId="77777777" w:rsidR="00806D53" w:rsidRPr="00775A24" w:rsidRDefault="00FC3F77">
      <w:pPr>
        <w:pStyle w:val="SingleTxtG"/>
        <w:rPr>
          <w:lang w:val="en-GB"/>
        </w:rPr>
      </w:pPr>
      <w:r w:rsidRPr="00537939">
        <w:rPr>
          <w:lang w:val="en-GB"/>
        </w:rPr>
        <w:t>7</w:t>
      </w:r>
      <w:r w:rsidR="00806D53" w:rsidRPr="00775A24">
        <w:rPr>
          <w:lang w:val="en-GB"/>
        </w:rPr>
        <w:t>.1</w:t>
      </w:r>
      <w:r w:rsidR="00806D53" w:rsidRPr="00775A24">
        <w:rPr>
          <w:lang w:val="en-GB"/>
        </w:rPr>
        <w:tab/>
        <w:t xml:space="preserve">Before considering a claim contained in a communication, the Committee must decide whether it is admissible under article 22 of the Convention. The Committee has ascertained, as it is required to do under article 22 </w:t>
      </w:r>
      <w:r w:rsidR="00A84B4A" w:rsidRPr="00775A24">
        <w:rPr>
          <w:lang w:val="en-GB"/>
        </w:rPr>
        <w:t>(</w:t>
      </w:r>
      <w:r w:rsidR="00806D53" w:rsidRPr="00775A24">
        <w:rPr>
          <w:lang w:val="en-GB"/>
        </w:rPr>
        <w:t>5</w:t>
      </w:r>
      <w:r w:rsidR="00A84B4A" w:rsidRPr="00775A24">
        <w:rPr>
          <w:lang w:val="en-GB"/>
        </w:rPr>
        <w:t>)</w:t>
      </w:r>
      <w:r w:rsidR="00806D53" w:rsidRPr="00775A24">
        <w:rPr>
          <w:lang w:val="en-GB"/>
        </w:rPr>
        <w:t xml:space="preserve"> (a) of the Convention, that the same matter has not been and is not being examined under another procedure of international investigation or settlement.</w:t>
      </w:r>
    </w:p>
    <w:p w14:paraId="6DEE3278" w14:textId="77777777" w:rsidR="00371559" w:rsidRPr="00537939" w:rsidRDefault="00FC3F77">
      <w:pPr>
        <w:pStyle w:val="SingleTxtG"/>
        <w:rPr>
          <w:lang w:val="en-GB"/>
        </w:rPr>
      </w:pPr>
      <w:r w:rsidRPr="00775A24">
        <w:rPr>
          <w:lang w:val="en-GB"/>
        </w:rPr>
        <w:t>7</w:t>
      </w:r>
      <w:r w:rsidR="007D7921" w:rsidRPr="00775A24">
        <w:rPr>
          <w:lang w:val="en-GB"/>
        </w:rPr>
        <w:t>.</w:t>
      </w:r>
      <w:r w:rsidR="00806D53" w:rsidRPr="00775A24">
        <w:rPr>
          <w:lang w:val="en-GB"/>
        </w:rPr>
        <w:t>2</w:t>
      </w:r>
      <w:r w:rsidR="00806D53" w:rsidRPr="00775A24">
        <w:rPr>
          <w:lang w:val="en-GB"/>
        </w:rPr>
        <w:tab/>
      </w:r>
      <w:r w:rsidR="00371559" w:rsidRPr="00775A24">
        <w:rPr>
          <w:lang w:val="en-GB"/>
        </w:rPr>
        <w:t xml:space="preserve">The Committee notes the State party’s submission that the present communication is manifestly unfounded and thus inadmissible pursuant to article 22 </w:t>
      </w:r>
      <w:r w:rsidR="00A84B4A" w:rsidRPr="00775A24">
        <w:rPr>
          <w:lang w:val="en-GB"/>
        </w:rPr>
        <w:t>(</w:t>
      </w:r>
      <w:r w:rsidR="00371559" w:rsidRPr="00775A24">
        <w:rPr>
          <w:lang w:val="en-GB"/>
        </w:rPr>
        <w:t>2</w:t>
      </w:r>
      <w:r w:rsidR="00A84B4A" w:rsidRPr="00775A24">
        <w:rPr>
          <w:lang w:val="en-GB"/>
        </w:rPr>
        <w:t>)</w:t>
      </w:r>
      <w:r w:rsidR="00371559" w:rsidRPr="00775A24">
        <w:rPr>
          <w:lang w:val="en-GB"/>
        </w:rPr>
        <w:t xml:space="preserve"> of the Convention and rule 107 (b) of the Committee’s rules of procedure. The Committee, however, considers that the communication has been substantiated for the purposes of admissibility, as the complainant has sufficiently elaborated the facts and the basis of the claim for a decision by the Committee. </w:t>
      </w:r>
    </w:p>
    <w:p w14:paraId="66130A38" w14:textId="77777777" w:rsidR="00FC3F77" w:rsidRPr="00775A24" w:rsidRDefault="00FC3F77">
      <w:pPr>
        <w:pStyle w:val="SingleTxtG"/>
        <w:rPr>
          <w:lang w:val="en-GB"/>
        </w:rPr>
      </w:pPr>
      <w:r w:rsidRPr="00775A24">
        <w:rPr>
          <w:lang w:val="en-GB"/>
        </w:rPr>
        <w:t>7</w:t>
      </w:r>
      <w:r w:rsidR="00371559" w:rsidRPr="00775A24">
        <w:rPr>
          <w:lang w:val="en-GB"/>
        </w:rPr>
        <w:t>.3</w:t>
      </w:r>
      <w:r w:rsidR="00371559" w:rsidRPr="00775A24">
        <w:rPr>
          <w:lang w:val="en-GB"/>
        </w:rPr>
        <w:tab/>
      </w:r>
      <w:r w:rsidR="000E482F" w:rsidRPr="00775A24">
        <w:rPr>
          <w:lang w:val="en-GB"/>
        </w:rPr>
        <w:t xml:space="preserve">The Committee </w:t>
      </w:r>
      <w:r w:rsidR="00371559" w:rsidRPr="00775A24">
        <w:rPr>
          <w:lang w:val="en-GB"/>
        </w:rPr>
        <w:t xml:space="preserve">further </w:t>
      </w:r>
      <w:r w:rsidR="000E482F" w:rsidRPr="00775A24">
        <w:rPr>
          <w:lang w:val="en-GB"/>
        </w:rPr>
        <w:t xml:space="preserve">recalls that, in accordance with article 22 </w:t>
      </w:r>
      <w:r w:rsidR="00A84B4A" w:rsidRPr="00775A24">
        <w:rPr>
          <w:lang w:val="en-GB"/>
        </w:rPr>
        <w:t>(</w:t>
      </w:r>
      <w:r w:rsidR="000E482F" w:rsidRPr="00775A24">
        <w:rPr>
          <w:lang w:val="en-GB"/>
        </w:rPr>
        <w:t>5</w:t>
      </w:r>
      <w:r w:rsidR="00A84B4A" w:rsidRPr="00775A24">
        <w:rPr>
          <w:lang w:val="en-GB"/>
        </w:rPr>
        <w:t>)</w:t>
      </w:r>
      <w:r w:rsidR="000E482F" w:rsidRPr="00775A24">
        <w:rPr>
          <w:lang w:val="en-GB"/>
        </w:rPr>
        <w:t xml:space="preserve"> (b) of the Convention, it shall not consider any communication from an individual unless it has ascertained that the individual has exhausted all available domestic remedies. It notes that in the present case, the State party has recognized that the complainant</w:t>
      </w:r>
      <w:r w:rsidR="004D04AD" w:rsidRPr="00775A24">
        <w:rPr>
          <w:lang w:val="en-GB"/>
        </w:rPr>
        <w:t>s have</w:t>
      </w:r>
      <w:r w:rsidR="000E482F" w:rsidRPr="00775A24">
        <w:rPr>
          <w:lang w:val="en-GB"/>
        </w:rPr>
        <w:t xml:space="preserve"> exhausted all available domestic remedies. Accordingly, the Committee finds no further obstacles to </w:t>
      </w:r>
      <w:r w:rsidR="006141F2" w:rsidRPr="00775A24">
        <w:rPr>
          <w:lang w:val="en-GB"/>
        </w:rPr>
        <w:t xml:space="preserve">the </w:t>
      </w:r>
      <w:r w:rsidR="00184228" w:rsidRPr="00775A24">
        <w:rPr>
          <w:lang w:val="en-GB"/>
        </w:rPr>
        <w:t>admissibility;</w:t>
      </w:r>
      <w:r w:rsidR="000E482F" w:rsidRPr="00775A24">
        <w:rPr>
          <w:lang w:val="en-GB"/>
        </w:rPr>
        <w:t xml:space="preserve"> it declares the communication admissible and proceeds with its examination on the merits</w:t>
      </w:r>
      <w:r w:rsidR="00371559" w:rsidRPr="00775A24">
        <w:rPr>
          <w:lang w:val="en-GB"/>
        </w:rPr>
        <w:t>.</w:t>
      </w:r>
    </w:p>
    <w:p w14:paraId="037C0474" w14:textId="77777777" w:rsidR="0012481D" w:rsidRPr="00775A24" w:rsidRDefault="00EF41D7" w:rsidP="00775A24">
      <w:pPr>
        <w:pStyle w:val="H23G"/>
      </w:pPr>
      <w:r w:rsidRPr="00775A24">
        <w:tab/>
      </w:r>
      <w:r w:rsidRPr="00775A24">
        <w:tab/>
      </w:r>
      <w:r w:rsidR="00806D53" w:rsidRPr="00775A24">
        <w:t>Consideration of the merits</w:t>
      </w:r>
      <w:r w:rsidR="0012481D" w:rsidRPr="00775A24">
        <w:tab/>
      </w:r>
    </w:p>
    <w:p w14:paraId="47C37E27" w14:textId="77777777" w:rsidR="0015227A" w:rsidRPr="00775A24" w:rsidRDefault="00FC3F77">
      <w:pPr>
        <w:pStyle w:val="SingleTxtG"/>
        <w:rPr>
          <w:lang w:val="en-GB"/>
        </w:rPr>
      </w:pPr>
      <w:r w:rsidRPr="00775A24">
        <w:rPr>
          <w:lang w:val="en-GB"/>
        </w:rPr>
        <w:t>8</w:t>
      </w:r>
      <w:r w:rsidR="0015227A" w:rsidRPr="00775A24">
        <w:rPr>
          <w:lang w:val="en-GB"/>
        </w:rPr>
        <w:t>.1</w:t>
      </w:r>
      <w:r w:rsidR="0015227A" w:rsidRPr="00775A24">
        <w:rPr>
          <w:lang w:val="en-GB"/>
        </w:rPr>
        <w:tab/>
        <w:t xml:space="preserve">In accordance with article 22 </w:t>
      </w:r>
      <w:r w:rsidR="00A84B4A" w:rsidRPr="00775A24">
        <w:rPr>
          <w:lang w:val="en-GB"/>
        </w:rPr>
        <w:t>(</w:t>
      </w:r>
      <w:r w:rsidR="0015227A" w:rsidRPr="00775A24">
        <w:rPr>
          <w:lang w:val="en-GB"/>
        </w:rPr>
        <w:t>4</w:t>
      </w:r>
      <w:r w:rsidR="00A84B4A" w:rsidRPr="00775A24">
        <w:rPr>
          <w:lang w:val="en-GB"/>
        </w:rPr>
        <w:t>)</w:t>
      </w:r>
      <w:r w:rsidR="0015227A" w:rsidRPr="00775A24">
        <w:rPr>
          <w:lang w:val="en-GB"/>
        </w:rPr>
        <w:t xml:space="preserve"> of the Convention, the Committee has considered the present communication in the light of all information made available to it by the parties concerned.</w:t>
      </w:r>
    </w:p>
    <w:p w14:paraId="31CB77DC" w14:textId="77777777" w:rsidR="0015227A" w:rsidRPr="00775A24" w:rsidRDefault="00FC3F77" w:rsidP="005E6ADA">
      <w:pPr>
        <w:pStyle w:val="SingleTxtG"/>
        <w:rPr>
          <w:lang w:val="en-GB"/>
        </w:rPr>
      </w:pPr>
      <w:r w:rsidRPr="00775A24">
        <w:rPr>
          <w:lang w:val="en-GB"/>
        </w:rPr>
        <w:t>8</w:t>
      </w:r>
      <w:r w:rsidR="0015227A" w:rsidRPr="00775A24">
        <w:rPr>
          <w:lang w:val="en-GB"/>
        </w:rPr>
        <w:t>.2</w:t>
      </w:r>
      <w:r w:rsidR="0015227A" w:rsidRPr="00775A24">
        <w:rPr>
          <w:lang w:val="en-GB"/>
        </w:rPr>
        <w:tab/>
        <w:t xml:space="preserve">In the present case, the issue before the Committee is whether the </w:t>
      </w:r>
      <w:r w:rsidR="00E91780" w:rsidRPr="00775A24">
        <w:rPr>
          <w:lang w:val="en-GB"/>
        </w:rPr>
        <w:t xml:space="preserve">forcible </w:t>
      </w:r>
      <w:r w:rsidR="0015227A" w:rsidRPr="00775A24">
        <w:rPr>
          <w:lang w:val="en-GB"/>
        </w:rPr>
        <w:t>return of the complainant</w:t>
      </w:r>
      <w:r w:rsidR="004D04AD" w:rsidRPr="00775A24">
        <w:rPr>
          <w:lang w:val="en-GB"/>
        </w:rPr>
        <w:t>s</w:t>
      </w:r>
      <w:r w:rsidR="0015227A" w:rsidRPr="00775A24">
        <w:rPr>
          <w:lang w:val="en-GB"/>
        </w:rPr>
        <w:t xml:space="preserve"> to </w:t>
      </w:r>
      <w:r w:rsidR="002436BD" w:rsidRPr="00775A24">
        <w:rPr>
          <w:lang w:val="en-GB"/>
        </w:rPr>
        <w:t xml:space="preserve">Belarus </w:t>
      </w:r>
      <w:r w:rsidR="0015227A" w:rsidRPr="00775A24">
        <w:rPr>
          <w:lang w:val="en-GB"/>
        </w:rPr>
        <w:t>would constitute a violation of the State party’s obligation under article 3 of the Convention not to expel or to return (</w:t>
      </w:r>
      <w:r w:rsidR="0015227A" w:rsidRPr="00775A24">
        <w:rPr>
          <w:i/>
          <w:lang w:val="en-GB"/>
        </w:rPr>
        <w:t>refouler</w:t>
      </w:r>
      <w:r w:rsidR="0015227A" w:rsidRPr="00537939">
        <w:rPr>
          <w:lang w:val="en-GB"/>
        </w:rPr>
        <w:t>) a person to another State where there are substantial grounds for believing that h</w:t>
      </w:r>
      <w:r w:rsidR="0015227A" w:rsidRPr="00775A24">
        <w:rPr>
          <w:lang w:val="en-GB"/>
        </w:rPr>
        <w:t xml:space="preserve">e or she would be in danger of being subjected to torture. </w:t>
      </w:r>
    </w:p>
    <w:p w14:paraId="65C1F6A8" w14:textId="77777777" w:rsidR="0015227A" w:rsidRPr="00775A24" w:rsidRDefault="00FC3F77">
      <w:pPr>
        <w:pStyle w:val="SingleTxtG"/>
        <w:rPr>
          <w:lang w:val="en-GB"/>
        </w:rPr>
      </w:pPr>
      <w:r w:rsidRPr="00775A24">
        <w:rPr>
          <w:lang w:val="en-GB"/>
        </w:rPr>
        <w:t>8</w:t>
      </w:r>
      <w:r w:rsidR="0015227A" w:rsidRPr="00775A24">
        <w:rPr>
          <w:lang w:val="en-GB"/>
        </w:rPr>
        <w:t>.3</w:t>
      </w:r>
      <w:r w:rsidR="0015227A" w:rsidRPr="00775A24">
        <w:rPr>
          <w:lang w:val="en-GB"/>
        </w:rPr>
        <w:tab/>
        <w:t>The Committee must evaluate whether there are substantial grounds for believing that the complainant</w:t>
      </w:r>
      <w:r w:rsidR="004D04AD" w:rsidRPr="00775A24">
        <w:rPr>
          <w:lang w:val="en-GB"/>
        </w:rPr>
        <w:t>s</w:t>
      </w:r>
      <w:r w:rsidR="0015227A" w:rsidRPr="00775A24">
        <w:rPr>
          <w:lang w:val="en-GB"/>
        </w:rPr>
        <w:t xml:space="preserve"> would be personally in danger of being subjected to torture upon return to </w:t>
      </w:r>
      <w:r w:rsidR="004D04AD" w:rsidRPr="00775A24">
        <w:rPr>
          <w:lang w:val="en-GB"/>
        </w:rPr>
        <w:t>their</w:t>
      </w:r>
      <w:r w:rsidR="0015227A" w:rsidRPr="00775A24">
        <w:rPr>
          <w:lang w:val="en-GB"/>
        </w:rPr>
        <w:t xml:space="preserve"> country of origin. In assessing this risk, the Committee must take into account all relevant considerations, pursuant to article 3 </w:t>
      </w:r>
      <w:r w:rsidR="00A84B4A" w:rsidRPr="00775A24">
        <w:rPr>
          <w:lang w:val="en-GB"/>
        </w:rPr>
        <w:t>(</w:t>
      </w:r>
      <w:r w:rsidR="0015227A" w:rsidRPr="00775A24">
        <w:rPr>
          <w:lang w:val="en-GB"/>
        </w:rPr>
        <w:t>2</w:t>
      </w:r>
      <w:r w:rsidR="00A84B4A" w:rsidRPr="00775A24">
        <w:rPr>
          <w:lang w:val="en-GB"/>
        </w:rPr>
        <w:t>)</w:t>
      </w:r>
      <w:r w:rsidR="0015227A" w:rsidRPr="00775A24">
        <w:rPr>
          <w:lang w:val="en-GB"/>
        </w:rPr>
        <w:t xml:space="preserve">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w:t>
      </w:r>
      <w:r w:rsidR="007C1219" w:rsidRPr="00537939">
        <w:rPr>
          <w:rStyle w:val="FootnoteReference"/>
          <w:lang w:val="en-GB"/>
        </w:rPr>
        <w:footnoteReference w:id="19"/>
      </w:r>
      <w:r w:rsidR="0015227A" w:rsidRPr="00537939">
        <w:rPr>
          <w:lang w:val="en-GB"/>
        </w:rPr>
        <w:t xml:space="preserve"> It follows that the existence of a pattern of gross, flagrant or mass violations of human rights in a country does not as such constitute sufficient reason for determining that a particular person would be in danger of being subjected to torture on return</w:t>
      </w:r>
      <w:r w:rsidR="0015227A" w:rsidRPr="00775A24">
        <w:rPr>
          <w:lang w:val="en-GB"/>
        </w:rPr>
        <w:t xml:space="preserve"> to that country; additional grounds must be adduced to show that the individual concerned would be personally at risk.</w:t>
      </w:r>
      <w:r w:rsidR="007C1219" w:rsidRPr="00537939">
        <w:rPr>
          <w:rStyle w:val="FootnoteReference"/>
          <w:lang w:val="en-GB"/>
        </w:rPr>
        <w:footnoteReference w:id="20"/>
      </w:r>
      <w:r w:rsidR="0015227A" w:rsidRPr="00537939">
        <w:rPr>
          <w:lang w:val="en-GB"/>
        </w:rPr>
        <w:t xml:space="preserve"> Conversely, the absence of a consistent pattern of flagrant violations of human rights does not mean that a person might not be subject</w:t>
      </w:r>
      <w:r w:rsidR="0015227A" w:rsidRPr="005A29CC">
        <w:rPr>
          <w:lang w:val="en-GB"/>
        </w:rPr>
        <w:t>ed to torture in his or her specific circumstances.</w:t>
      </w:r>
      <w:r w:rsidR="001C77F5" w:rsidRPr="00775A24">
        <w:rPr>
          <w:rStyle w:val="FootnoteReference"/>
          <w:lang w:val="en-GB"/>
        </w:rPr>
        <w:footnoteReference w:id="21"/>
      </w:r>
    </w:p>
    <w:p w14:paraId="5D206CA9" w14:textId="77777777" w:rsidR="00181E3D" w:rsidRPr="00775A24" w:rsidRDefault="00FC3F77">
      <w:pPr>
        <w:pStyle w:val="SingleTxtG"/>
        <w:rPr>
          <w:lang w:val="en-GB"/>
        </w:rPr>
      </w:pPr>
      <w:r w:rsidRPr="00775A24">
        <w:rPr>
          <w:lang w:val="en-GB"/>
        </w:rPr>
        <w:t>8</w:t>
      </w:r>
      <w:r w:rsidR="0015227A" w:rsidRPr="00775A24">
        <w:rPr>
          <w:lang w:val="en-GB"/>
        </w:rPr>
        <w:t>.4</w:t>
      </w:r>
      <w:r w:rsidR="0015227A" w:rsidRPr="00775A24">
        <w:rPr>
          <w:lang w:val="en-GB"/>
        </w:rPr>
        <w:tab/>
        <w:t xml:space="preserve">The Committee recalls its </w:t>
      </w:r>
      <w:r w:rsidR="00A84B4A" w:rsidRPr="00775A24">
        <w:rPr>
          <w:lang w:val="en-GB"/>
        </w:rPr>
        <w:t>g</w:t>
      </w:r>
      <w:r w:rsidR="0015227A" w:rsidRPr="00775A24">
        <w:rPr>
          <w:lang w:val="en-GB"/>
        </w:rPr>
        <w:t xml:space="preserve">eneral </w:t>
      </w:r>
      <w:r w:rsidR="00A84B4A" w:rsidRPr="00775A24">
        <w:rPr>
          <w:lang w:val="en-GB"/>
        </w:rPr>
        <w:t>c</w:t>
      </w:r>
      <w:r w:rsidR="0015227A" w:rsidRPr="00775A24">
        <w:rPr>
          <w:lang w:val="en-GB"/>
        </w:rPr>
        <w:t>omment No. 1, according to which the risk of torture must be assessed on grounds that go beyond mere theory or suspicion. While the risk does not have to meet the test of being “highly probable”,</w:t>
      </w:r>
      <w:r w:rsidR="001C77F5" w:rsidRPr="00775A24">
        <w:rPr>
          <w:rStyle w:val="FootnoteReference"/>
          <w:lang w:val="en-GB"/>
        </w:rPr>
        <w:footnoteReference w:id="22"/>
      </w:r>
      <w:r w:rsidR="0015227A" w:rsidRPr="00775A24">
        <w:rPr>
          <w:lang w:val="en-GB"/>
        </w:rPr>
        <w:t xml:space="preserve"> the Committee recalls that the burden of proof generally falls on the complainant, who must present an arguable case that he faces a “foreseeable, real and personal” risk.</w:t>
      </w:r>
      <w:r w:rsidR="001C77F5" w:rsidRPr="00775A24">
        <w:rPr>
          <w:rStyle w:val="FootnoteReference"/>
          <w:lang w:val="en-GB"/>
        </w:rPr>
        <w:footnoteReference w:id="23"/>
      </w:r>
      <w:r w:rsidR="0015227A" w:rsidRPr="00775A24">
        <w:rPr>
          <w:lang w:val="en-GB"/>
        </w:rPr>
        <w:t xml:space="preserve"> </w:t>
      </w:r>
      <w:r w:rsidR="00181E3D" w:rsidRPr="00775A24">
        <w:rPr>
          <w:lang w:val="en-GB"/>
        </w:rPr>
        <w:t>In this respect, the Committee notes that</w:t>
      </w:r>
      <w:r w:rsidR="00C821C0" w:rsidRPr="00775A24">
        <w:rPr>
          <w:lang w:val="en-GB"/>
        </w:rPr>
        <w:t>,</w:t>
      </w:r>
      <w:r w:rsidR="00181E3D" w:rsidRPr="00775A24">
        <w:rPr>
          <w:lang w:val="en-GB"/>
        </w:rPr>
        <w:t xml:space="preserve"> under the terms of general comment No. 1, it gives considerable weight to findings of fact that are made by organs of the State party concerned, while at the same time it is not bound by such findings and instead has the power, provided </w:t>
      </w:r>
      <w:r w:rsidR="00C821C0" w:rsidRPr="00775A24">
        <w:rPr>
          <w:lang w:val="en-GB"/>
        </w:rPr>
        <w:t xml:space="preserve">in </w:t>
      </w:r>
      <w:r w:rsidR="00181E3D" w:rsidRPr="00775A24">
        <w:rPr>
          <w:lang w:val="en-GB"/>
        </w:rPr>
        <w:t>article 22</w:t>
      </w:r>
      <w:r w:rsidR="00A84B4A" w:rsidRPr="00775A24">
        <w:rPr>
          <w:lang w:val="en-GB"/>
        </w:rPr>
        <w:t xml:space="preserve"> (</w:t>
      </w:r>
      <w:r w:rsidR="00181E3D" w:rsidRPr="00775A24">
        <w:rPr>
          <w:lang w:val="en-GB"/>
        </w:rPr>
        <w:t>4</w:t>
      </w:r>
      <w:r w:rsidR="00A84B4A" w:rsidRPr="00775A24">
        <w:rPr>
          <w:lang w:val="en-GB"/>
        </w:rPr>
        <w:t>)</w:t>
      </w:r>
      <w:r w:rsidR="00181E3D" w:rsidRPr="00775A24">
        <w:rPr>
          <w:lang w:val="en-GB"/>
        </w:rPr>
        <w:t xml:space="preserve"> of the Convention, of free assessment of the facts based upon the full set of circumstances in every case. </w:t>
      </w:r>
    </w:p>
    <w:p w14:paraId="3FF5833C" w14:textId="77777777" w:rsidR="0015227A" w:rsidRPr="00775A24" w:rsidRDefault="00FC3F77">
      <w:pPr>
        <w:pStyle w:val="SingleTxtG"/>
        <w:rPr>
          <w:lang w:val="en-GB"/>
        </w:rPr>
      </w:pPr>
      <w:r w:rsidRPr="00775A24">
        <w:rPr>
          <w:lang w:val="en-GB"/>
        </w:rPr>
        <w:t>8</w:t>
      </w:r>
      <w:r w:rsidR="0015227A" w:rsidRPr="00775A24">
        <w:rPr>
          <w:lang w:val="en-GB"/>
        </w:rPr>
        <w:t>.5</w:t>
      </w:r>
      <w:r w:rsidR="0015227A" w:rsidRPr="00775A24">
        <w:rPr>
          <w:lang w:val="en-GB"/>
        </w:rPr>
        <w:tab/>
        <w:t>The complainant</w:t>
      </w:r>
      <w:r w:rsidR="004D04AD" w:rsidRPr="00775A24">
        <w:rPr>
          <w:lang w:val="en-GB"/>
        </w:rPr>
        <w:t>s</w:t>
      </w:r>
      <w:r w:rsidR="0015227A" w:rsidRPr="00775A24">
        <w:rPr>
          <w:lang w:val="en-GB"/>
        </w:rPr>
        <w:t xml:space="preserve"> claim that</w:t>
      </w:r>
      <w:r w:rsidR="006141F2" w:rsidRPr="00775A24">
        <w:rPr>
          <w:lang w:val="en-GB"/>
        </w:rPr>
        <w:t>,</w:t>
      </w:r>
      <w:r w:rsidR="0015227A" w:rsidRPr="00775A24">
        <w:rPr>
          <w:lang w:val="en-GB"/>
        </w:rPr>
        <w:t xml:space="preserve"> in </w:t>
      </w:r>
      <w:r w:rsidR="002436BD" w:rsidRPr="005A29CC">
        <w:rPr>
          <w:lang w:val="en-GB"/>
        </w:rPr>
        <w:t>Belarus</w:t>
      </w:r>
      <w:r w:rsidR="006141F2" w:rsidRPr="00775A24">
        <w:rPr>
          <w:lang w:val="en-GB"/>
        </w:rPr>
        <w:t>,</w:t>
      </w:r>
      <w:r w:rsidR="006177C4" w:rsidRPr="00775A24">
        <w:rPr>
          <w:lang w:val="en-GB"/>
        </w:rPr>
        <w:t xml:space="preserve"> </w:t>
      </w:r>
      <w:r w:rsidR="004D04AD" w:rsidRPr="00775A24">
        <w:rPr>
          <w:lang w:val="en-GB"/>
        </w:rPr>
        <w:t>they</w:t>
      </w:r>
      <w:r w:rsidR="0015227A" w:rsidRPr="00775A24">
        <w:rPr>
          <w:lang w:val="en-GB"/>
        </w:rPr>
        <w:t xml:space="preserve"> may be tortured </w:t>
      </w:r>
      <w:r w:rsidR="006177C4" w:rsidRPr="00775A24">
        <w:rPr>
          <w:lang w:val="en-GB"/>
        </w:rPr>
        <w:t xml:space="preserve">as </w:t>
      </w:r>
      <w:r w:rsidR="004D04AD" w:rsidRPr="00775A24">
        <w:rPr>
          <w:lang w:val="en-GB"/>
        </w:rPr>
        <w:t xml:space="preserve">there are substantial grounds to believe that the harassment and </w:t>
      </w:r>
      <w:r w:rsidR="002436BD" w:rsidRPr="005A29CC">
        <w:rPr>
          <w:lang w:val="en-GB"/>
        </w:rPr>
        <w:t>alleged torture</w:t>
      </w:r>
      <w:r w:rsidR="00A84B4A" w:rsidRPr="00775A24">
        <w:rPr>
          <w:lang w:val="en-GB"/>
        </w:rPr>
        <w:t xml:space="preserve"> to which</w:t>
      </w:r>
      <w:r w:rsidR="002436BD" w:rsidRPr="00775A24">
        <w:rPr>
          <w:lang w:val="en-GB"/>
        </w:rPr>
        <w:t xml:space="preserve"> the second complainant was subjected</w:t>
      </w:r>
      <w:r w:rsidR="00E819B2" w:rsidRPr="00775A24">
        <w:rPr>
          <w:lang w:val="en-GB"/>
        </w:rPr>
        <w:t xml:space="preserve"> to</w:t>
      </w:r>
      <w:r w:rsidR="002436BD" w:rsidRPr="00775A24">
        <w:rPr>
          <w:lang w:val="en-GB"/>
        </w:rPr>
        <w:t xml:space="preserve"> in the past </w:t>
      </w:r>
      <w:r w:rsidR="00A84B4A" w:rsidRPr="00775A24">
        <w:rPr>
          <w:lang w:val="en-GB"/>
        </w:rPr>
        <w:t>owing to</w:t>
      </w:r>
      <w:r w:rsidR="002436BD" w:rsidRPr="00775A24">
        <w:rPr>
          <w:lang w:val="en-GB"/>
        </w:rPr>
        <w:t xml:space="preserve"> their political activities</w:t>
      </w:r>
      <w:r w:rsidR="004D04AD" w:rsidRPr="00775A24">
        <w:rPr>
          <w:lang w:val="en-GB"/>
        </w:rPr>
        <w:t xml:space="preserve"> </w:t>
      </w:r>
      <w:r w:rsidR="00E819B2" w:rsidRPr="005A29CC">
        <w:rPr>
          <w:lang w:val="en-GB"/>
        </w:rPr>
        <w:t xml:space="preserve">and the business activity of the first complainant </w:t>
      </w:r>
      <w:r w:rsidR="004D04AD" w:rsidRPr="00775A24">
        <w:rPr>
          <w:lang w:val="en-GB"/>
        </w:rPr>
        <w:t xml:space="preserve">will </w:t>
      </w:r>
      <w:r w:rsidR="002436BD" w:rsidRPr="005A29CC">
        <w:rPr>
          <w:lang w:val="en-GB"/>
        </w:rPr>
        <w:t>continue</w:t>
      </w:r>
      <w:r w:rsidR="006177C4" w:rsidRPr="00775A24">
        <w:rPr>
          <w:lang w:val="en-GB"/>
        </w:rPr>
        <w:t xml:space="preserve">. </w:t>
      </w:r>
      <w:r w:rsidR="00626C39" w:rsidRPr="005A29CC">
        <w:rPr>
          <w:lang w:val="en-GB"/>
        </w:rPr>
        <w:t>In th</w:t>
      </w:r>
      <w:r w:rsidR="00A84B4A" w:rsidRPr="00775A24">
        <w:rPr>
          <w:lang w:val="en-GB"/>
        </w:rPr>
        <w:t>at</w:t>
      </w:r>
      <w:r w:rsidR="00626C39" w:rsidRPr="00775A24">
        <w:rPr>
          <w:lang w:val="en-GB"/>
        </w:rPr>
        <w:t xml:space="preserve"> connection, the Committee </w:t>
      </w:r>
      <w:r w:rsidR="00626C39" w:rsidRPr="005A29CC">
        <w:rPr>
          <w:lang w:val="en-GB"/>
        </w:rPr>
        <w:t>takes</w:t>
      </w:r>
      <w:r w:rsidR="00626C39" w:rsidRPr="00775A24">
        <w:rPr>
          <w:lang w:val="en-GB"/>
        </w:rPr>
        <w:t xml:space="preserve"> note that the complainants have provided medical documentation attesting that the </w:t>
      </w:r>
      <w:r w:rsidR="00626C39" w:rsidRPr="005A29CC">
        <w:rPr>
          <w:lang w:val="en-GB"/>
        </w:rPr>
        <w:t>second</w:t>
      </w:r>
      <w:r w:rsidR="00626C39" w:rsidRPr="00775A24">
        <w:rPr>
          <w:lang w:val="en-GB"/>
        </w:rPr>
        <w:t xml:space="preserve"> complainant had been subjected to </w:t>
      </w:r>
      <w:r w:rsidR="00626C39" w:rsidRPr="005A29CC">
        <w:rPr>
          <w:lang w:val="en-GB"/>
        </w:rPr>
        <w:t xml:space="preserve">abuse and </w:t>
      </w:r>
      <w:r w:rsidR="00626C39" w:rsidRPr="00775A24">
        <w:rPr>
          <w:lang w:val="en-GB"/>
        </w:rPr>
        <w:t xml:space="preserve">ill-treatment </w:t>
      </w:r>
      <w:r w:rsidR="00626C39" w:rsidRPr="005A29CC">
        <w:rPr>
          <w:lang w:val="en-GB"/>
        </w:rPr>
        <w:t xml:space="preserve">following her participation in a demonstration in </w:t>
      </w:r>
      <w:r w:rsidR="00626C39" w:rsidRPr="00775A24">
        <w:rPr>
          <w:lang w:val="en-GB"/>
        </w:rPr>
        <w:t>200</w:t>
      </w:r>
      <w:r w:rsidR="00626C39" w:rsidRPr="005A29CC">
        <w:rPr>
          <w:lang w:val="en-GB"/>
        </w:rPr>
        <w:t>6</w:t>
      </w:r>
      <w:r w:rsidR="00626C39" w:rsidRPr="00775A24">
        <w:rPr>
          <w:lang w:val="en-GB"/>
        </w:rPr>
        <w:t>.</w:t>
      </w:r>
    </w:p>
    <w:p w14:paraId="48B86798" w14:textId="77777777" w:rsidR="00BD2AEA" w:rsidRPr="00775A24" w:rsidRDefault="00FC3F77">
      <w:pPr>
        <w:pStyle w:val="SingleTxtG"/>
        <w:rPr>
          <w:bCs/>
          <w:lang w:val="en-GB" w:eastAsia="en-GB"/>
        </w:rPr>
      </w:pPr>
      <w:r w:rsidRPr="005A29CC">
        <w:rPr>
          <w:lang w:val="en-GB"/>
        </w:rPr>
        <w:t>8</w:t>
      </w:r>
      <w:r w:rsidR="00BD2AEA" w:rsidRPr="00775A24">
        <w:rPr>
          <w:lang w:val="en-GB"/>
        </w:rPr>
        <w:t>.6</w:t>
      </w:r>
      <w:r w:rsidR="00BD2AEA" w:rsidRPr="00775A24">
        <w:rPr>
          <w:lang w:val="en-GB"/>
        </w:rPr>
        <w:tab/>
      </w:r>
      <w:r w:rsidR="00132CF0" w:rsidRPr="00775A24">
        <w:rPr>
          <w:lang w:val="en-GB"/>
        </w:rPr>
        <w:t>T</w:t>
      </w:r>
      <w:r w:rsidR="00BD2AEA" w:rsidRPr="00775A24">
        <w:rPr>
          <w:lang w:val="en-GB"/>
        </w:rPr>
        <w:t xml:space="preserve">he Committee notes </w:t>
      </w:r>
      <w:r w:rsidR="00132CF0" w:rsidRPr="00775A24">
        <w:rPr>
          <w:lang w:val="en-GB"/>
        </w:rPr>
        <w:t xml:space="preserve">also </w:t>
      </w:r>
      <w:r w:rsidR="00BD2AEA" w:rsidRPr="00775A24">
        <w:rPr>
          <w:lang w:val="en-GB"/>
        </w:rPr>
        <w:t>that, even if it were to accept the claim that the complainant</w:t>
      </w:r>
      <w:r w:rsidR="004D04AD" w:rsidRPr="00775A24">
        <w:rPr>
          <w:lang w:val="en-GB"/>
        </w:rPr>
        <w:t>s</w:t>
      </w:r>
      <w:r w:rsidR="00BD2AEA" w:rsidRPr="00775A24">
        <w:rPr>
          <w:lang w:val="en-GB"/>
        </w:rPr>
        <w:t xml:space="preserve"> w</w:t>
      </w:r>
      <w:r w:rsidR="004D04AD" w:rsidRPr="00775A24">
        <w:rPr>
          <w:lang w:val="en-GB"/>
        </w:rPr>
        <w:t>ere</w:t>
      </w:r>
      <w:r w:rsidR="00BD2AEA" w:rsidRPr="00775A24">
        <w:rPr>
          <w:lang w:val="en-GB"/>
        </w:rPr>
        <w:t xml:space="preserve"> subjected to </w:t>
      </w:r>
      <w:r w:rsidR="004D04AD" w:rsidRPr="00775A24">
        <w:rPr>
          <w:lang w:val="en-GB"/>
        </w:rPr>
        <w:t>ill-treatment</w:t>
      </w:r>
      <w:r w:rsidR="00172823" w:rsidRPr="00775A24">
        <w:rPr>
          <w:lang w:val="en-GB"/>
        </w:rPr>
        <w:t xml:space="preserve"> and/or </w:t>
      </w:r>
      <w:r w:rsidR="00B171DE" w:rsidRPr="00775A24">
        <w:rPr>
          <w:lang w:val="en-GB"/>
        </w:rPr>
        <w:t>torture</w:t>
      </w:r>
      <w:r w:rsidR="00BD2AEA" w:rsidRPr="00775A24">
        <w:rPr>
          <w:lang w:val="en-GB"/>
        </w:rPr>
        <w:t xml:space="preserve"> in the past, the question is whether </w:t>
      </w:r>
      <w:r w:rsidR="004D04AD" w:rsidRPr="00775A24">
        <w:rPr>
          <w:lang w:val="en-GB"/>
        </w:rPr>
        <w:t>they remain</w:t>
      </w:r>
      <w:r w:rsidR="00BD2AEA" w:rsidRPr="00775A24">
        <w:rPr>
          <w:lang w:val="en-GB"/>
        </w:rPr>
        <w:t xml:space="preserve">, at present, at risk of torture </w:t>
      </w:r>
      <w:r w:rsidR="00172823" w:rsidRPr="00775A24">
        <w:rPr>
          <w:lang w:val="en-GB"/>
        </w:rPr>
        <w:t>if returned to</w:t>
      </w:r>
      <w:r w:rsidR="00B171DE" w:rsidRPr="00775A24">
        <w:rPr>
          <w:lang w:val="en-GB"/>
        </w:rPr>
        <w:t xml:space="preserve"> Belarus</w:t>
      </w:r>
      <w:r w:rsidR="00BD2AEA" w:rsidRPr="00775A24">
        <w:rPr>
          <w:lang w:val="en-GB"/>
        </w:rPr>
        <w:t xml:space="preserve">. The Committee notes that, at present, the </w:t>
      </w:r>
      <w:r w:rsidR="00E819B2" w:rsidRPr="00775A24">
        <w:rPr>
          <w:lang w:val="en-GB"/>
        </w:rPr>
        <w:t xml:space="preserve">general </w:t>
      </w:r>
      <w:r w:rsidR="00BD2AEA" w:rsidRPr="00775A24">
        <w:rPr>
          <w:lang w:val="en-GB"/>
        </w:rPr>
        <w:t xml:space="preserve">human rights situation in </w:t>
      </w:r>
      <w:r w:rsidR="00B171DE" w:rsidRPr="00775A24">
        <w:rPr>
          <w:lang w:val="en-GB"/>
        </w:rPr>
        <w:t>Belarus</w:t>
      </w:r>
      <w:r w:rsidR="00831B63" w:rsidRPr="00775A24">
        <w:rPr>
          <w:lang w:val="en-GB"/>
        </w:rPr>
        <w:t xml:space="preserve"> </w:t>
      </w:r>
      <w:r w:rsidR="00BD2AEA" w:rsidRPr="00775A24">
        <w:rPr>
          <w:lang w:val="en-GB"/>
        </w:rPr>
        <w:t>remains a matter of concern in several aspects</w:t>
      </w:r>
      <w:r w:rsidR="003F40AA" w:rsidRPr="00775A24">
        <w:rPr>
          <w:lang w:val="en-GB"/>
        </w:rPr>
        <w:t>, i</w:t>
      </w:r>
      <w:r w:rsidR="00BD2AEA" w:rsidRPr="00775A24">
        <w:rPr>
          <w:lang w:val="en-GB"/>
        </w:rPr>
        <w:t xml:space="preserve">n particular </w:t>
      </w:r>
      <w:r w:rsidR="008726B7" w:rsidRPr="00775A24">
        <w:rPr>
          <w:lang w:val="en-GB"/>
        </w:rPr>
        <w:t xml:space="preserve">concerning </w:t>
      </w:r>
      <w:r w:rsidR="00BF363E" w:rsidRPr="00775A24">
        <w:rPr>
          <w:lang w:val="en-GB"/>
        </w:rPr>
        <w:t xml:space="preserve">the situation of political opponents after the presidential election in December 2010. With regard to </w:t>
      </w:r>
      <w:r w:rsidR="008726B7" w:rsidRPr="00775A24">
        <w:rPr>
          <w:lang w:val="en-GB"/>
        </w:rPr>
        <w:t>incidents of torture and evidence obtained through torture</w:t>
      </w:r>
      <w:r w:rsidR="00780FA2" w:rsidRPr="00775A24">
        <w:rPr>
          <w:lang w:val="en-GB"/>
        </w:rPr>
        <w:t>,</w:t>
      </w:r>
      <w:r w:rsidR="008726B7" w:rsidRPr="00775A24">
        <w:rPr>
          <w:lang w:val="en-GB"/>
        </w:rPr>
        <w:t xml:space="preserve"> i</w:t>
      </w:r>
      <w:r w:rsidR="00172823" w:rsidRPr="00775A24">
        <w:rPr>
          <w:lang w:val="en-GB"/>
        </w:rPr>
        <w:t xml:space="preserve">t </w:t>
      </w:r>
      <w:r w:rsidR="00BD2AEA" w:rsidRPr="00775A24">
        <w:rPr>
          <w:lang w:val="en-GB"/>
        </w:rPr>
        <w:t xml:space="preserve">recalls that it expressed its concerns in its concluding observations </w:t>
      </w:r>
      <w:r w:rsidR="006141F2" w:rsidRPr="00775A24">
        <w:rPr>
          <w:lang w:val="en-GB"/>
        </w:rPr>
        <w:t xml:space="preserve">in the context of the </w:t>
      </w:r>
      <w:r w:rsidR="008726B7" w:rsidRPr="00775A24">
        <w:rPr>
          <w:lang w:val="en-GB"/>
        </w:rPr>
        <w:t>consideration of reports submitted by State parties under article 19 of the Convention</w:t>
      </w:r>
      <w:r w:rsidR="00EC0ECA" w:rsidRPr="00775A24">
        <w:rPr>
          <w:lang w:val="en-GB"/>
        </w:rPr>
        <w:t>,</w:t>
      </w:r>
      <w:r w:rsidR="008726B7" w:rsidRPr="00775A24">
        <w:rPr>
          <w:rStyle w:val="FootnoteReference"/>
          <w:lang w:val="en-GB"/>
        </w:rPr>
        <w:footnoteReference w:id="24"/>
      </w:r>
      <w:r w:rsidR="00EC0ECA" w:rsidRPr="00775A24">
        <w:rPr>
          <w:lang w:val="en-GB"/>
        </w:rPr>
        <w:t xml:space="preserve"> </w:t>
      </w:r>
      <w:r w:rsidR="008726B7" w:rsidRPr="00775A24">
        <w:rPr>
          <w:lang w:val="en-GB"/>
        </w:rPr>
        <w:t xml:space="preserve">notably </w:t>
      </w:r>
      <w:r w:rsidR="003F40AA" w:rsidRPr="00775A24">
        <w:rPr>
          <w:lang w:val="en-GB"/>
        </w:rPr>
        <w:t xml:space="preserve">about the </w:t>
      </w:r>
      <w:r w:rsidR="00BD2AEA" w:rsidRPr="00775A24">
        <w:rPr>
          <w:lang w:val="en-GB"/>
        </w:rPr>
        <w:t>numerous</w:t>
      </w:r>
      <w:r w:rsidR="008726B7" w:rsidRPr="00775A24">
        <w:rPr>
          <w:lang w:val="en-GB"/>
        </w:rPr>
        <w:t xml:space="preserve"> and consistent allegations of widespread torture and ill-treatment of detainees in the State party</w:t>
      </w:r>
      <w:r w:rsidR="003F40AA" w:rsidRPr="00775A24">
        <w:rPr>
          <w:lang w:val="en-GB"/>
        </w:rPr>
        <w:t xml:space="preserve"> and</w:t>
      </w:r>
      <w:r w:rsidR="00A2703A" w:rsidRPr="00775A24">
        <w:rPr>
          <w:lang w:val="en-GB"/>
        </w:rPr>
        <w:t xml:space="preserve"> </w:t>
      </w:r>
      <w:r w:rsidR="003F40AA" w:rsidRPr="00775A24">
        <w:rPr>
          <w:lang w:val="en-GB"/>
        </w:rPr>
        <w:t xml:space="preserve">the fact that </w:t>
      </w:r>
      <w:r w:rsidR="008726B7" w:rsidRPr="00775A24">
        <w:rPr>
          <w:lang w:val="en-GB"/>
        </w:rPr>
        <w:t xml:space="preserve">many </w:t>
      </w:r>
      <w:r w:rsidR="00BF363E" w:rsidRPr="00775A24">
        <w:rPr>
          <w:lang w:val="en-GB"/>
        </w:rPr>
        <w:t xml:space="preserve">persons deprived of their liberty </w:t>
      </w:r>
      <w:r w:rsidR="00780FA2" w:rsidRPr="00775A24">
        <w:rPr>
          <w:lang w:val="en-GB"/>
        </w:rPr>
        <w:t>we</w:t>
      </w:r>
      <w:r w:rsidR="00BF363E" w:rsidRPr="00775A24">
        <w:rPr>
          <w:lang w:val="en-GB"/>
        </w:rPr>
        <w:t>re tortured, ill-treated and threatened by law enforcement officials, especially at the moment of apprehension and during pretrial detention</w:t>
      </w:r>
      <w:r w:rsidR="005A5DC5" w:rsidRPr="00775A24">
        <w:rPr>
          <w:lang w:val="en-GB"/>
        </w:rPr>
        <w:t>,</w:t>
      </w:r>
      <w:r w:rsidR="00132CF0" w:rsidRPr="00775A24">
        <w:rPr>
          <w:lang w:val="en-GB"/>
        </w:rPr>
        <w:t xml:space="preserve"> </w:t>
      </w:r>
      <w:r w:rsidR="003F40AA" w:rsidRPr="00775A24">
        <w:rPr>
          <w:lang w:val="en-GB"/>
        </w:rPr>
        <w:t>c</w:t>
      </w:r>
      <w:r w:rsidR="00BF363E" w:rsidRPr="00775A24">
        <w:rPr>
          <w:lang w:val="en-GB"/>
        </w:rPr>
        <w:t xml:space="preserve">onfirming the concerns expressed by a number of international </w:t>
      </w:r>
      <w:r w:rsidR="005A5DC5" w:rsidRPr="00775A24">
        <w:rPr>
          <w:lang w:val="en-GB"/>
        </w:rPr>
        <w:t xml:space="preserve">experts and </w:t>
      </w:r>
      <w:r w:rsidR="00BF363E" w:rsidRPr="00775A24">
        <w:rPr>
          <w:lang w:val="en-GB"/>
        </w:rPr>
        <w:t xml:space="preserve">bodies, inter alia, the </w:t>
      </w:r>
      <w:r w:rsidR="00780FA2" w:rsidRPr="00775A24">
        <w:rPr>
          <w:lang w:val="en-GB"/>
        </w:rPr>
        <w:t>S</w:t>
      </w:r>
      <w:r w:rsidR="00BF363E" w:rsidRPr="00775A24">
        <w:rPr>
          <w:lang w:val="en-GB"/>
        </w:rPr>
        <w:t>pecial Rapporteur on torture and other cruel, inhuman or degrading treatment or punishment, the Human Rights Council (</w:t>
      </w:r>
      <w:r w:rsidR="005A5DC5" w:rsidRPr="00775A24">
        <w:rPr>
          <w:lang w:val="en-GB"/>
        </w:rPr>
        <w:t xml:space="preserve">see </w:t>
      </w:r>
      <w:r w:rsidR="00BF363E" w:rsidRPr="00775A24">
        <w:rPr>
          <w:lang w:val="en-GB"/>
        </w:rPr>
        <w:t>resolution 17/24), the United Nations High Commissioner for Human Rights and the Organi</w:t>
      </w:r>
      <w:r w:rsidR="00780FA2" w:rsidRPr="00775A24">
        <w:rPr>
          <w:lang w:val="en-GB"/>
        </w:rPr>
        <w:t>z</w:t>
      </w:r>
      <w:r w:rsidR="00BF363E" w:rsidRPr="00775A24">
        <w:rPr>
          <w:lang w:val="en-GB"/>
        </w:rPr>
        <w:t xml:space="preserve">ation for Security and Cooperation in Europe. </w:t>
      </w:r>
      <w:r w:rsidR="003F40AA" w:rsidRPr="00775A24">
        <w:rPr>
          <w:lang w:val="en-GB"/>
        </w:rPr>
        <w:t xml:space="preserve">Furthermore, the Committee recalls being concerned at reports of several cases of confessions obtained under torture and ill-treatment and the lack of information on any officials who may have been prosecuted and punished for extracting such confessions. </w:t>
      </w:r>
      <w:r w:rsidR="00E42285" w:rsidRPr="00775A24">
        <w:rPr>
          <w:lang w:val="en-GB"/>
        </w:rPr>
        <w:t xml:space="preserve">However, the Committee </w:t>
      </w:r>
      <w:r w:rsidR="00C26176" w:rsidRPr="00775A24">
        <w:rPr>
          <w:lang w:val="en-GB"/>
        </w:rPr>
        <w:t>reiterates</w:t>
      </w:r>
      <w:r w:rsidR="00E42285" w:rsidRPr="00775A24">
        <w:rPr>
          <w:lang w:val="en-GB"/>
        </w:rPr>
        <w:t xml:space="preserve"> that the occurrence of human rights violations in his/her country of origin is not sufficient, in itself, to permit to conclude that a complainant, personally, runs a risk of torture.</w:t>
      </w:r>
      <w:r w:rsidR="001C77F5" w:rsidRPr="00775A24">
        <w:rPr>
          <w:rStyle w:val="FootnoteReference"/>
          <w:lang w:val="en-GB"/>
        </w:rPr>
        <w:footnoteReference w:id="25"/>
      </w:r>
    </w:p>
    <w:p w14:paraId="656B010B" w14:textId="77777777" w:rsidR="00132CF0" w:rsidRPr="00775A24" w:rsidRDefault="00FC3F77" w:rsidP="001C77F5">
      <w:pPr>
        <w:pStyle w:val="SingleTxtG"/>
        <w:rPr>
          <w:lang w:val="en-GB"/>
        </w:rPr>
      </w:pPr>
      <w:r w:rsidRPr="00775A24">
        <w:rPr>
          <w:lang w:val="en-GB"/>
        </w:rPr>
        <w:t>8</w:t>
      </w:r>
      <w:r w:rsidR="00BD2AEA" w:rsidRPr="00775A24">
        <w:rPr>
          <w:lang w:val="en-GB"/>
        </w:rPr>
        <w:t>.7</w:t>
      </w:r>
      <w:r w:rsidR="00BD2AEA" w:rsidRPr="00775A24">
        <w:rPr>
          <w:lang w:val="en-GB"/>
        </w:rPr>
        <w:tab/>
        <w:t xml:space="preserve">The Committee further notes that the State </w:t>
      </w:r>
      <w:r w:rsidR="00BD2AEA" w:rsidRPr="005A29CC">
        <w:rPr>
          <w:lang w:val="en-GB"/>
        </w:rPr>
        <w:t>party</w:t>
      </w:r>
      <w:r w:rsidR="00E91780" w:rsidRPr="00775A24">
        <w:rPr>
          <w:lang w:val="en-GB"/>
        </w:rPr>
        <w:t>’s competent authorities</w:t>
      </w:r>
      <w:r w:rsidR="00BD2AEA" w:rsidRPr="00775A24">
        <w:rPr>
          <w:lang w:val="en-GB"/>
        </w:rPr>
        <w:t xml:space="preserve"> ha</w:t>
      </w:r>
      <w:r w:rsidR="00E91780" w:rsidRPr="00775A24">
        <w:rPr>
          <w:lang w:val="en-GB"/>
        </w:rPr>
        <w:t>ve</w:t>
      </w:r>
      <w:r w:rsidR="00BD2AEA" w:rsidRPr="00775A24">
        <w:rPr>
          <w:lang w:val="en-GB"/>
        </w:rPr>
        <w:t xml:space="preserve"> drawn attention to </w:t>
      </w:r>
      <w:r w:rsidR="003F40AA" w:rsidRPr="005A29CC">
        <w:rPr>
          <w:lang w:val="en-GB"/>
        </w:rPr>
        <w:t>false information</w:t>
      </w:r>
      <w:r w:rsidR="003F40AA" w:rsidRPr="00775A24">
        <w:rPr>
          <w:lang w:val="en-GB"/>
        </w:rPr>
        <w:t xml:space="preserve">, </w:t>
      </w:r>
      <w:r w:rsidR="00BD2AEA" w:rsidRPr="00775A24">
        <w:rPr>
          <w:lang w:val="en-GB"/>
        </w:rPr>
        <w:t>inconsistencies and contradictions in the complainant</w:t>
      </w:r>
      <w:r w:rsidR="004D04AD" w:rsidRPr="00775A24">
        <w:rPr>
          <w:lang w:val="en-GB"/>
        </w:rPr>
        <w:t>s</w:t>
      </w:r>
      <w:r w:rsidR="00BD2AEA" w:rsidRPr="00775A24">
        <w:rPr>
          <w:lang w:val="en-GB"/>
        </w:rPr>
        <w:t>’ accounts and submissions</w:t>
      </w:r>
      <w:r w:rsidR="005A5DC5" w:rsidRPr="00775A24">
        <w:rPr>
          <w:lang w:val="en-GB"/>
        </w:rPr>
        <w:t>,</w:t>
      </w:r>
      <w:r w:rsidR="00BD2AEA" w:rsidRPr="00775A24">
        <w:rPr>
          <w:lang w:val="en-GB"/>
        </w:rPr>
        <w:t xml:space="preserve"> which cast doubts regarding </w:t>
      </w:r>
      <w:r w:rsidR="00B171DE" w:rsidRPr="005A29CC">
        <w:rPr>
          <w:lang w:val="en-GB"/>
        </w:rPr>
        <w:t>their</w:t>
      </w:r>
      <w:r w:rsidR="00BD2AEA" w:rsidRPr="00775A24">
        <w:rPr>
          <w:lang w:val="en-GB"/>
        </w:rPr>
        <w:t xml:space="preserve"> general credibility and the veracity of </w:t>
      </w:r>
      <w:r w:rsidR="004D04AD" w:rsidRPr="00775A24">
        <w:rPr>
          <w:lang w:val="en-GB"/>
        </w:rPr>
        <w:t>their</w:t>
      </w:r>
      <w:r w:rsidR="00BD2AEA" w:rsidRPr="00775A24">
        <w:rPr>
          <w:lang w:val="en-GB"/>
        </w:rPr>
        <w:t xml:space="preserve"> claims. In particular, the </w:t>
      </w:r>
      <w:r w:rsidR="00BC2BD0" w:rsidRPr="005A29CC">
        <w:rPr>
          <w:lang w:val="en-GB"/>
        </w:rPr>
        <w:t xml:space="preserve">first </w:t>
      </w:r>
      <w:r w:rsidR="00BD2AEA" w:rsidRPr="00775A24">
        <w:rPr>
          <w:lang w:val="en-GB"/>
        </w:rPr>
        <w:t>complainant</w:t>
      </w:r>
      <w:r w:rsidR="00BC2BD0" w:rsidRPr="005A29CC">
        <w:rPr>
          <w:lang w:val="en-GB"/>
        </w:rPr>
        <w:t xml:space="preserve"> has given false information in the 2004 </w:t>
      </w:r>
      <w:r w:rsidR="00132CF0" w:rsidRPr="00775A24">
        <w:rPr>
          <w:lang w:val="en-GB"/>
        </w:rPr>
        <w:t xml:space="preserve">asylum </w:t>
      </w:r>
      <w:r w:rsidR="00BC2BD0" w:rsidRPr="00775A24">
        <w:rPr>
          <w:lang w:val="en-GB"/>
        </w:rPr>
        <w:t>proceedings</w:t>
      </w:r>
      <w:r w:rsidR="005A5DC5" w:rsidRPr="00775A24">
        <w:rPr>
          <w:lang w:val="en-GB"/>
        </w:rPr>
        <w:t xml:space="preserve"> and</w:t>
      </w:r>
      <w:r w:rsidR="00BC2BD0" w:rsidRPr="00775A24">
        <w:rPr>
          <w:lang w:val="en-GB"/>
        </w:rPr>
        <w:t xml:space="preserve"> in the period between 2006 and 2009 the complainants travelled legally </w:t>
      </w:r>
      <w:r w:rsidR="005A5DC5" w:rsidRPr="00775A24">
        <w:rPr>
          <w:lang w:val="en-GB"/>
        </w:rPr>
        <w:t xml:space="preserve">to </w:t>
      </w:r>
      <w:r w:rsidR="00BC2BD0" w:rsidRPr="00775A24">
        <w:rPr>
          <w:lang w:val="en-GB"/>
        </w:rPr>
        <w:t xml:space="preserve">and </w:t>
      </w:r>
      <w:r w:rsidR="005A5DC5" w:rsidRPr="00775A24">
        <w:rPr>
          <w:lang w:val="en-GB"/>
        </w:rPr>
        <w:t>from</w:t>
      </w:r>
      <w:r w:rsidR="00BC2BD0" w:rsidRPr="00775A24">
        <w:rPr>
          <w:lang w:val="en-GB"/>
        </w:rPr>
        <w:t xml:space="preserve"> Belarus, </w:t>
      </w:r>
      <w:r w:rsidR="00620AB2" w:rsidRPr="00775A24">
        <w:rPr>
          <w:lang w:val="en-GB"/>
        </w:rPr>
        <w:t xml:space="preserve">were issued </w:t>
      </w:r>
      <w:r w:rsidR="00BC2BD0" w:rsidRPr="00775A24">
        <w:rPr>
          <w:lang w:val="en-GB"/>
        </w:rPr>
        <w:t>new passports and visa</w:t>
      </w:r>
      <w:r w:rsidR="00620AB2" w:rsidRPr="00775A24">
        <w:rPr>
          <w:lang w:val="en-GB"/>
        </w:rPr>
        <w:t>s</w:t>
      </w:r>
      <w:r w:rsidR="00BC2BD0" w:rsidRPr="00775A24">
        <w:rPr>
          <w:lang w:val="en-GB"/>
        </w:rPr>
        <w:t xml:space="preserve"> and waited over a year after their arrival in Sweden before applying for asylum</w:t>
      </w:r>
      <w:r w:rsidR="00132CF0" w:rsidRPr="00775A24">
        <w:rPr>
          <w:lang w:val="en-GB"/>
        </w:rPr>
        <w:t>. Furthermore,</w:t>
      </w:r>
      <w:r w:rsidR="00BC2BD0" w:rsidRPr="00775A24">
        <w:rPr>
          <w:lang w:val="en-GB"/>
        </w:rPr>
        <w:t xml:space="preserve"> the accounts of their political activities between 1996 and 2009 re</w:t>
      </w:r>
      <w:r w:rsidR="00620AB2" w:rsidRPr="00775A24">
        <w:rPr>
          <w:lang w:val="en-GB"/>
        </w:rPr>
        <w:t>main</w:t>
      </w:r>
      <w:r w:rsidR="00BC2BD0" w:rsidRPr="00775A24">
        <w:rPr>
          <w:lang w:val="en-GB"/>
        </w:rPr>
        <w:t xml:space="preserve"> vague and </w:t>
      </w:r>
      <w:r w:rsidR="00132CF0" w:rsidRPr="00775A24">
        <w:rPr>
          <w:lang w:val="en-GB"/>
        </w:rPr>
        <w:t>incoherent;</w:t>
      </w:r>
      <w:r w:rsidR="00BC2BD0" w:rsidRPr="00775A24">
        <w:rPr>
          <w:lang w:val="en-GB"/>
        </w:rPr>
        <w:t xml:space="preserve"> their stories lack concrete details.</w:t>
      </w:r>
      <w:r w:rsidR="00A2703A" w:rsidRPr="00775A24">
        <w:rPr>
          <w:lang w:val="en-GB"/>
        </w:rPr>
        <w:t xml:space="preserve"> </w:t>
      </w:r>
    </w:p>
    <w:p w14:paraId="5513E022" w14:textId="77777777" w:rsidR="005F34EC" w:rsidRPr="00775A24" w:rsidRDefault="00FC3F77" w:rsidP="001C77F5">
      <w:pPr>
        <w:pStyle w:val="SingleTxtG"/>
        <w:rPr>
          <w:lang w:val="en-GB"/>
        </w:rPr>
      </w:pPr>
      <w:r w:rsidRPr="00775A24">
        <w:rPr>
          <w:lang w:val="en-GB"/>
        </w:rPr>
        <w:t>8</w:t>
      </w:r>
      <w:r w:rsidR="00132CF0" w:rsidRPr="00775A24">
        <w:rPr>
          <w:lang w:val="en-GB"/>
        </w:rPr>
        <w:t>.8</w:t>
      </w:r>
      <w:r w:rsidR="00132CF0" w:rsidRPr="00775A24">
        <w:rPr>
          <w:lang w:val="en-GB"/>
        </w:rPr>
        <w:tab/>
      </w:r>
      <w:r w:rsidR="009E638A" w:rsidRPr="00775A24">
        <w:rPr>
          <w:lang w:val="en-GB"/>
        </w:rPr>
        <w:t xml:space="preserve">The Committee also takes note that the State party is not questioning the complainants’ submission that they were arrested by the Belarusian authorities during the demonstration in 2006 and subjected to abuse in connection to this. </w:t>
      </w:r>
      <w:r w:rsidR="00132CF0" w:rsidRPr="00775A24">
        <w:rPr>
          <w:lang w:val="en-GB"/>
        </w:rPr>
        <w:t xml:space="preserve">However, the complainants </w:t>
      </w:r>
      <w:r w:rsidR="004025ED" w:rsidRPr="00775A24">
        <w:rPr>
          <w:lang w:val="en-GB"/>
        </w:rPr>
        <w:t xml:space="preserve">have </w:t>
      </w:r>
      <w:r w:rsidR="00132CF0" w:rsidRPr="00775A24">
        <w:rPr>
          <w:lang w:val="en-GB"/>
        </w:rPr>
        <w:t>state</w:t>
      </w:r>
      <w:r w:rsidR="004025ED" w:rsidRPr="00775A24">
        <w:rPr>
          <w:lang w:val="en-GB"/>
        </w:rPr>
        <w:t>d</w:t>
      </w:r>
      <w:r w:rsidR="00132CF0" w:rsidRPr="00775A24">
        <w:rPr>
          <w:lang w:val="en-GB"/>
        </w:rPr>
        <w:t xml:space="preserve"> that they participated in a number of demonstrations after 2006 </w:t>
      </w:r>
      <w:r w:rsidR="004025ED" w:rsidRPr="00775A24">
        <w:rPr>
          <w:lang w:val="en-GB"/>
        </w:rPr>
        <w:t xml:space="preserve">(in the period </w:t>
      </w:r>
      <w:r w:rsidR="005A5DC5" w:rsidRPr="00775A24">
        <w:rPr>
          <w:lang w:val="en-GB"/>
        </w:rPr>
        <w:t xml:space="preserve">from </w:t>
      </w:r>
      <w:r w:rsidR="004025ED" w:rsidRPr="00775A24">
        <w:rPr>
          <w:lang w:val="en-GB"/>
        </w:rPr>
        <w:t>2006</w:t>
      </w:r>
      <w:r w:rsidR="005A5DC5" w:rsidRPr="00775A24">
        <w:rPr>
          <w:lang w:val="en-GB"/>
        </w:rPr>
        <w:t xml:space="preserve"> to </w:t>
      </w:r>
      <w:r w:rsidR="004025ED" w:rsidRPr="00775A24">
        <w:rPr>
          <w:lang w:val="en-GB"/>
        </w:rPr>
        <w:t xml:space="preserve">2009) </w:t>
      </w:r>
      <w:r w:rsidR="00132CF0" w:rsidRPr="00775A24">
        <w:rPr>
          <w:lang w:val="en-GB"/>
        </w:rPr>
        <w:t xml:space="preserve">without being arrested or otherwise harassed by the police. </w:t>
      </w:r>
      <w:r w:rsidR="004025ED" w:rsidRPr="00775A24">
        <w:rPr>
          <w:lang w:val="en-GB"/>
        </w:rPr>
        <w:t>Therefore</w:t>
      </w:r>
      <w:r w:rsidR="009E638A" w:rsidRPr="00775A24">
        <w:rPr>
          <w:lang w:val="en-GB"/>
        </w:rPr>
        <w:t>, the complainants have not alleged that they have been subsequently harassed or arrested by the Belarusian police</w:t>
      </w:r>
      <w:r w:rsidR="009A5233" w:rsidRPr="00775A24">
        <w:rPr>
          <w:lang w:val="en-GB"/>
        </w:rPr>
        <w:t xml:space="preserve"> in the recent past</w:t>
      </w:r>
      <w:r w:rsidR="009E638A" w:rsidRPr="00775A24">
        <w:rPr>
          <w:lang w:val="en-GB"/>
        </w:rPr>
        <w:t>.</w:t>
      </w:r>
      <w:r w:rsidR="00A2703A" w:rsidRPr="005A29CC">
        <w:rPr>
          <w:lang w:val="en-GB"/>
        </w:rPr>
        <w:t xml:space="preserve"> </w:t>
      </w:r>
      <w:r w:rsidR="005F34EC" w:rsidRPr="00775A24">
        <w:rPr>
          <w:lang w:val="en-GB"/>
        </w:rPr>
        <w:t xml:space="preserve">Consequently, there are reasons to question the alleged interest by the </w:t>
      </w:r>
      <w:r w:rsidR="009E638A" w:rsidRPr="005A29CC">
        <w:rPr>
          <w:lang w:val="en-GB"/>
        </w:rPr>
        <w:t xml:space="preserve">Belarus </w:t>
      </w:r>
      <w:r w:rsidR="005F34EC" w:rsidRPr="00775A24">
        <w:rPr>
          <w:lang w:val="en-GB"/>
        </w:rPr>
        <w:t xml:space="preserve">authorities in the </w:t>
      </w:r>
      <w:r w:rsidR="009E638A" w:rsidRPr="005A29CC">
        <w:rPr>
          <w:lang w:val="en-GB"/>
        </w:rPr>
        <w:t>complain</w:t>
      </w:r>
      <w:r w:rsidR="009E638A" w:rsidRPr="00775A24">
        <w:rPr>
          <w:lang w:val="en-GB"/>
        </w:rPr>
        <w:t xml:space="preserve">ants </w:t>
      </w:r>
      <w:r w:rsidR="005F34EC" w:rsidRPr="00775A24">
        <w:rPr>
          <w:lang w:val="en-GB"/>
        </w:rPr>
        <w:t>and its continued harassment of them so many years later</w:t>
      </w:r>
      <w:r w:rsidR="009E638A" w:rsidRPr="005A29CC">
        <w:rPr>
          <w:lang w:val="en-GB"/>
        </w:rPr>
        <w:t xml:space="preserve">, given that the complainants have not participated in the demonstrations in December 2010, </w:t>
      </w:r>
      <w:r w:rsidR="004025ED" w:rsidRPr="00775A24">
        <w:rPr>
          <w:lang w:val="en-GB"/>
        </w:rPr>
        <w:t xml:space="preserve">and </w:t>
      </w:r>
      <w:r w:rsidR="009E638A" w:rsidRPr="00775A24">
        <w:rPr>
          <w:lang w:val="en-GB"/>
        </w:rPr>
        <w:t>are neither high</w:t>
      </w:r>
      <w:r w:rsidR="000B1A94" w:rsidRPr="00775A24">
        <w:rPr>
          <w:lang w:val="en-GB"/>
        </w:rPr>
        <w:t>-</w:t>
      </w:r>
      <w:r w:rsidR="009E638A" w:rsidRPr="00775A24">
        <w:rPr>
          <w:lang w:val="en-GB"/>
        </w:rPr>
        <w:t xml:space="preserve">profile opposition figures, nor close supporters of such opponents of the regime. In </w:t>
      </w:r>
      <w:r w:rsidR="004025ED" w:rsidRPr="00775A24">
        <w:rPr>
          <w:lang w:val="en-GB"/>
        </w:rPr>
        <w:t>addition</w:t>
      </w:r>
      <w:r w:rsidR="009E638A" w:rsidRPr="00775A24">
        <w:rPr>
          <w:lang w:val="en-GB"/>
        </w:rPr>
        <w:t>, the complainants have not claimed to be members of any party.</w:t>
      </w:r>
      <w:r w:rsidR="005F34EC" w:rsidRPr="00775A24">
        <w:rPr>
          <w:lang w:val="en-GB"/>
        </w:rPr>
        <w:t xml:space="preserve"> </w:t>
      </w:r>
    </w:p>
    <w:p w14:paraId="768A49B8" w14:textId="77777777" w:rsidR="0038018A" w:rsidRPr="00775A24" w:rsidRDefault="00FC3F77" w:rsidP="001C77F5">
      <w:pPr>
        <w:pStyle w:val="SingleTxtG"/>
        <w:rPr>
          <w:lang w:val="en-GB"/>
        </w:rPr>
      </w:pPr>
      <w:r w:rsidRPr="005A29CC">
        <w:rPr>
          <w:bCs/>
          <w:lang w:val="en-GB"/>
        </w:rPr>
        <w:t>8</w:t>
      </w:r>
      <w:r w:rsidR="005F34EC" w:rsidRPr="00775A24">
        <w:rPr>
          <w:bCs/>
          <w:lang w:val="en-GB"/>
        </w:rPr>
        <w:t>.</w:t>
      </w:r>
      <w:r w:rsidRPr="005A29CC">
        <w:rPr>
          <w:bCs/>
          <w:lang w:val="en-GB"/>
        </w:rPr>
        <w:t>9</w:t>
      </w:r>
      <w:r w:rsidR="005F34EC" w:rsidRPr="00775A24">
        <w:rPr>
          <w:bCs/>
          <w:lang w:val="en-GB"/>
        </w:rPr>
        <w:t xml:space="preserve"> </w:t>
      </w:r>
      <w:r w:rsidR="001C77F5" w:rsidRPr="00775A24">
        <w:rPr>
          <w:bCs/>
          <w:lang w:val="en-GB"/>
        </w:rPr>
        <w:tab/>
      </w:r>
      <w:r w:rsidR="005F34EC" w:rsidRPr="00775A24">
        <w:rPr>
          <w:bCs/>
          <w:lang w:val="en-GB"/>
        </w:rPr>
        <w:t>Further</w:t>
      </w:r>
      <w:r w:rsidR="00006BBD" w:rsidRPr="00775A24">
        <w:rPr>
          <w:bCs/>
          <w:lang w:val="en-GB"/>
        </w:rPr>
        <w:t>more</w:t>
      </w:r>
      <w:r w:rsidR="005F34EC" w:rsidRPr="00775A24">
        <w:rPr>
          <w:bCs/>
          <w:lang w:val="en-GB"/>
        </w:rPr>
        <w:t xml:space="preserve">, </w:t>
      </w:r>
      <w:r w:rsidR="00F22F09" w:rsidRPr="00775A24">
        <w:rPr>
          <w:bCs/>
          <w:lang w:val="en-GB"/>
        </w:rPr>
        <w:t>the Committee also takes note of the State party’s submission that</w:t>
      </w:r>
      <w:r w:rsidR="005A6D89" w:rsidRPr="00775A24">
        <w:rPr>
          <w:bCs/>
          <w:lang w:val="en-GB"/>
        </w:rPr>
        <w:t>,</w:t>
      </w:r>
      <w:r w:rsidR="00F22F09" w:rsidRPr="00775A24">
        <w:rPr>
          <w:bCs/>
          <w:lang w:val="en-GB"/>
        </w:rPr>
        <w:t xml:space="preserve"> </w:t>
      </w:r>
      <w:r w:rsidR="00EB7F1C" w:rsidRPr="005A29CC">
        <w:rPr>
          <w:lang w:val="en-GB"/>
        </w:rPr>
        <w:t>during her Migration Board interview</w:t>
      </w:r>
      <w:r w:rsidR="005A6D89" w:rsidRPr="00775A24">
        <w:rPr>
          <w:lang w:val="en-GB"/>
        </w:rPr>
        <w:t>,</w:t>
      </w:r>
      <w:r w:rsidR="00EB7F1C" w:rsidRPr="00775A24">
        <w:rPr>
          <w:lang w:val="en-GB"/>
        </w:rPr>
        <w:t xml:space="preserve"> </w:t>
      </w:r>
      <w:r w:rsidR="00F22F09" w:rsidRPr="00775A24">
        <w:rPr>
          <w:lang w:val="en-GB"/>
        </w:rPr>
        <w:t xml:space="preserve">the </w:t>
      </w:r>
      <w:r w:rsidR="009A5233" w:rsidRPr="005A29CC">
        <w:rPr>
          <w:lang w:val="en-GB"/>
        </w:rPr>
        <w:t xml:space="preserve">second </w:t>
      </w:r>
      <w:r w:rsidR="00F22F09" w:rsidRPr="00775A24">
        <w:rPr>
          <w:lang w:val="en-GB"/>
        </w:rPr>
        <w:t>complainant</w:t>
      </w:r>
      <w:r w:rsidR="009A5233" w:rsidRPr="005A29CC">
        <w:rPr>
          <w:lang w:val="en-GB"/>
        </w:rPr>
        <w:t xml:space="preserve"> had the opportunity</w:t>
      </w:r>
      <w:r w:rsidR="00EB7F1C" w:rsidRPr="00775A24">
        <w:rPr>
          <w:lang w:val="en-GB"/>
        </w:rPr>
        <w:t xml:space="preserve"> </w:t>
      </w:r>
      <w:r w:rsidR="009A5233" w:rsidRPr="00775A24">
        <w:rPr>
          <w:lang w:val="en-GB"/>
        </w:rPr>
        <w:t xml:space="preserve">to give an account of </w:t>
      </w:r>
      <w:r w:rsidR="004025ED" w:rsidRPr="00775A24">
        <w:rPr>
          <w:lang w:val="en-GB"/>
        </w:rPr>
        <w:t>all</w:t>
      </w:r>
      <w:r w:rsidR="009A5233" w:rsidRPr="00775A24">
        <w:rPr>
          <w:lang w:val="en-GB"/>
        </w:rPr>
        <w:t xml:space="preserve"> relevant </w:t>
      </w:r>
      <w:r w:rsidR="00EB7F1C" w:rsidRPr="00775A24">
        <w:rPr>
          <w:lang w:val="en-GB"/>
        </w:rPr>
        <w:t>facts</w:t>
      </w:r>
      <w:r w:rsidR="005A6D89" w:rsidRPr="00775A24">
        <w:rPr>
          <w:lang w:val="en-GB"/>
        </w:rPr>
        <w:t xml:space="preserve"> and</w:t>
      </w:r>
      <w:r w:rsidR="009A5233" w:rsidRPr="00775A24">
        <w:rPr>
          <w:lang w:val="en-GB"/>
        </w:rPr>
        <w:t xml:space="preserve"> to read and verify the minutes</w:t>
      </w:r>
      <w:r w:rsidR="00EB7F1C" w:rsidRPr="00775A24">
        <w:rPr>
          <w:lang w:val="en-GB"/>
        </w:rPr>
        <w:t>, in the presence of a public counsel</w:t>
      </w:r>
      <w:r w:rsidR="009A5233" w:rsidRPr="00775A24">
        <w:rPr>
          <w:lang w:val="en-GB"/>
        </w:rPr>
        <w:t>. In this regard, the Committee observes that the migration authorities have n</w:t>
      </w:r>
      <w:r w:rsidR="00BB0391" w:rsidRPr="00775A24">
        <w:rPr>
          <w:lang w:val="en-GB"/>
        </w:rPr>
        <w:t>either disregarded nor</w:t>
      </w:r>
      <w:r w:rsidR="009A5233" w:rsidRPr="00775A24">
        <w:rPr>
          <w:lang w:val="en-GB"/>
        </w:rPr>
        <w:t xml:space="preserve"> questioned that </w:t>
      </w:r>
      <w:r w:rsidR="00DE5AB3" w:rsidRPr="00775A24">
        <w:rPr>
          <w:lang w:val="en-GB"/>
        </w:rPr>
        <w:t>she</w:t>
      </w:r>
      <w:r w:rsidR="009A5233" w:rsidRPr="00775A24">
        <w:rPr>
          <w:lang w:val="en-GB"/>
        </w:rPr>
        <w:t xml:space="preserve"> was subjected to abuse in connection with the demonstration in 2006 and have made their assessments accordingly</w:t>
      </w:r>
      <w:r w:rsidR="00DE5AB3" w:rsidRPr="00775A24">
        <w:rPr>
          <w:lang w:val="en-GB"/>
        </w:rPr>
        <w:t xml:space="preserve">. </w:t>
      </w:r>
    </w:p>
    <w:p w14:paraId="323B2216" w14:textId="77777777" w:rsidR="00F22F09" w:rsidRPr="00775A24" w:rsidRDefault="00FC3F77" w:rsidP="001C77F5">
      <w:pPr>
        <w:pStyle w:val="SingleTxtG"/>
        <w:rPr>
          <w:bCs/>
          <w:lang w:val="en-GB"/>
        </w:rPr>
      </w:pPr>
      <w:r w:rsidRPr="00775A24">
        <w:rPr>
          <w:lang w:val="en-GB"/>
        </w:rPr>
        <w:t>8</w:t>
      </w:r>
      <w:r w:rsidR="004025ED" w:rsidRPr="00775A24">
        <w:rPr>
          <w:lang w:val="en-GB"/>
        </w:rPr>
        <w:t>.</w:t>
      </w:r>
      <w:r w:rsidRPr="00775A24">
        <w:rPr>
          <w:lang w:val="en-GB"/>
        </w:rPr>
        <w:t>10</w:t>
      </w:r>
      <w:r w:rsidR="004025ED" w:rsidRPr="00775A24">
        <w:rPr>
          <w:lang w:val="en-GB"/>
        </w:rPr>
        <w:tab/>
      </w:r>
      <w:r w:rsidR="009A5233" w:rsidRPr="00775A24">
        <w:rPr>
          <w:lang w:val="en-GB"/>
        </w:rPr>
        <w:t>Furthermore</w:t>
      </w:r>
      <w:r w:rsidR="00F22F09" w:rsidRPr="00775A24">
        <w:rPr>
          <w:lang w:val="en-GB"/>
        </w:rPr>
        <w:t xml:space="preserve">, the Committee observes that no evidence had been brought forward to support the complainants’ allegation that </w:t>
      </w:r>
      <w:r w:rsidR="00BB0391" w:rsidRPr="005A29CC">
        <w:rPr>
          <w:lang w:val="en-GB"/>
        </w:rPr>
        <w:t xml:space="preserve">their political activities in </w:t>
      </w:r>
      <w:r w:rsidR="004025ED" w:rsidRPr="00775A24">
        <w:rPr>
          <w:lang w:val="en-GB"/>
        </w:rPr>
        <w:t>Belarus between 2006</w:t>
      </w:r>
      <w:r w:rsidR="005A6D89" w:rsidRPr="00775A24">
        <w:rPr>
          <w:lang w:val="en-GB"/>
        </w:rPr>
        <w:t xml:space="preserve"> and </w:t>
      </w:r>
      <w:r w:rsidR="004025ED" w:rsidRPr="00775A24">
        <w:rPr>
          <w:lang w:val="en-GB"/>
        </w:rPr>
        <w:t xml:space="preserve">2009 and in </w:t>
      </w:r>
      <w:r w:rsidR="00BB0391" w:rsidRPr="00775A24">
        <w:rPr>
          <w:lang w:val="en-GB"/>
        </w:rPr>
        <w:t xml:space="preserve">Sweden from 2009 onwards </w:t>
      </w:r>
      <w:r w:rsidR="00A64650" w:rsidRPr="00775A24">
        <w:rPr>
          <w:lang w:val="en-GB"/>
        </w:rPr>
        <w:t>(</w:t>
      </w:r>
      <w:r w:rsidR="00BB0391" w:rsidRPr="00775A24">
        <w:rPr>
          <w:lang w:val="en-GB"/>
        </w:rPr>
        <w:t>e.g. submitt</w:t>
      </w:r>
      <w:r w:rsidR="00A64650" w:rsidRPr="00775A24">
        <w:rPr>
          <w:lang w:val="en-GB"/>
        </w:rPr>
        <w:t>ing</w:t>
      </w:r>
      <w:r w:rsidR="00BB0391" w:rsidRPr="00775A24">
        <w:rPr>
          <w:lang w:val="en-GB"/>
        </w:rPr>
        <w:t xml:space="preserve"> complaints to various authorities </w:t>
      </w:r>
      <w:r w:rsidR="00620AB2" w:rsidRPr="00775A24">
        <w:rPr>
          <w:lang w:val="en-GB"/>
        </w:rPr>
        <w:t xml:space="preserve">in Belarus </w:t>
      </w:r>
      <w:r w:rsidR="00BB0391" w:rsidRPr="00775A24">
        <w:rPr>
          <w:lang w:val="en-GB"/>
        </w:rPr>
        <w:t>and disseminat</w:t>
      </w:r>
      <w:r w:rsidR="00A64650" w:rsidRPr="00775A24">
        <w:rPr>
          <w:lang w:val="en-GB"/>
        </w:rPr>
        <w:t>ing</w:t>
      </w:r>
      <w:r w:rsidR="00BB0391" w:rsidRPr="00775A24">
        <w:rPr>
          <w:lang w:val="en-GB"/>
        </w:rPr>
        <w:t xml:space="preserve"> anti-regime propaganda on the </w:t>
      </w:r>
      <w:r w:rsidR="005A6D89" w:rsidRPr="00775A24">
        <w:rPr>
          <w:lang w:val="en-GB"/>
        </w:rPr>
        <w:t>I</w:t>
      </w:r>
      <w:r w:rsidR="00BB0391" w:rsidRPr="00775A24">
        <w:rPr>
          <w:lang w:val="en-GB"/>
        </w:rPr>
        <w:t xml:space="preserve">nternet) have provoked the authorities’ interest in them and that </w:t>
      </w:r>
      <w:r w:rsidR="00F22F09" w:rsidRPr="00775A24">
        <w:rPr>
          <w:lang w:val="en-GB"/>
        </w:rPr>
        <w:t xml:space="preserve">they had been threatened by the </w:t>
      </w:r>
      <w:r w:rsidR="0038018A" w:rsidRPr="005A29CC">
        <w:rPr>
          <w:lang w:val="en-GB"/>
        </w:rPr>
        <w:t>Belarus</w:t>
      </w:r>
      <w:r w:rsidR="00620AB2" w:rsidRPr="00775A24">
        <w:rPr>
          <w:lang w:val="en-GB"/>
        </w:rPr>
        <w:t>ian</w:t>
      </w:r>
      <w:r w:rsidR="0038018A" w:rsidRPr="00775A24">
        <w:rPr>
          <w:lang w:val="en-GB"/>
        </w:rPr>
        <w:t xml:space="preserve"> </w:t>
      </w:r>
      <w:r w:rsidR="00F22F09" w:rsidRPr="00775A24">
        <w:rPr>
          <w:lang w:val="en-GB"/>
        </w:rPr>
        <w:t>authorities</w:t>
      </w:r>
      <w:r w:rsidR="00BB0391" w:rsidRPr="005A29CC">
        <w:rPr>
          <w:lang w:val="en-GB"/>
        </w:rPr>
        <w:t xml:space="preserve"> directly </w:t>
      </w:r>
      <w:r w:rsidR="004025ED" w:rsidRPr="00775A24">
        <w:rPr>
          <w:lang w:val="en-GB"/>
        </w:rPr>
        <w:t>or</w:t>
      </w:r>
      <w:r w:rsidR="00BB0391" w:rsidRPr="00775A24">
        <w:rPr>
          <w:lang w:val="en-GB"/>
        </w:rPr>
        <w:t xml:space="preserve"> indirectly through phone calls</w:t>
      </w:r>
      <w:r w:rsidR="00A64650" w:rsidRPr="00775A24">
        <w:rPr>
          <w:lang w:val="en-GB"/>
        </w:rPr>
        <w:t xml:space="preserve"> from the police in Minsk to Sweden and through alleged inquiri</w:t>
      </w:r>
      <w:r w:rsidR="004025ED" w:rsidRPr="00775A24">
        <w:rPr>
          <w:lang w:val="en-GB"/>
        </w:rPr>
        <w:t>es</w:t>
      </w:r>
      <w:r w:rsidR="00A64650" w:rsidRPr="00775A24">
        <w:rPr>
          <w:lang w:val="en-GB"/>
        </w:rPr>
        <w:t xml:space="preserve"> about the complainants</w:t>
      </w:r>
      <w:r w:rsidR="004025ED" w:rsidRPr="00775A24">
        <w:rPr>
          <w:lang w:val="en-GB"/>
        </w:rPr>
        <w:t>’ whereabouts and</w:t>
      </w:r>
      <w:r w:rsidR="00A64650" w:rsidRPr="00775A24">
        <w:rPr>
          <w:lang w:val="en-GB"/>
        </w:rPr>
        <w:t xml:space="preserve"> contact </w:t>
      </w:r>
      <w:r w:rsidR="004025ED" w:rsidRPr="00775A24">
        <w:rPr>
          <w:lang w:val="en-GB"/>
        </w:rPr>
        <w:t xml:space="preserve">information made by the police </w:t>
      </w:r>
      <w:r w:rsidR="00A64650" w:rsidRPr="00775A24">
        <w:rPr>
          <w:lang w:val="en-GB"/>
        </w:rPr>
        <w:t xml:space="preserve">while interrogating the first applicant’s </w:t>
      </w:r>
      <w:r w:rsidR="00250B29" w:rsidRPr="00775A24">
        <w:rPr>
          <w:lang w:val="en-GB"/>
        </w:rPr>
        <w:t xml:space="preserve">mother and stepfather </w:t>
      </w:r>
      <w:r w:rsidR="00A64650" w:rsidRPr="00775A24">
        <w:rPr>
          <w:lang w:val="en-GB"/>
        </w:rPr>
        <w:t>during their alleged arrest</w:t>
      </w:r>
      <w:r w:rsidR="00620AB2" w:rsidRPr="00775A24">
        <w:rPr>
          <w:lang w:val="en-GB"/>
        </w:rPr>
        <w:t xml:space="preserve"> in</w:t>
      </w:r>
      <w:r w:rsidR="00A64650" w:rsidRPr="00775A24">
        <w:rPr>
          <w:lang w:val="en-GB"/>
        </w:rPr>
        <w:t xml:space="preserve"> December 2010. </w:t>
      </w:r>
      <w:r w:rsidR="003A629C" w:rsidRPr="00775A24">
        <w:rPr>
          <w:rFonts w:eastAsia="Garamond"/>
          <w:lang w:val="en-GB"/>
        </w:rPr>
        <w:t xml:space="preserve">Moreover, the </w:t>
      </w:r>
      <w:r w:rsidR="002D1CA9" w:rsidRPr="00775A24">
        <w:rPr>
          <w:rFonts w:eastAsia="Garamond"/>
          <w:lang w:val="en-GB"/>
        </w:rPr>
        <w:t xml:space="preserve">Committee </w:t>
      </w:r>
      <w:r w:rsidR="003A629C" w:rsidRPr="00775A24">
        <w:rPr>
          <w:rFonts w:eastAsia="Garamond"/>
          <w:lang w:val="en-GB"/>
        </w:rPr>
        <w:t>notes th</w:t>
      </w:r>
      <w:r w:rsidR="00A64650" w:rsidRPr="005A29CC">
        <w:rPr>
          <w:rFonts w:eastAsia="Garamond"/>
          <w:lang w:val="en-GB"/>
        </w:rPr>
        <w:t>e State party</w:t>
      </w:r>
      <w:r w:rsidR="000B60E6" w:rsidRPr="00775A24">
        <w:rPr>
          <w:rFonts w:eastAsia="Garamond"/>
          <w:lang w:val="en-GB"/>
        </w:rPr>
        <w:t>’s</w:t>
      </w:r>
      <w:r w:rsidR="00A64650" w:rsidRPr="00775A24">
        <w:rPr>
          <w:rFonts w:eastAsia="Garamond"/>
          <w:lang w:val="en-GB"/>
        </w:rPr>
        <w:t xml:space="preserve"> submission that neither the </w:t>
      </w:r>
      <w:r w:rsidR="000B60E6" w:rsidRPr="00775A24">
        <w:rPr>
          <w:rFonts w:eastAsia="Garamond"/>
          <w:lang w:val="en-GB"/>
        </w:rPr>
        <w:t xml:space="preserve">mother and stepfather </w:t>
      </w:r>
      <w:r w:rsidR="00A64650" w:rsidRPr="00775A24">
        <w:rPr>
          <w:rFonts w:eastAsia="Garamond"/>
          <w:lang w:val="en-GB"/>
        </w:rPr>
        <w:t xml:space="preserve">nor the complainants themselves are on the list of persons that were arrested, suspected or accused of crimes in </w:t>
      </w:r>
      <w:r w:rsidR="00831B63" w:rsidRPr="00775A24">
        <w:rPr>
          <w:rFonts w:eastAsia="Garamond"/>
          <w:lang w:val="en-GB"/>
        </w:rPr>
        <w:t>relation</w:t>
      </w:r>
      <w:r w:rsidR="00A64650" w:rsidRPr="00775A24">
        <w:rPr>
          <w:rFonts w:eastAsia="Garamond"/>
          <w:lang w:val="en-GB"/>
        </w:rPr>
        <w:t xml:space="preserve"> to the events on 19 December 2010</w:t>
      </w:r>
      <w:r w:rsidR="00EC0ECA" w:rsidRPr="00775A24">
        <w:rPr>
          <w:rFonts w:eastAsia="Garamond"/>
          <w:lang w:val="en-GB"/>
        </w:rPr>
        <w:t>.</w:t>
      </w:r>
      <w:r w:rsidR="004025ED" w:rsidRPr="00775A24">
        <w:rPr>
          <w:rStyle w:val="FootnoteReference"/>
          <w:rFonts w:eastAsia="Garamond"/>
          <w:lang w:val="en-GB"/>
        </w:rPr>
        <w:footnoteReference w:id="26"/>
      </w:r>
      <w:r w:rsidR="00A64650" w:rsidRPr="00775A24">
        <w:rPr>
          <w:rFonts w:eastAsia="Garamond"/>
          <w:lang w:val="en-GB"/>
        </w:rPr>
        <w:t xml:space="preserve"> </w:t>
      </w:r>
      <w:r w:rsidR="0045464B" w:rsidRPr="00775A24">
        <w:rPr>
          <w:rFonts w:eastAsia="Garamond"/>
          <w:lang w:val="en-GB"/>
        </w:rPr>
        <w:t>In this regard</w:t>
      </w:r>
      <w:r w:rsidR="009C4337" w:rsidRPr="00775A24">
        <w:rPr>
          <w:rFonts w:eastAsia="Garamond"/>
          <w:lang w:val="en-GB"/>
        </w:rPr>
        <w:t>, a</w:t>
      </w:r>
      <w:r w:rsidR="00F22F09" w:rsidRPr="00775A24">
        <w:rPr>
          <w:lang w:val="en-GB"/>
        </w:rPr>
        <w:t xml:space="preserve">s the Swedish migration authorities </w:t>
      </w:r>
      <w:r w:rsidR="00B517C7" w:rsidRPr="00775A24">
        <w:rPr>
          <w:lang w:val="en-GB"/>
        </w:rPr>
        <w:t xml:space="preserve">have </w:t>
      </w:r>
      <w:r w:rsidR="00F22F09" w:rsidRPr="00775A24">
        <w:rPr>
          <w:lang w:val="en-GB"/>
        </w:rPr>
        <w:t xml:space="preserve">noted during the domestic proceedings, the complainants </w:t>
      </w:r>
      <w:r w:rsidR="001E290A" w:rsidRPr="005A29CC">
        <w:rPr>
          <w:lang w:val="en-GB"/>
        </w:rPr>
        <w:t xml:space="preserve">are not </w:t>
      </w:r>
      <w:r w:rsidR="00831B63" w:rsidRPr="00775A24">
        <w:rPr>
          <w:lang w:val="en-GB"/>
        </w:rPr>
        <w:t>members</w:t>
      </w:r>
      <w:r w:rsidR="001E290A" w:rsidRPr="00775A24">
        <w:rPr>
          <w:lang w:val="en-GB"/>
        </w:rPr>
        <w:t xml:space="preserve"> of any political party and have not show</w:t>
      </w:r>
      <w:r w:rsidR="00C5491A" w:rsidRPr="00775A24">
        <w:rPr>
          <w:lang w:val="en-GB"/>
        </w:rPr>
        <w:t>n</w:t>
      </w:r>
      <w:r w:rsidR="001E290A" w:rsidRPr="00775A24">
        <w:rPr>
          <w:lang w:val="en-GB"/>
        </w:rPr>
        <w:t xml:space="preserve"> that the Belarus</w:t>
      </w:r>
      <w:r w:rsidR="0045464B" w:rsidRPr="00775A24">
        <w:rPr>
          <w:lang w:val="en-GB"/>
        </w:rPr>
        <w:t>ian authorities</w:t>
      </w:r>
      <w:r w:rsidR="001E290A" w:rsidRPr="00775A24">
        <w:rPr>
          <w:lang w:val="en-GB"/>
        </w:rPr>
        <w:t xml:space="preserve"> have any interest in their alleged political activities. </w:t>
      </w:r>
    </w:p>
    <w:p w14:paraId="219784C7" w14:textId="77777777" w:rsidR="007861D7" w:rsidRPr="00775A24" w:rsidRDefault="00FC3F77" w:rsidP="001C77F5">
      <w:pPr>
        <w:pStyle w:val="SingleTxtG"/>
        <w:rPr>
          <w:bCs/>
          <w:lang w:val="en-GB"/>
        </w:rPr>
      </w:pPr>
      <w:r w:rsidRPr="005A29CC">
        <w:rPr>
          <w:bCs/>
          <w:lang w:val="en-GB"/>
        </w:rPr>
        <w:t>8</w:t>
      </w:r>
      <w:r w:rsidR="003A629C" w:rsidRPr="00775A24">
        <w:rPr>
          <w:bCs/>
          <w:lang w:val="en-GB"/>
        </w:rPr>
        <w:t>.</w:t>
      </w:r>
      <w:r w:rsidRPr="005A29CC">
        <w:rPr>
          <w:bCs/>
          <w:lang w:val="en-GB"/>
        </w:rPr>
        <w:t>11</w:t>
      </w:r>
      <w:r w:rsidR="003A629C" w:rsidRPr="00775A24">
        <w:rPr>
          <w:bCs/>
          <w:lang w:val="en-GB"/>
        </w:rPr>
        <w:t xml:space="preserve"> </w:t>
      </w:r>
      <w:r w:rsidR="001C77F5" w:rsidRPr="00775A24">
        <w:rPr>
          <w:bCs/>
          <w:lang w:val="en-GB"/>
        </w:rPr>
        <w:tab/>
      </w:r>
      <w:r w:rsidR="00620AB2" w:rsidRPr="005A29CC">
        <w:rPr>
          <w:bCs/>
          <w:lang w:val="en-GB"/>
        </w:rPr>
        <w:t>T</w:t>
      </w:r>
      <w:r w:rsidR="003A629C" w:rsidRPr="00775A24">
        <w:rPr>
          <w:bCs/>
          <w:lang w:val="en-GB"/>
        </w:rPr>
        <w:t xml:space="preserve">he Committee </w:t>
      </w:r>
      <w:r w:rsidR="00620AB2" w:rsidRPr="005A29CC">
        <w:rPr>
          <w:bCs/>
          <w:lang w:val="en-GB"/>
        </w:rPr>
        <w:t xml:space="preserve">also </w:t>
      </w:r>
      <w:r w:rsidR="003A629C" w:rsidRPr="00775A24">
        <w:rPr>
          <w:bCs/>
          <w:lang w:val="en-GB"/>
        </w:rPr>
        <w:t xml:space="preserve">takes note of the </w:t>
      </w:r>
      <w:r w:rsidR="0045464B" w:rsidRPr="005A29CC">
        <w:rPr>
          <w:bCs/>
          <w:lang w:val="en-GB"/>
        </w:rPr>
        <w:t xml:space="preserve">complainants’ allegations that they </w:t>
      </w:r>
      <w:r w:rsidR="00AC2ABE" w:rsidRPr="00775A24">
        <w:rPr>
          <w:bCs/>
          <w:lang w:val="en-GB"/>
        </w:rPr>
        <w:t xml:space="preserve">have been </w:t>
      </w:r>
      <w:r w:rsidR="0045464B" w:rsidRPr="00775A24">
        <w:rPr>
          <w:bCs/>
          <w:lang w:val="en-GB"/>
        </w:rPr>
        <w:t>summon</w:t>
      </w:r>
      <w:r w:rsidR="00AC2ABE" w:rsidRPr="00775A24">
        <w:rPr>
          <w:bCs/>
          <w:lang w:val="en-GB"/>
        </w:rPr>
        <w:t>s</w:t>
      </w:r>
      <w:r w:rsidR="0045464B" w:rsidRPr="00775A24">
        <w:rPr>
          <w:bCs/>
          <w:lang w:val="en-GB"/>
        </w:rPr>
        <w:t xml:space="preserve">ed for questioning </w:t>
      </w:r>
      <w:r w:rsidR="00620AB2" w:rsidRPr="00775A24">
        <w:rPr>
          <w:bCs/>
          <w:lang w:val="en-GB"/>
        </w:rPr>
        <w:t xml:space="preserve">by </w:t>
      </w:r>
      <w:r w:rsidR="0045464B" w:rsidRPr="00775A24">
        <w:rPr>
          <w:bCs/>
          <w:lang w:val="en-GB"/>
        </w:rPr>
        <w:t xml:space="preserve">the police in Minsk, that the first complainant has been accused </w:t>
      </w:r>
      <w:r w:rsidR="00F61A03" w:rsidRPr="00775A24">
        <w:rPr>
          <w:bCs/>
          <w:lang w:val="en-GB"/>
        </w:rPr>
        <w:t xml:space="preserve">of </w:t>
      </w:r>
      <w:r w:rsidR="0045464B" w:rsidRPr="00775A24">
        <w:rPr>
          <w:bCs/>
          <w:lang w:val="en-GB"/>
        </w:rPr>
        <w:t>tax evasion in connection to his previous entrepreneurial activities,</w:t>
      </w:r>
      <w:r w:rsidR="00F84E68" w:rsidRPr="00775A24">
        <w:rPr>
          <w:bCs/>
          <w:lang w:val="en-GB"/>
        </w:rPr>
        <w:t xml:space="preserve"> that</w:t>
      </w:r>
      <w:r w:rsidR="0045464B" w:rsidRPr="00775A24">
        <w:rPr>
          <w:bCs/>
          <w:lang w:val="en-GB"/>
        </w:rPr>
        <w:t xml:space="preserve"> the </w:t>
      </w:r>
      <w:r w:rsidR="001E290A" w:rsidRPr="00775A24">
        <w:rPr>
          <w:bCs/>
          <w:lang w:val="en-GB"/>
        </w:rPr>
        <w:t>second complainant</w:t>
      </w:r>
      <w:r w:rsidR="0045464B" w:rsidRPr="00775A24">
        <w:rPr>
          <w:bCs/>
          <w:lang w:val="en-GB"/>
        </w:rPr>
        <w:t xml:space="preserve"> </w:t>
      </w:r>
      <w:r w:rsidR="001E290A" w:rsidRPr="00775A24">
        <w:rPr>
          <w:bCs/>
          <w:lang w:val="en-GB"/>
        </w:rPr>
        <w:t xml:space="preserve">is </w:t>
      </w:r>
      <w:r w:rsidR="0045464B" w:rsidRPr="00775A24">
        <w:rPr>
          <w:bCs/>
          <w:lang w:val="en-GB"/>
        </w:rPr>
        <w:t xml:space="preserve">currently </w:t>
      </w:r>
      <w:r w:rsidR="001E290A" w:rsidRPr="00775A24">
        <w:rPr>
          <w:bCs/>
          <w:lang w:val="en-GB"/>
        </w:rPr>
        <w:t xml:space="preserve">accused </w:t>
      </w:r>
      <w:r w:rsidR="00F84E68" w:rsidRPr="00775A24">
        <w:rPr>
          <w:bCs/>
          <w:lang w:val="en-GB"/>
        </w:rPr>
        <w:t xml:space="preserve">of </w:t>
      </w:r>
      <w:r w:rsidR="001E290A" w:rsidRPr="00775A24">
        <w:rPr>
          <w:bCs/>
          <w:lang w:val="en-GB"/>
        </w:rPr>
        <w:t xml:space="preserve">a serious weapon offence in Belarus and </w:t>
      </w:r>
      <w:r w:rsidR="00F84E68" w:rsidRPr="00775A24">
        <w:rPr>
          <w:bCs/>
          <w:lang w:val="en-GB"/>
        </w:rPr>
        <w:t xml:space="preserve">that </w:t>
      </w:r>
      <w:r w:rsidR="001E290A" w:rsidRPr="00775A24">
        <w:rPr>
          <w:bCs/>
          <w:lang w:val="en-GB"/>
        </w:rPr>
        <w:t>the</w:t>
      </w:r>
      <w:r w:rsidR="0045464B" w:rsidRPr="00775A24">
        <w:rPr>
          <w:bCs/>
          <w:lang w:val="en-GB"/>
        </w:rPr>
        <w:t>se</w:t>
      </w:r>
      <w:r w:rsidR="001E290A" w:rsidRPr="00775A24">
        <w:rPr>
          <w:bCs/>
          <w:lang w:val="en-GB"/>
        </w:rPr>
        <w:t xml:space="preserve"> accusations against </w:t>
      </w:r>
      <w:r w:rsidR="0045464B" w:rsidRPr="00775A24">
        <w:rPr>
          <w:bCs/>
          <w:lang w:val="en-GB"/>
        </w:rPr>
        <w:t xml:space="preserve">them </w:t>
      </w:r>
      <w:r w:rsidR="001E290A" w:rsidRPr="00775A24">
        <w:rPr>
          <w:bCs/>
          <w:lang w:val="en-GB"/>
        </w:rPr>
        <w:t xml:space="preserve">are </w:t>
      </w:r>
      <w:r w:rsidR="0045464B" w:rsidRPr="00775A24">
        <w:rPr>
          <w:bCs/>
          <w:lang w:val="en-GB"/>
        </w:rPr>
        <w:t xml:space="preserve">actually </w:t>
      </w:r>
      <w:r w:rsidR="001E290A" w:rsidRPr="00775A24">
        <w:rPr>
          <w:bCs/>
          <w:lang w:val="en-GB"/>
        </w:rPr>
        <w:t xml:space="preserve">politically motivated. </w:t>
      </w:r>
      <w:r w:rsidR="00883DCF" w:rsidRPr="00775A24">
        <w:rPr>
          <w:bCs/>
          <w:lang w:val="en-GB"/>
        </w:rPr>
        <w:t>However, the Committee observes that the summons do not prove that the complainants are accused of crimes in relation to the demonstration of December 2010</w:t>
      </w:r>
      <w:r w:rsidR="008476CF" w:rsidRPr="00775A24">
        <w:rPr>
          <w:bCs/>
          <w:lang w:val="en-GB"/>
        </w:rPr>
        <w:t>. The Committee finds that they have not been able to establish that their summon</w:t>
      </w:r>
      <w:r w:rsidR="00F84E68" w:rsidRPr="00775A24">
        <w:rPr>
          <w:bCs/>
          <w:lang w:val="en-GB"/>
        </w:rPr>
        <w:t>s</w:t>
      </w:r>
      <w:r w:rsidR="008476CF" w:rsidRPr="00775A24">
        <w:rPr>
          <w:bCs/>
          <w:lang w:val="en-GB"/>
        </w:rPr>
        <w:t>ing is politically motivated.</w:t>
      </w:r>
      <w:r w:rsidR="00883DCF" w:rsidRPr="00775A24">
        <w:rPr>
          <w:bCs/>
          <w:lang w:val="en-GB"/>
        </w:rPr>
        <w:t xml:space="preserve"> </w:t>
      </w:r>
    </w:p>
    <w:p w14:paraId="4CCD9784" w14:textId="77777777" w:rsidR="003A629C" w:rsidRPr="00775A24" w:rsidRDefault="00FC3F77" w:rsidP="001C77F5">
      <w:pPr>
        <w:pStyle w:val="SingleTxtG"/>
        <w:rPr>
          <w:bCs/>
          <w:lang w:val="en-GB"/>
        </w:rPr>
      </w:pPr>
      <w:r w:rsidRPr="00775A24">
        <w:rPr>
          <w:bCs/>
          <w:lang w:val="en-GB"/>
        </w:rPr>
        <w:t>8</w:t>
      </w:r>
      <w:r w:rsidR="007861D7" w:rsidRPr="00775A24">
        <w:rPr>
          <w:bCs/>
          <w:lang w:val="en-GB"/>
        </w:rPr>
        <w:t>.1</w:t>
      </w:r>
      <w:r w:rsidRPr="00775A24">
        <w:rPr>
          <w:bCs/>
          <w:lang w:val="en-GB"/>
        </w:rPr>
        <w:t>2</w:t>
      </w:r>
      <w:r w:rsidR="007861D7" w:rsidRPr="00775A24">
        <w:rPr>
          <w:bCs/>
          <w:lang w:val="en-GB"/>
        </w:rPr>
        <w:tab/>
        <w:t>The Committee f</w:t>
      </w:r>
      <w:r w:rsidR="00620AB2" w:rsidRPr="00775A24">
        <w:rPr>
          <w:bCs/>
          <w:lang w:val="en-GB"/>
        </w:rPr>
        <w:t xml:space="preserve">inally notes </w:t>
      </w:r>
      <w:r w:rsidR="007861D7" w:rsidRPr="00775A24">
        <w:rPr>
          <w:bCs/>
          <w:lang w:val="en-GB"/>
        </w:rPr>
        <w:t xml:space="preserve">the State party’s submission that </w:t>
      </w:r>
      <w:r w:rsidR="007861D7" w:rsidRPr="005A29CC">
        <w:rPr>
          <w:bCs/>
          <w:lang w:val="en-GB"/>
        </w:rPr>
        <w:t xml:space="preserve">the content of </w:t>
      </w:r>
      <w:r w:rsidR="00883DCF" w:rsidRPr="00775A24">
        <w:rPr>
          <w:bCs/>
          <w:lang w:val="en-GB"/>
        </w:rPr>
        <w:t xml:space="preserve">all </w:t>
      </w:r>
      <w:r w:rsidR="00F84E68" w:rsidRPr="00775A24">
        <w:rPr>
          <w:bCs/>
          <w:lang w:val="en-GB"/>
        </w:rPr>
        <w:t xml:space="preserve">the </w:t>
      </w:r>
      <w:r w:rsidR="007861D7" w:rsidRPr="00775A24">
        <w:rPr>
          <w:bCs/>
          <w:lang w:val="en-GB"/>
        </w:rPr>
        <w:t xml:space="preserve">documents </w:t>
      </w:r>
      <w:r w:rsidR="00F84E68" w:rsidRPr="00775A24">
        <w:rPr>
          <w:bCs/>
          <w:lang w:val="en-GB"/>
        </w:rPr>
        <w:t xml:space="preserve">submitted </w:t>
      </w:r>
      <w:r w:rsidR="007861D7" w:rsidRPr="00775A24">
        <w:rPr>
          <w:bCs/>
          <w:lang w:val="en-GB"/>
        </w:rPr>
        <w:t>did not plausibly demonstrate that the complainants would risk torture upon return to Belarus.</w:t>
      </w:r>
      <w:r w:rsidR="00A2703A" w:rsidRPr="00775A24">
        <w:rPr>
          <w:bCs/>
          <w:lang w:val="en-GB"/>
        </w:rPr>
        <w:t xml:space="preserve"> </w:t>
      </w:r>
    </w:p>
    <w:p w14:paraId="063A78E6" w14:textId="77777777" w:rsidR="00BD2AEA" w:rsidRPr="00775A24" w:rsidRDefault="00FC3F77" w:rsidP="001C77F5">
      <w:pPr>
        <w:pStyle w:val="SingleTxtG"/>
        <w:rPr>
          <w:lang w:val="en-GB"/>
        </w:rPr>
      </w:pPr>
      <w:r w:rsidRPr="005A29CC">
        <w:rPr>
          <w:lang w:val="en-GB"/>
        </w:rPr>
        <w:t>8</w:t>
      </w:r>
      <w:r w:rsidR="00BD2AEA" w:rsidRPr="00775A24">
        <w:rPr>
          <w:lang w:val="en-GB"/>
        </w:rPr>
        <w:t>.</w:t>
      </w:r>
      <w:r w:rsidR="00037F3C" w:rsidRPr="00775A24">
        <w:rPr>
          <w:lang w:val="en-GB"/>
        </w:rPr>
        <w:t>1</w:t>
      </w:r>
      <w:r w:rsidRPr="00775A24">
        <w:rPr>
          <w:lang w:val="en-GB"/>
        </w:rPr>
        <w:t>3</w:t>
      </w:r>
      <w:r w:rsidR="00BD2AEA" w:rsidRPr="00775A24">
        <w:rPr>
          <w:lang w:val="en-GB"/>
        </w:rPr>
        <w:tab/>
        <w:t>The Committee recalls its jurisprudence whereby the risk of torture must be assessed on grounds that go beyond mere theory, and indicates that it is generally for the complainant to present an arguable case.</w:t>
      </w:r>
      <w:r w:rsidR="00304C2B" w:rsidRPr="00775A24">
        <w:rPr>
          <w:rStyle w:val="FootnoteReference"/>
          <w:lang w:val="en-GB"/>
        </w:rPr>
        <w:footnoteReference w:id="27"/>
      </w:r>
      <w:r w:rsidR="00BD2AEA" w:rsidRPr="00775A24">
        <w:rPr>
          <w:lang w:val="en-GB"/>
        </w:rPr>
        <w:t xml:space="preserve"> In</w:t>
      </w:r>
      <w:r w:rsidR="000B1A94" w:rsidRPr="00775A24">
        <w:rPr>
          <w:lang w:val="en-GB"/>
        </w:rPr>
        <w:t xml:space="preserve"> the</w:t>
      </w:r>
      <w:r w:rsidR="00BD2AEA" w:rsidRPr="00775A24">
        <w:rPr>
          <w:lang w:val="en-GB"/>
        </w:rPr>
        <w:t xml:space="preserve"> light of the considerations above, and on the basis of all the information submitted by the complainant</w:t>
      </w:r>
      <w:r w:rsidR="00037F3C" w:rsidRPr="00775A24">
        <w:rPr>
          <w:lang w:val="en-GB"/>
        </w:rPr>
        <w:t>s</w:t>
      </w:r>
      <w:r w:rsidR="00B517C7" w:rsidRPr="00775A24">
        <w:rPr>
          <w:lang w:val="en-GB"/>
        </w:rPr>
        <w:t xml:space="preserve"> and the State party</w:t>
      </w:r>
      <w:r w:rsidR="00BD2AEA" w:rsidRPr="00775A24">
        <w:rPr>
          <w:lang w:val="en-GB"/>
        </w:rPr>
        <w:t xml:space="preserve">, including on the general situation of human rights in </w:t>
      </w:r>
      <w:r w:rsidR="0038018A" w:rsidRPr="00775A24">
        <w:rPr>
          <w:lang w:val="en-GB"/>
        </w:rPr>
        <w:t>Belarus</w:t>
      </w:r>
      <w:r w:rsidR="00BD2AEA" w:rsidRPr="00775A24">
        <w:rPr>
          <w:lang w:val="en-GB"/>
        </w:rPr>
        <w:t>, the Committee considers that the complainant</w:t>
      </w:r>
      <w:r w:rsidR="00037F3C" w:rsidRPr="00775A24">
        <w:rPr>
          <w:lang w:val="en-GB"/>
        </w:rPr>
        <w:t>s have</w:t>
      </w:r>
      <w:r w:rsidR="00BD2AEA" w:rsidRPr="00775A24">
        <w:rPr>
          <w:lang w:val="en-GB"/>
        </w:rPr>
        <w:t xml:space="preserve"> not provided sufficient evidence to enable it to conclude that </w:t>
      </w:r>
      <w:r w:rsidR="00037F3C" w:rsidRPr="00775A24">
        <w:rPr>
          <w:lang w:val="en-GB"/>
        </w:rPr>
        <w:t>their</w:t>
      </w:r>
      <w:r w:rsidR="00BD2AEA" w:rsidRPr="00775A24">
        <w:rPr>
          <w:lang w:val="en-GB"/>
        </w:rPr>
        <w:t xml:space="preserve"> </w:t>
      </w:r>
      <w:r w:rsidR="00B517C7" w:rsidRPr="00775A24">
        <w:rPr>
          <w:lang w:val="en-GB"/>
        </w:rPr>
        <w:t xml:space="preserve">deportation </w:t>
      </w:r>
      <w:r w:rsidR="00BD2AEA" w:rsidRPr="00775A24">
        <w:rPr>
          <w:lang w:val="en-GB"/>
        </w:rPr>
        <w:t xml:space="preserve">to </w:t>
      </w:r>
      <w:r w:rsidR="00037F3C" w:rsidRPr="00775A24">
        <w:rPr>
          <w:lang w:val="en-GB"/>
        </w:rPr>
        <w:t>their</w:t>
      </w:r>
      <w:r w:rsidR="00BD2AEA" w:rsidRPr="00775A24">
        <w:rPr>
          <w:lang w:val="en-GB"/>
        </w:rPr>
        <w:t xml:space="preserve"> country of origin would expose </w:t>
      </w:r>
      <w:r w:rsidR="00037F3C" w:rsidRPr="00775A24">
        <w:rPr>
          <w:lang w:val="en-GB"/>
        </w:rPr>
        <w:t>them</w:t>
      </w:r>
      <w:r w:rsidR="00BD2AEA" w:rsidRPr="00775A24">
        <w:rPr>
          <w:lang w:val="en-GB"/>
        </w:rPr>
        <w:t xml:space="preserve"> to a foreseeable, real and personal risk of torture within the meaning of article 3 of the Convention.</w:t>
      </w:r>
    </w:p>
    <w:p w14:paraId="0C3CD025" w14:textId="77777777" w:rsidR="0015227A" w:rsidRPr="00775A24" w:rsidRDefault="00FC3F77" w:rsidP="00775A24">
      <w:pPr>
        <w:pStyle w:val="SingleTxtG"/>
        <w:rPr>
          <w:bCs/>
          <w:lang w:val="en-GB"/>
        </w:rPr>
      </w:pPr>
      <w:r w:rsidRPr="00775A24">
        <w:rPr>
          <w:lang w:val="en-GB"/>
        </w:rPr>
        <w:t>9</w:t>
      </w:r>
      <w:r w:rsidR="0015227A" w:rsidRPr="00775A24">
        <w:rPr>
          <w:lang w:val="en-GB"/>
        </w:rPr>
        <w:t>.</w:t>
      </w:r>
      <w:r w:rsidR="0015227A" w:rsidRPr="00775A24">
        <w:rPr>
          <w:lang w:val="en-GB"/>
        </w:rPr>
        <w:tab/>
        <w:t xml:space="preserve">Accordingly, the Committee, acting under article 22 </w:t>
      </w:r>
      <w:r w:rsidR="000B1A94" w:rsidRPr="00775A24">
        <w:rPr>
          <w:lang w:val="en-GB"/>
        </w:rPr>
        <w:t>(</w:t>
      </w:r>
      <w:r w:rsidR="0015227A" w:rsidRPr="00775A24">
        <w:rPr>
          <w:lang w:val="en-GB"/>
        </w:rPr>
        <w:t>7</w:t>
      </w:r>
      <w:r w:rsidR="000B1A94" w:rsidRPr="00775A24">
        <w:rPr>
          <w:lang w:val="en-GB"/>
        </w:rPr>
        <w:t>)</w:t>
      </w:r>
      <w:r w:rsidR="0015227A" w:rsidRPr="00775A24">
        <w:rPr>
          <w:lang w:val="en-GB"/>
        </w:rPr>
        <w:t xml:space="preserve"> of the Convention, concludes that the complainant</w:t>
      </w:r>
      <w:r w:rsidR="00037F3C" w:rsidRPr="00775A24">
        <w:rPr>
          <w:lang w:val="en-GB"/>
        </w:rPr>
        <w:t>s</w:t>
      </w:r>
      <w:r w:rsidR="0015227A" w:rsidRPr="00775A24">
        <w:rPr>
          <w:lang w:val="en-GB"/>
        </w:rPr>
        <w:t xml:space="preserve">’ </w:t>
      </w:r>
      <w:r w:rsidR="00C2018B" w:rsidRPr="00775A24">
        <w:rPr>
          <w:lang w:val="en-GB"/>
        </w:rPr>
        <w:t>return</w:t>
      </w:r>
      <w:r w:rsidR="0015227A" w:rsidRPr="00775A24">
        <w:rPr>
          <w:lang w:val="en-GB"/>
        </w:rPr>
        <w:t xml:space="preserve"> to </w:t>
      </w:r>
      <w:r w:rsidR="004126E3" w:rsidRPr="00775A24">
        <w:rPr>
          <w:lang w:val="en-GB"/>
        </w:rPr>
        <w:t>Belarus</w:t>
      </w:r>
      <w:r w:rsidR="0015227A" w:rsidRPr="00775A24">
        <w:rPr>
          <w:lang w:val="en-GB"/>
        </w:rPr>
        <w:t xml:space="preserve"> would not constitute a breach of article 3 of the Convention by the State party.</w:t>
      </w:r>
    </w:p>
    <w:p w14:paraId="1409E4F3" w14:textId="77777777" w:rsidR="0065411B" w:rsidRPr="00775A24" w:rsidRDefault="00EF41D7" w:rsidP="00775A24">
      <w:pPr>
        <w:pStyle w:val="SingleTxtG"/>
        <w:spacing w:before="240" w:after="0"/>
        <w:jc w:val="center"/>
        <w:rPr>
          <w:u w:val="single"/>
          <w:lang w:val="en-GB"/>
        </w:rPr>
      </w:pPr>
      <w:r w:rsidRPr="00775A24">
        <w:rPr>
          <w:u w:val="single"/>
          <w:lang w:val="en-GB"/>
        </w:rPr>
        <w:tab/>
      </w:r>
      <w:r w:rsidRPr="00775A24">
        <w:rPr>
          <w:u w:val="single"/>
          <w:lang w:val="en-GB"/>
        </w:rPr>
        <w:tab/>
      </w:r>
      <w:r w:rsidRPr="00775A24">
        <w:rPr>
          <w:u w:val="single"/>
          <w:lang w:val="en-GB"/>
        </w:rPr>
        <w:tab/>
      </w:r>
    </w:p>
    <w:sectPr w:rsidR="0065411B" w:rsidRPr="00775A24" w:rsidSect="00265493">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22T12:42:00Z" w:initials="Start">
    <w:p w14:paraId="662E2030" w14:textId="77777777" w:rsidR="00265493" w:rsidRDefault="0026549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NO&gt;&gt;N1524108E&lt;&lt;ODS JOB NO&gt;&gt;</w:t>
      </w:r>
    </w:p>
    <w:p w14:paraId="1295AECD" w14:textId="77777777" w:rsidR="00265493" w:rsidRDefault="00265493">
      <w:pPr>
        <w:pStyle w:val="CommentText"/>
      </w:pPr>
      <w:r>
        <w:t>&lt;&lt;ODS DOC SYMBOL1&gt;&gt;CAT/C/55/D/530/2012&lt;&lt;ODS DOC SYMBOL1&gt;&gt;</w:t>
      </w:r>
    </w:p>
    <w:p w14:paraId="135FAE64" w14:textId="77777777" w:rsidR="00265493" w:rsidRDefault="00265493">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FAE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AC160" w14:textId="77777777" w:rsidR="00093F9F" w:rsidRDefault="00093F9F"/>
  </w:endnote>
  <w:endnote w:type="continuationSeparator" w:id="0">
    <w:p w14:paraId="6CAA30B1" w14:textId="77777777" w:rsidR="00093F9F" w:rsidRDefault="00093F9F"/>
  </w:endnote>
  <w:endnote w:type="continuationNotice" w:id="1">
    <w:p w14:paraId="1D21E808" w14:textId="77777777" w:rsidR="00093F9F" w:rsidRDefault="00093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2397C" w14:textId="77777777" w:rsidR="00A84B4A" w:rsidRPr="00116B35" w:rsidRDefault="00A84B4A"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3508A2">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BDDF4" w14:textId="77777777" w:rsidR="00A84B4A" w:rsidRPr="00116B35" w:rsidRDefault="00A84B4A"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3508A2">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265493" w14:paraId="79886555" w14:textId="77777777" w:rsidTr="00265493">
      <w:tc>
        <w:tcPr>
          <w:tcW w:w="3614" w:type="dxa"/>
          <w:shd w:val="clear" w:color="auto" w:fill="auto"/>
        </w:tcPr>
        <w:p w14:paraId="32638CAD" w14:textId="77777777" w:rsidR="00265493" w:rsidRDefault="00265493" w:rsidP="00265493">
          <w:pPr>
            <w:pStyle w:val="Footer"/>
            <w:rPr>
              <w:sz w:val="20"/>
            </w:rPr>
          </w:pPr>
          <w:r>
            <w:rPr>
              <w:noProof/>
              <w:sz w:val="20"/>
              <w:lang w:val="en-US"/>
            </w:rPr>
            <w:drawing>
              <wp:anchor distT="0" distB="0" distL="114300" distR="114300" simplePos="0" relativeHeight="251658240" behindDoc="0" locked="0" layoutInCell="1" allowOverlap="1" wp14:anchorId="48682864" wp14:editId="5EE24DAE">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AT/C/55/D/530/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5/D/530/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GE.15-18386(E)</w:t>
          </w:r>
        </w:p>
        <w:p w14:paraId="3018920E" w14:textId="77777777" w:rsidR="00265493" w:rsidRPr="00265493" w:rsidRDefault="00265493" w:rsidP="00265493">
          <w:pPr>
            <w:pStyle w:val="Footer"/>
            <w:rPr>
              <w:rFonts w:ascii="Barcode 3 of 9 by request" w:hAnsi="Barcode 3 of 9 by request"/>
              <w:sz w:val="24"/>
            </w:rPr>
          </w:pPr>
          <w:r>
            <w:rPr>
              <w:rFonts w:ascii="Barcode 3 of 9 by request" w:hAnsi="Barcode 3 of 9 by request"/>
              <w:sz w:val="24"/>
            </w:rPr>
            <w:t>*1518386*</w:t>
          </w:r>
        </w:p>
      </w:tc>
      <w:tc>
        <w:tcPr>
          <w:tcW w:w="4752" w:type="dxa"/>
          <w:shd w:val="clear" w:color="auto" w:fill="auto"/>
        </w:tcPr>
        <w:p w14:paraId="39A7E852" w14:textId="77777777" w:rsidR="00265493" w:rsidRDefault="00265493" w:rsidP="00265493">
          <w:pPr>
            <w:pStyle w:val="Footer"/>
            <w:spacing w:line="240" w:lineRule="atLeast"/>
            <w:jc w:val="right"/>
            <w:rPr>
              <w:sz w:val="20"/>
            </w:rPr>
          </w:pPr>
          <w:r>
            <w:rPr>
              <w:noProof/>
              <w:sz w:val="20"/>
              <w:lang w:val="en-US"/>
            </w:rPr>
            <w:drawing>
              <wp:inline distT="0" distB="0" distL="0" distR="0" wp14:anchorId="2ACB05BF" wp14:editId="49A83BB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0A45C07" w14:textId="77777777" w:rsidR="00265493" w:rsidRPr="00265493" w:rsidRDefault="00265493" w:rsidP="0026549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96DFC" w14:textId="77777777" w:rsidR="00093F9F" w:rsidRPr="000B175B" w:rsidRDefault="00093F9F" w:rsidP="004876DE">
      <w:pPr>
        <w:tabs>
          <w:tab w:val="right" w:pos="2155"/>
        </w:tabs>
        <w:spacing w:after="80"/>
        <w:ind w:left="680"/>
        <w:rPr>
          <w:u w:val="single"/>
        </w:rPr>
      </w:pPr>
      <w:r>
        <w:rPr>
          <w:u w:val="single"/>
        </w:rPr>
        <w:tab/>
      </w:r>
    </w:p>
  </w:footnote>
  <w:footnote w:type="continuationSeparator" w:id="0">
    <w:p w14:paraId="1BB30277" w14:textId="77777777" w:rsidR="00093F9F" w:rsidRPr="00FC68B7" w:rsidRDefault="00093F9F" w:rsidP="004876DE">
      <w:pPr>
        <w:tabs>
          <w:tab w:val="left" w:pos="2155"/>
        </w:tabs>
        <w:spacing w:after="80"/>
        <w:ind w:left="680"/>
        <w:rPr>
          <w:u w:val="single"/>
        </w:rPr>
      </w:pPr>
      <w:r>
        <w:rPr>
          <w:u w:val="single"/>
        </w:rPr>
        <w:tab/>
      </w:r>
    </w:p>
  </w:footnote>
  <w:footnote w:type="continuationNotice" w:id="1">
    <w:p w14:paraId="653EF6DC" w14:textId="77777777" w:rsidR="00093F9F" w:rsidRDefault="00093F9F"/>
  </w:footnote>
  <w:footnote w:id="2">
    <w:p w14:paraId="5606BDD5" w14:textId="77777777" w:rsidR="00A84B4A" w:rsidRPr="00B94CF7" w:rsidRDefault="00A84B4A" w:rsidP="00151190">
      <w:pPr>
        <w:pStyle w:val="FootnoteText"/>
        <w:rPr>
          <w:lang w:val="en-GB"/>
        </w:rPr>
      </w:pPr>
      <w:r w:rsidRPr="00B94CF7">
        <w:rPr>
          <w:rStyle w:val="FootnoteReference"/>
          <w:sz w:val="20"/>
          <w:lang w:val="en-GB"/>
        </w:rPr>
        <w:tab/>
      </w:r>
      <w:r w:rsidRPr="00B94CF7">
        <w:rPr>
          <w:rStyle w:val="FootnoteReference"/>
          <w:sz w:val="20"/>
          <w:vertAlign w:val="baseline"/>
          <w:lang w:val="en-GB"/>
        </w:rPr>
        <w:t>*</w:t>
      </w:r>
      <w:bookmarkStart w:id="2" w:name="OLE_LINK1"/>
      <w:bookmarkStart w:id="3" w:name="OLE_LINK2"/>
      <w:r w:rsidRPr="00B94CF7">
        <w:rPr>
          <w:rStyle w:val="FootnoteReference"/>
          <w:sz w:val="20"/>
          <w:vertAlign w:val="baseline"/>
          <w:lang w:val="en-GB"/>
        </w:rPr>
        <w:tab/>
      </w:r>
      <w:r w:rsidRPr="00B94CF7">
        <w:rPr>
          <w:lang w:val="en-GB"/>
        </w:rPr>
        <w:t>The following members of the Committee participated in the consideration of the present communication:</w:t>
      </w:r>
      <w:bookmarkEnd w:id="2"/>
      <w:bookmarkEnd w:id="3"/>
      <w:r w:rsidRPr="00B94CF7">
        <w:rPr>
          <w:lang w:val="en-GB"/>
        </w:rPr>
        <w:t xml:space="preserve"> Essadia Belmir, Alessio Bruni, Satyabhoosun Gupt Domah, Felice Gaer, Abdoulaye</w:t>
      </w:r>
      <w:r w:rsidRPr="001A5516">
        <w:rPr>
          <w:lang w:val="en-GB"/>
        </w:rPr>
        <w:t xml:space="preserve"> Gaye, Claudio Grossman, </w:t>
      </w:r>
      <w:r w:rsidRPr="00B94CF7">
        <w:rPr>
          <w:bCs/>
          <w:lang w:val="en-GB"/>
        </w:rPr>
        <w:t xml:space="preserve">Jens Modvig, </w:t>
      </w:r>
      <w:r w:rsidRPr="00B94CF7">
        <w:rPr>
          <w:lang w:val="en-GB"/>
        </w:rPr>
        <w:t>Sapana Pradhan-Malla, George Tugushi and Kening Zhang.</w:t>
      </w:r>
    </w:p>
  </w:footnote>
  <w:footnote w:id="3">
    <w:p w14:paraId="5BAD679F" w14:textId="77777777" w:rsidR="00A84B4A" w:rsidRPr="00B94CF7" w:rsidRDefault="00A84B4A" w:rsidP="00775A24">
      <w:pPr>
        <w:pStyle w:val="FootnoteText"/>
        <w:rPr>
          <w:lang w:val="en-GB"/>
        </w:rPr>
      </w:pPr>
      <w:r w:rsidRPr="001A5516">
        <w:rPr>
          <w:lang w:val="en-GB"/>
        </w:rPr>
        <w:tab/>
      </w:r>
      <w:r w:rsidRPr="00B94CF7">
        <w:rPr>
          <w:rStyle w:val="FootnoteReference"/>
          <w:lang w:val="en-GB"/>
        </w:rPr>
        <w:footnoteRef/>
      </w:r>
      <w:r w:rsidRPr="001A5516">
        <w:rPr>
          <w:lang w:val="en-GB"/>
        </w:rPr>
        <w:tab/>
        <w:t xml:space="preserve">In a subsequent submission dated 8 February 2013, the complainants clarify that, previously, the first complainant had business activities as </w:t>
      </w:r>
      <w:r w:rsidR="005C78B9" w:rsidRPr="00B94CF7">
        <w:rPr>
          <w:lang w:val="en-GB"/>
        </w:rPr>
        <w:t xml:space="preserve">an </w:t>
      </w:r>
      <w:r w:rsidRPr="00B94CF7">
        <w:rPr>
          <w:lang w:val="en-GB"/>
        </w:rPr>
        <w:t xml:space="preserve">entrepreneur in Belarus, but his firm has been shut down by the Belarusian authorities and he has been prosecuted for unpaid taxes. However, he had no tax debts at the time he left Belarus. The complainants claim this indicates that the first complainant runs a certain risk of being prosecuted </w:t>
      </w:r>
      <w:r w:rsidR="009C51D0" w:rsidRPr="00B94CF7">
        <w:rPr>
          <w:lang w:val="en-GB"/>
        </w:rPr>
        <w:t xml:space="preserve">formally </w:t>
      </w:r>
      <w:r w:rsidRPr="00B94CF7">
        <w:rPr>
          <w:lang w:val="en-GB"/>
        </w:rPr>
        <w:t>because of his previous economic activities, but in effect because of his political engagement.</w:t>
      </w:r>
    </w:p>
  </w:footnote>
  <w:footnote w:id="4">
    <w:p w14:paraId="266D3766" w14:textId="77777777" w:rsidR="00A84B4A" w:rsidRPr="001A5516" w:rsidRDefault="00A84B4A">
      <w:pPr>
        <w:pStyle w:val="FootnoteText"/>
        <w:rPr>
          <w:lang w:val="en-GB"/>
        </w:rPr>
      </w:pPr>
      <w:r w:rsidRPr="001A5516">
        <w:rPr>
          <w:lang w:val="en-GB"/>
        </w:rPr>
        <w:tab/>
      </w:r>
      <w:r w:rsidRPr="00B94CF7">
        <w:rPr>
          <w:rStyle w:val="FootnoteReference"/>
          <w:lang w:val="en-GB"/>
        </w:rPr>
        <w:footnoteRef/>
      </w:r>
      <w:r w:rsidRPr="001A5516">
        <w:rPr>
          <w:lang w:val="en-GB"/>
        </w:rPr>
        <w:tab/>
        <w:t xml:space="preserve">In their additional submission dated 8 February 2013, the complainants argue </w:t>
      </w:r>
      <w:r w:rsidR="009C51D0" w:rsidRPr="001A5516">
        <w:rPr>
          <w:lang w:val="en-GB"/>
        </w:rPr>
        <w:t xml:space="preserve">that </w:t>
      </w:r>
      <w:r w:rsidRPr="001A5516">
        <w:rPr>
          <w:lang w:val="en-GB"/>
        </w:rPr>
        <w:t xml:space="preserve">the reason for prosecution was not given by the police during the phone calls but such invitations for a visit and conversation in </w:t>
      </w:r>
      <w:r w:rsidR="009C51D0" w:rsidRPr="001A5516">
        <w:rPr>
          <w:lang w:val="en-GB"/>
        </w:rPr>
        <w:t xml:space="preserve">a </w:t>
      </w:r>
      <w:r w:rsidRPr="001A5516">
        <w:rPr>
          <w:lang w:val="en-GB"/>
        </w:rPr>
        <w:t>police station are routine in Belarus and often end with being taken into custody.</w:t>
      </w:r>
    </w:p>
  </w:footnote>
  <w:footnote w:id="5">
    <w:p w14:paraId="46F30877" w14:textId="77777777" w:rsidR="00A84B4A" w:rsidRPr="001A5516" w:rsidRDefault="00A84B4A">
      <w:pPr>
        <w:pStyle w:val="FootnoteText"/>
        <w:widowControl w:val="0"/>
        <w:tabs>
          <w:tab w:val="clear" w:pos="1021"/>
          <w:tab w:val="right" w:pos="1020"/>
        </w:tabs>
        <w:rPr>
          <w:lang w:val="en-GB"/>
        </w:rPr>
      </w:pPr>
      <w:r w:rsidRPr="00B94CF7">
        <w:rPr>
          <w:lang w:val="en-GB"/>
        </w:rPr>
        <w:tab/>
      </w:r>
      <w:r w:rsidRPr="00B94CF7">
        <w:rPr>
          <w:rStyle w:val="FootnoteReference"/>
          <w:lang w:val="en-GB"/>
        </w:rPr>
        <w:footnoteRef/>
      </w:r>
      <w:r w:rsidRPr="00B94CF7">
        <w:rPr>
          <w:lang w:val="en-GB"/>
        </w:rPr>
        <w:tab/>
        <w:t xml:space="preserve">In support of their claim, the complainants also refer to various international reports, inter alia, the </w:t>
      </w:r>
      <w:r w:rsidR="009334FB" w:rsidRPr="00B94CF7">
        <w:rPr>
          <w:lang w:val="en-GB"/>
        </w:rPr>
        <w:t>r</w:t>
      </w:r>
      <w:r w:rsidRPr="00B94CF7">
        <w:rPr>
          <w:lang w:val="en-GB"/>
        </w:rPr>
        <w:t>eport of the United Nations High Commissioner for Human Rights on the situation of human rights in Belarus of 10 April 2012</w:t>
      </w:r>
      <w:r w:rsidR="009334FB" w:rsidRPr="00B94CF7">
        <w:rPr>
          <w:lang w:val="en-GB"/>
        </w:rPr>
        <w:t xml:space="preserve"> (A/HRC/20/8)</w:t>
      </w:r>
      <w:r w:rsidRPr="00B94CF7">
        <w:rPr>
          <w:lang w:val="en-GB"/>
        </w:rPr>
        <w:t xml:space="preserve"> and the </w:t>
      </w:r>
      <w:r w:rsidR="0061521D" w:rsidRPr="00B94CF7">
        <w:rPr>
          <w:lang w:val="en-GB"/>
        </w:rPr>
        <w:t>r</w:t>
      </w:r>
      <w:r w:rsidRPr="00B94CF7">
        <w:rPr>
          <w:lang w:val="en-GB"/>
        </w:rPr>
        <w:t xml:space="preserve">eport of the Council of Europe Parliamentary Assembly on the situation on Belarus of 9 January 2012, which state that the situation of human rights has significantly deteriorated in Belarus following the presidential elections. </w:t>
      </w:r>
    </w:p>
  </w:footnote>
  <w:footnote w:id="6">
    <w:p w14:paraId="749890D9" w14:textId="77777777" w:rsidR="00A84B4A" w:rsidRPr="001A5516" w:rsidRDefault="00A84B4A">
      <w:pPr>
        <w:pStyle w:val="FootnoteText"/>
        <w:rPr>
          <w:lang w:val="en-GB"/>
        </w:rPr>
      </w:pPr>
      <w:r w:rsidRPr="001A5516">
        <w:rPr>
          <w:lang w:val="en-GB"/>
        </w:rPr>
        <w:tab/>
      </w:r>
      <w:r w:rsidRPr="00B94CF7">
        <w:rPr>
          <w:rStyle w:val="FootnoteReference"/>
          <w:lang w:val="en-GB"/>
        </w:rPr>
        <w:footnoteRef/>
      </w:r>
      <w:r w:rsidRPr="001A5516">
        <w:rPr>
          <w:lang w:val="en-GB"/>
        </w:rPr>
        <w:tab/>
        <w:t xml:space="preserve">During the 2011-2013 proceedings concerning the complainants’ asylum applications with regard to the false information provided during the 2004 proceedings, the first complainant stated as a reason his planned return to Belarus to fight against the regime at the time. He claimed he supplied false information because he wanted to stay in Sweden for a limited time and then return. </w:t>
      </w:r>
    </w:p>
  </w:footnote>
  <w:footnote w:id="7">
    <w:p w14:paraId="1BF9C9F3"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r>
      <w:r w:rsidRPr="00B94CF7">
        <w:rPr>
          <w:rFonts w:eastAsia="Garamond"/>
          <w:szCs w:val="18"/>
          <w:lang w:val="en-GB"/>
        </w:rPr>
        <w:t xml:space="preserve">The State party refers to </w:t>
      </w:r>
      <w:r w:rsidR="0061521D" w:rsidRPr="00B94CF7">
        <w:rPr>
          <w:rFonts w:eastAsia="Garamond"/>
          <w:szCs w:val="18"/>
          <w:lang w:val="en-GB"/>
        </w:rPr>
        <w:t xml:space="preserve">communication No. 216/2002, </w:t>
      </w:r>
      <w:r w:rsidRPr="00B94CF7">
        <w:rPr>
          <w:rFonts w:eastAsia="Garamond"/>
          <w:i/>
          <w:szCs w:val="18"/>
          <w:lang w:val="en-GB"/>
        </w:rPr>
        <w:t>H.I.A. v. Sweden</w:t>
      </w:r>
      <w:r w:rsidRPr="00B94CF7">
        <w:rPr>
          <w:rFonts w:eastAsia="Garamond"/>
          <w:szCs w:val="18"/>
          <w:lang w:val="en-GB"/>
        </w:rPr>
        <w:t xml:space="preserve">, </w:t>
      </w:r>
      <w:r w:rsidR="0061521D" w:rsidRPr="00B94CF7">
        <w:rPr>
          <w:rFonts w:eastAsia="Garamond"/>
          <w:szCs w:val="18"/>
          <w:lang w:val="en-GB"/>
        </w:rPr>
        <w:t xml:space="preserve">decision </w:t>
      </w:r>
      <w:r w:rsidRPr="001A5516">
        <w:rPr>
          <w:rFonts w:eastAsia="Garamond"/>
          <w:szCs w:val="18"/>
          <w:lang w:val="en-GB"/>
        </w:rPr>
        <w:t>o</w:t>
      </w:r>
      <w:r w:rsidR="0061521D" w:rsidRPr="00B94CF7">
        <w:rPr>
          <w:rFonts w:eastAsia="Garamond"/>
          <w:szCs w:val="18"/>
          <w:lang w:val="en-GB"/>
        </w:rPr>
        <w:t>f</w:t>
      </w:r>
      <w:r w:rsidRPr="00B94CF7">
        <w:rPr>
          <w:rFonts w:eastAsia="Garamond"/>
          <w:szCs w:val="18"/>
          <w:lang w:val="en-GB"/>
        </w:rPr>
        <w:t xml:space="preserve"> 2 May 2003, para. 6.2.</w:t>
      </w:r>
      <w:r w:rsidRPr="00B94CF7">
        <w:rPr>
          <w:lang w:val="en-GB"/>
        </w:rPr>
        <w:t xml:space="preserve"> </w:t>
      </w:r>
    </w:p>
  </w:footnote>
  <w:footnote w:id="8">
    <w:p w14:paraId="58C51F28"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r>
      <w:r w:rsidRPr="00B94CF7">
        <w:rPr>
          <w:szCs w:val="18"/>
          <w:lang w:val="en-GB"/>
        </w:rPr>
        <w:t xml:space="preserve">The State party refers to </w:t>
      </w:r>
      <w:r w:rsidR="00C8368D" w:rsidRPr="00B94CF7">
        <w:rPr>
          <w:szCs w:val="18"/>
          <w:lang w:val="en-GB"/>
        </w:rPr>
        <w:t xml:space="preserve">communications No. 150/1999, </w:t>
      </w:r>
      <w:r w:rsidRPr="00B94CF7">
        <w:rPr>
          <w:i/>
          <w:szCs w:val="18"/>
          <w:lang w:val="en-GB"/>
        </w:rPr>
        <w:t>S.L. v. Sweden</w:t>
      </w:r>
      <w:r w:rsidRPr="00B94CF7">
        <w:rPr>
          <w:szCs w:val="18"/>
          <w:lang w:val="en-GB"/>
        </w:rPr>
        <w:t xml:space="preserve">, Views adopted on 11 May 2001, para. 6.3, and </w:t>
      </w:r>
      <w:r w:rsidR="00C8368D" w:rsidRPr="00B94CF7">
        <w:rPr>
          <w:szCs w:val="18"/>
          <w:lang w:val="en-GB"/>
        </w:rPr>
        <w:t xml:space="preserve">No. 213/2002, </w:t>
      </w:r>
      <w:r w:rsidRPr="00B94CF7">
        <w:rPr>
          <w:i/>
          <w:szCs w:val="18"/>
          <w:lang w:val="en-GB"/>
        </w:rPr>
        <w:t>E.J.V.M. v. Sweden</w:t>
      </w:r>
      <w:r w:rsidRPr="00B94CF7">
        <w:rPr>
          <w:szCs w:val="18"/>
          <w:lang w:val="en-GB"/>
        </w:rPr>
        <w:t xml:space="preserve">, </w:t>
      </w:r>
      <w:r w:rsidR="0015317A" w:rsidRPr="00B94CF7">
        <w:rPr>
          <w:szCs w:val="18"/>
          <w:lang w:val="en-GB"/>
        </w:rPr>
        <w:t>Decision</w:t>
      </w:r>
      <w:r w:rsidRPr="00B94CF7">
        <w:rPr>
          <w:szCs w:val="18"/>
          <w:lang w:val="en-GB"/>
        </w:rPr>
        <w:t xml:space="preserve"> adopted on 14 November 2003, para. 8.3.</w:t>
      </w:r>
      <w:r w:rsidRPr="00B94CF7">
        <w:rPr>
          <w:lang w:val="en-GB"/>
        </w:rPr>
        <w:t xml:space="preserve"> </w:t>
      </w:r>
    </w:p>
  </w:footnote>
  <w:footnote w:id="9">
    <w:p w14:paraId="1D491DFF"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t xml:space="preserve">See e.g., </w:t>
      </w:r>
      <w:r w:rsidR="003E3EED" w:rsidRPr="001A5516">
        <w:rPr>
          <w:lang w:val="en-GB"/>
        </w:rPr>
        <w:t xml:space="preserve">communications No. 178/2001, </w:t>
      </w:r>
      <w:r w:rsidRPr="001A5516">
        <w:rPr>
          <w:i/>
          <w:lang w:val="en-GB"/>
        </w:rPr>
        <w:t>H.O. v. Sweden</w:t>
      </w:r>
      <w:r w:rsidRPr="001A5516">
        <w:rPr>
          <w:lang w:val="en-GB"/>
        </w:rPr>
        <w:t xml:space="preserve">, </w:t>
      </w:r>
      <w:r w:rsidR="0015317A" w:rsidRPr="001A5516">
        <w:rPr>
          <w:lang w:val="en-GB"/>
        </w:rPr>
        <w:t>Views</w:t>
      </w:r>
      <w:r w:rsidRPr="001A5516">
        <w:rPr>
          <w:lang w:val="en-GB"/>
        </w:rPr>
        <w:t xml:space="preserve"> adopted on 13 November 2001, para. 13, and </w:t>
      </w:r>
      <w:r w:rsidR="003E3EED" w:rsidRPr="001A5516">
        <w:rPr>
          <w:lang w:val="en-GB"/>
        </w:rPr>
        <w:t xml:space="preserve">No. 203/2002, </w:t>
      </w:r>
      <w:r w:rsidRPr="001A5516">
        <w:rPr>
          <w:i/>
          <w:lang w:val="en-GB"/>
        </w:rPr>
        <w:t>A.R. v. Netherlands</w:t>
      </w:r>
      <w:r w:rsidRPr="001A5516">
        <w:rPr>
          <w:lang w:val="en-GB"/>
        </w:rPr>
        <w:t xml:space="preserve">, </w:t>
      </w:r>
      <w:r w:rsidR="003E3EED" w:rsidRPr="001A5516">
        <w:rPr>
          <w:lang w:val="en-GB"/>
        </w:rPr>
        <w:t>decision</w:t>
      </w:r>
      <w:r w:rsidRPr="001A5516">
        <w:rPr>
          <w:lang w:val="en-GB"/>
        </w:rPr>
        <w:t xml:space="preserve"> adopted on 14 November 2003, para. 7.3. </w:t>
      </w:r>
    </w:p>
  </w:footnote>
  <w:footnote w:id="10">
    <w:p w14:paraId="191078A9"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r>
      <w:r w:rsidRPr="001A5516">
        <w:rPr>
          <w:szCs w:val="18"/>
          <w:lang w:val="en-GB"/>
        </w:rPr>
        <w:t>See</w:t>
      </w:r>
      <w:r w:rsidR="00AE2BBC" w:rsidRPr="001A5516">
        <w:rPr>
          <w:szCs w:val="18"/>
          <w:lang w:val="en-GB"/>
        </w:rPr>
        <w:t>,</w:t>
      </w:r>
      <w:r w:rsidRPr="001A5516">
        <w:rPr>
          <w:szCs w:val="18"/>
          <w:lang w:val="en-GB"/>
        </w:rPr>
        <w:t xml:space="preserve"> e.g., the Committee’s </w:t>
      </w:r>
      <w:r w:rsidR="00AE2BBC" w:rsidRPr="001A5516">
        <w:rPr>
          <w:szCs w:val="18"/>
          <w:lang w:val="en-GB"/>
        </w:rPr>
        <w:t>g</w:t>
      </w:r>
      <w:r w:rsidRPr="001A5516">
        <w:rPr>
          <w:szCs w:val="18"/>
          <w:lang w:val="en-GB"/>
        </w:rPr>
        <w:t xml:space="preserve">eneral </w:t>
      </w:r>
      <w:r w:rsidR="00AE2BBC" w:rsidRPr="001A5516">
        <w:rPr>
          <w:szCs w:val="18"/>
          <w:lang w:val="en-GB"/>
        </w:rPr>
        <w:t>c</w:t>
      </w:r>
      <w:r w:rsidRPr="001A5516">
        <w:rPr>
          <w:szCs w:val="18"/>
          <w:lang w:val="en-GB"/>
        </w:rPr>
        <w:t>omment No. 1</w:t>
      </w:r>
      <w:r w:rsidR="00AE2BBC" w:rsidRPr="001A5516">
        <w:rPr>
          <w:szCs w:val="18"/>
          <w:lang w:val="en-GB"/>
        </w:rPr>
        <w:t xml:space="preserve"> </w:t>
      </w:r>
      <w:r w:rsidR="00AE2BBC" w:rsidRPr="00B94CF7">
        <w:rPr>
          <w:lang w:val="en-GB"/>
        </w:rPr>
        <w:t xml:space="preserve">(1997) on the implementation of </w:t>
      </w:r>
      <w:r w:rsidR="00AE2BBC" w:rsidRPr="00B94CF7">
        <w:rPr>
          <w:rFonts w:eastAsia="Garamond"/>
          <w:lang w:val="en-GB"/>
        </w:rPr>
        <w:t>article 3 of the Convention</w:t>
      </w:r>
      <w:r w:rsidRPr="001A5516">
        <w:rPr>
          <w:szCs w:val="18"/>
          <w:lang w:val="en-GB"/>
        </w:rPr>
        <w:t>, paras. 5-7.</w:t>
      </w:r>
      <w:r w:rsidRPr="00B94CF7">
        <w:rPr>
          <w:lang w:val="en-GB"/>
        </w:rPr>
        <w:t xml:space="preserve"> </w:t>
      </w:r>
    </w:p>
  </w:footnote>
  <w:footnote w:id="11">
    <w:p w14:paraId="27F1A7A4" w14:textId="77777777" w:rsidR="00A84B4A" w:rsidRPr="001A5516" w:rsidRDefault="00A84B4A">
      <w:pPr>
        <w:pStyle w:val="FootnoteText"/>
        <w:widowControl w:val="0"/>
        <w:tabs>
          <w:tab w:val="clear" w:pos="1021"/>
          <w:tab w:val="right" w:pos="1020"/>
        </w:tabs>
        <w:spacing w:line="240" w:lineRule="auto"/>
        <w:rPr>
          <w:lang w:val="en-GB"/>
        </w:rPr>
      </w:pPr>
      <w:r w:rsidRPr="00B94CF7">
        <w:rPr>
          <w:lang w:val="en-GB"/>
        </w:rPr>
        <w:tab/>
      </w:r>
      <w:r w:rsidRPr="00B94CF7">
        <w:rPr>
          <w:rStyle w:val="FootnoteReference"/>
          <w:lang w:val="en-GB"/>
        </w:rPr>
        <w:footnoteRef/>
      </w:r>
      <w:r w:rsidRPr="00B94CF7">
        <w:rPr>
          <w:lang w:val="en-GB"/>
        </w:rPr>
        <w:tab/>
      </w:r>
      <w:r w:rsidR="0012179B" w:rsidRPr="00B94CF7">
        <w:rPr>
          <w:lang w:val="en-GB"/>
        </w:rPr>
        <w:t xml:space="preserve">Available, in Swedish only, from </w:t>
      </w:r>
      <w:hyperlink r:id="rId1" w:history="1">
        <w:r w:rsidR="00B56C53" w:rsidRPr="00B94CF7">
          <w:rPr>
            <w:rStyle w:val="Hyperlink"/>
            <w:szCs w:val="18"/>
            <w:lang w:val="en-GB"/>
          </w:rPr>
          <w:t>www.manskligarattigheter.se/sv/manskliga-rattigheter-i-varlden/ud-s-rapporter-</w:t>
        </w:r>
      </w:hyperlink>
      <w:hyperlink r:id="rId2">
        <w:r w:rsidRPr="00B94CF7">
          <w:rPr>
            <w:rStyle w:val="Hyperlink"/>
            <w:szCs w:val="18"/>
            <w:lang w:val="en-GB"/>
          </w:rPr>
          <w:t>om-manskliga-rattigheter/europa-och-centralasien?c=Vitryssland</w:t>
        </w:r>
      </w:hyperlink>
      <w:r w:rsidRPr="00B94CF7">
        <w:rPr>
          <w:lang w:val="en-GB"/>
        </w:rPr>
        <w:t>.</w:t>
      </w:r>
    </w:p>
  </w:footnote>
  <w:footnote w:id="12">
    <w:p w14:paraId="7CB8F38D" w14:textId="77777777" w:rsidR="00A84B4A" w:rsidRPr="001A5516" w:rsidRDefault="00A84B4A" w:rsidP="00775A24">
      <w:pPr>
        <w:pStyle w:val="FootnoteText"/>
        <w:widowControl w:val="0"/>
        <w:spacing w:line="240" w:lineRule="auto"/>
        <w:rPr>
          <w:lang w:val="en-GB"/>
        </w:rPr>
      </w:pPr>
      <w:r w:rsidRPr="001A5516">
        <w:rPr>
          <w:lang w:val="en-GB"/>
        </w:rPr>
        <w:tab/>
      </w:r>
      <w:r w:rsidRPr="00B94CF7">
        <w:rPr>
          <w:rStyle w:val="FootnoteReference"/>
          <w:lang w:val="en-GB"/>
        </w:rPr>
        <w:footnoteRef/>
      </w:r>
      <w:r w:rsidRPr="001A5516">
        <w:rPr>
          <w:lang w:val="en-GB"/>
        </w:rPr>
        <w:tab/>
      </w:r>
      <w:r w:rsidR="00B56C53" w:rsidRPr="001A5516">
        <w:rPr>
          <w:lang w:val="en-GB"/>
        </w:rPr>
        <w:t xml:space="preserve">Available from </w:t>
      </w:r>
      <w:r w:rsidRPr="001A5516">
        <w:rPr>
          <w:lang w:val="en-GB"/>
        </w:rPr>
        <w:t xml:space="preserve"> </w:t>
      </w:r>
      <w:r w:rsidR="00B56C53" w:rsidRPr="001A5516">
        <w:rPr>
          <w:lang w:val="en-GB"/>
        </w:rPr>
        <w:t>www.state.gov/j/drl/rls/hrrpt/2012humanrightsreport/index.htm?year=2012&amp;dlid=204263#wrapper</w:t>
      </w:r>
      <w:r w:rsidRPr="00B94CF7">
        <w:rPr>
          <w:lang w:val="en-GB"/>
        </w:rPr>
        <w:t>.</w:t>
      </w:r>
    </w:p>
  </w:footnote>
  <w:footnote w:id="13">
    <w:p w14:paraId="5E64522B"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r>
      <w:r w:rsidR="00A65F4B" w:rsidRPr="00B94CF7">
        <w:rPr>
          <w:lang w:val="en-GB"/>
        </w:rPr>
        <w:t xml:space="preserve">See </w:t>
      </w:r>
      <w:r w:rsidR="00A65F4B" w:rsidRPr="00B94CF7">
        <w:rPr>
          <w:rFonts w:eastAsia="Garamond"/>
          <w:szCs w:val="18"/>
          <w:lang w:val="en-GB"/>
        </w:rPr>
        <w:t>t</w:t>
      </w:r>
      <w:r w:rsidRPr="00B94CF7">
        <w:rPr>
          <w:rFonts w:eastAsia="Garamond"/>
          <w:szCs w:val="18"/>
          <w:lang w:val="en-GB"/>
        </w:rPr>
        <w:t xml:space="preserve">he Committee’s </w:t>
      </w:r>
      <w:r w:rsidR="00A65F4B" w:rsidRPr="00B94CF7">
        <w:rPr>
          <w:rFonts w:eastAsia="Garamond"/>
          <w:szCs w:val="18"/>
          <w:lang w:val="en-GB"/>
        </w:rPr>
        <w:t>g</w:t>
      </w:r>
      <w:r w:rsidRPr="00B94CF7">
        <w:rPr>
          <w:rFonts w:eastAsia="Garamond"/>
          <w:szCs w:val="18"/>
          <w:lang w:val="en-GB"/>
        </w:rPr>
        <w:t xml:space="preserve">eneral </w:t>
      </w:r>
      <w:r w:rsidR="00A65F4B" w:rsidRPr="00B94CF7">
        <w:rPr>
          <w:rFonts w:eastAsia="Garamond"/>
          <w:szCs w:val="18"/>
          <w:lang w:val="en-GB"/>
        </w:rPr>
        <w:t>c</w:t>
      </w:r>
      <w:r w:rsidRPr="00B94CF7">
        <w:rPr>
          <w:rFonts w:eastAsia="Garamond"/>
          <w:szCs w:val="18"/>
          <w:lang w:val="en-GB"/>
        </w:rPr>
        <w:t>omment No. 1</w:t>
      </w:r>
      <w:r w:rsidR="00A65F4B" w:rsidRPr="00B94CF7">
        <w:rPr>
          <w:rFonts w:eastAsia="Garamond"/>
          <w:szCs w:val="18"/>
          <w:lang w:val="en-GB"/>
        </w:rPr>
        <w:t>,</w:t>
      </w:r>
      <w:r w:rsidRPr="00B94CF7">
        <w:rPr>
          <w:rFonts w:eastAsia="Garamond"/>
          <w:szCs w:val="18"/>
          <w:lang w:val="en-GB"/>
        </w:rPr>
        <w:t xml:space="preserve"> para. 9</w:t>
      </w:r>
      <w:r w:rsidR="00A65F4B" w:rsidRPr="00B94CF7">
        <w:rPr>
          <w:rFonts w:eastAsia="Garamond"/>
          <w:szCs w:val="18"/>
          <w:lang w:val="en-GB"/>
        </w:rPr>
        <w:t>,</w:t>
      </w:r>
      <w:r w:rsidRPr="00B94CF7">
        <w:rPr>
          <w:rFonts w:eastAsia="Garamond"/>
          <w:szCs w:val="18"/>
          <w:lang w:val="en-GB"/>
        </w:rPr>
        <w:t xml:space="preserve"> and</w:t>
      </w:r>
      <w:r w:rsidR="00A65F4B" w:rsidRPr="00B94CF7">
        <w:rPr>
          <w:rFonts w:eastAsia="Garamond"/>
          <w:szCs w:val="18"/>
          <w:lang w:val="en-GB"/>
        </w:rPr>
        <w:t>,</w:t>
      </w:r>
      <w:r w:rsidRPr="00B94CF7">
        <w:rPr>
          <w:rFonts w:eastAsia="Garamond"/>
          <w:szCs w:val="18"/>
          <w:lang w:val="en-GB"/>
        </w:rPr>
        <w:t xml:space="preserve"> e.g., </w:t>
      </w:r>
      <w:r w:rsidR="00A65F4B" w:rsidRPr="00B94CF7">
        <w:rPr>
          <w:szCs w:val="18"/>
          <w:lang w:val="en-GB"/>
        </w:rPr>
        <w:t xml:space="preserve">communication No. 277/2005, </w:t>
      </w:r>
      <w:r w:rsidRPr="00B94CF7">
        <w:rPr>
          <w:rFonts w:eastAsia="Garamond"/>
          <w:i/>
          <w:szCs w:val="18"/>
          <w:lang w:val="en-GB"/>
        </w:rPr>
        <w:t xml:space="preserve">N.Z.S. </w:t>
      </w:r>
      <w:r w:rsidRPr="00B94CF7">
        <w:rPr>
          <w:i/>
          <w:szCs w:val="18"/>
          <w:lang w:val="en-GB"/>
        </w:rPr>
        <w:t>v. Sweden</w:t>
      </w:r>
      <w:r w:rsidRPr="00B94CF7">
        <w:rPr>
          <w:szCs w:val="18"/>
          <w:lang w:val="en-GB"/>
        </w:rPr>
        <w:t xml:space="preserve">, </w:t>
      </w:r>
      <w:r w:rsidR="00A65F4B" w:rsidRPr="00B94CF7">
        <w:rPr>
          <w:szCs w:val="18"/>
          <w:lang w:val="en-GB"/>
        </w:rPr>
        <w:t>decision</w:t>
      </w:r>
      <w:r w:rsidRPr="00B94CF7">
        <w:rPr>
          <w:szCs w:val="18"/>
          <w:lang w:val="en-GB"/>
        </w:rPr>
        <w:t xml:space="preserve"> adopted on 22 November 2006, para. 8.6.</w:t>
      </w:r>
      <w:r w:rsidRPr="00B94CF7">
        <w:rPr>
          <w:lang w:val="en-GB"/>
        </w:rPr>
        <w:t xml:space="preserve"> </w:t>
      </w:r>
    </w:p>
  </w:footnote>
  <w:footnote w:id="14">
    <w:p w14:paraId="49B135D4"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r>
      <w:r w:rsidRPr="001A5516">
        <w:rPr>
          <w:szCs w:val="18"/>
          <w:lang w:val="en-GB"/>
        </w:rPr>
        <w:t>See</w:t>
      </w:r>
      <w:r w:rsidR="00A65F4B" w:rsidRPr="00B94CF7">
        <w:rPr>
          <w:szCs w:val="18"/>
          <w:lang w:val="en-GB"/>
        </w:rPr>
        <w:t>,</w:t>
      </w:r>
      <w:r w:rsidRPr="00B94CF7">
        <w:rPr>
          <w:szCs w:val="18"/>
          <w:lang w:val="en-GB"/>
        </w:rPr>
        <w:t xml:space="preserve"> e.g., </w:t>
      </w:r>
      <w:r w:rsidR="00A65F4B" w:rsidRPr="00B94CF7">
        <w:rPr>
          <w:szCs w:val="18"/>
          <w:lang w:val="en-GB"/>
        </w:rPr>
        <w:t xml:space="preserve">communication No. 219/2002, </w:t>
      </w:r>
      <w:r w:rsidRPr="00B94CF7">
        <w:rPr>
          <w:i/>
          <w:szCs w:val="18"/>
          <w:lang w:val="en-GB"/>
        </w:rPr>
        <w:t>G.K. v. Switzerland</w:t>
      </w:r>
      <w:r w:rsidRPr="00B94CF7">
        <w:rPr>
          <w:szCs w:val="18"/>
          <w:lang w:val="en-GB"/>
        </w:rPr>
        <w:t xml:space="preserve">, </w:t>
      </w:r>
      <w:r w:rsidR="00A65F4B" w:rsidRPr="00B94CF7">
        <w:rPr>
          <w:szCs w:val="18"/>
          <w:lang w:val="en-GB"/>
        </w:rPr>
        <w:t>decision</w:t>
      </w:r>
      <w:r w:rsidRPr="00B94CF7">
        <w:rPr>
          <w:szCs w:val="18"/>
          <w:lang w:val="en-GB"/>
        </w:rPr>
        <w:t xml:space="preserve"> adopted on 7 May 2003, para. 6.12</w:t>
      </w:r>
      <w:r w:rsidRPr="00B94CF7">
        <w:rPr>
          <w:lang w:val="en-GB"/>
        </w:rPr>
        <w:t>.</w:t>
      </w:r>
    </w:p>
  </w:footnote>
  <w:footnote w:id="15">
    <w:p w14:paraId="2E6AE9AC" w14:textId="77777777" w:rsidR="00A84B4A" w:rsidRPr="001A5516" w:rsidRDefault="00A84B4A">
      <w:pPr>
        <w:pStyle w:val="FootnoteText"/>
        <w:widowControl w:val="0"/>
        <w:tabs>
          <w:tab w:val="clear" w:pos="1021"/>
          <w:tab w:val="right" w:pos="1020"/>
        </w:tabs>
        <w:rPr>
          <w:lang w:val="en-GB"/>
        </w:rPr>
      </w:pPr>
      <w:r w:rsidRPr="00B94CF7">
        <w:rPr>
          <w:lang w:val="en-GB"/>
        </w:rPr>
        <w:tab/>
      </w:r>
      <w:r w:rsidRPr="00B94CF7">
        <w:rPr>
          <w:rStyle w:val="FootnoteReference"/>
          <w:lang w:val="en-GB"/>
        </w:rPr>
        <w:footnoteRef/>
      </w:r>
      <w:r w:rsidRPr="00B94CF7">
        <w:rPr>
          <w:lang w:val="en-GB"/>
        </w:rPr>
        <w:tab/>
        <w:t>See</w:t>
      </w:r>
      <w:r w:rsidR="006B38F8" w:rsidRPr="001A5516">
        <w:rPr>
          <w:lang w:val="en-GB"/>
        </w:rPr>
        <w:t>,</w:t>
      </w:r>
      <w:r w:rsidRPr="001A5516">
        <w:rPr>
          <w:lang w:val="en-GB"/>
        </w:rPr>
        <w:t xml:space="preserve"> e.g., </w:t>
      </w:r>
      <w:r w:rsidR="00A65F4B" w:rsidRPr="001A5516">
        <w:rPr>
          <w:lang w:val="en-GB"/>
        </w:rPr>
        <w:t xml:space="preserve">communication No. 203/2002, </w:t>
      </w:r>
      <w:r w:rsidRPr="001A5516">
        <w:rPr>
          <w:i/>
          <w:lang w:val="en-GB"/>
        </w:rPr>
        <w:t>A.R. v. Netherlands</w:t>
      </w:r>
      <w:r w:rsidRPr="001A5516">
        <w:rPr>
          <w:iCs/>
          <w:lang w:val="en-GB"/>
        </w:rPr>
        <w:t>,</w:t>
      </w:r>
      <w:r w:rsidRPr="001A5516">
        <w:rPr>
          <w:i/>
          <w:lang w:val="en-GB"/>
        </w:rPr>
        <w:t xml:space="preserve"> </w:t>
      </w:r>
      <w:r w:rsidRPr="001A5516">
        <w:rPr>
          <w:lang w:val="en-GB"/>
        </w:rPr>
        <w:t>para. 7.3.</w:t>
      </w:r>
    </w:p>
  </w:footnote>
  <w:footnote w:id="16">
    <w:p w14:paraId="5693354A"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t xml:space="preserve">See </w:t>
      </w:r>
      <w:r w:rsidR="00780FA2" w:rsidRPr="001A5516">
        <w:rPr>
          <w:lang w:val="en-GB"/>
        </w:rPr>
        <w:t>a</w:t>
      </w:r>
      <w:r w:rsidRPr="001A5516">
        <w:rPr>
          <w:lang w:val="en-GB"/>
        </w:rPr>
        <w:t>rticle</w:t>
      </w:r>
      <w:r w:rsidR="00780FA2" w:rsidRPr="001A5516">
        <w:rPr>
          <w:lang w:val="en-GB"/>
        </w:rPr>
        <w:t>s</w:t>
      </w:r>
      <w:r w:rsidRPr="001A5516">
        <w:rPr>
          <w:lang w:val="en-GB"/>
        </w:rPr>
        <w:t xml:space="preserve"> 195 and 205 (a) of the Handbook on Procedures and Criteria for Determining Refugee Status under the 1951 Convention and the 1967 Protocol relating to the Status of Refugees. </w:t>
      </w:r>
    </w:p>
  </w:footnote>
  <w:footnote w:id="17">
    <w:p w14:paraId="68702E7F" w14:textId="77777777" w:rsidR="00A84B4A" w:rsidRPr="00B94CF7"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r>
      <w:r w:rsidR="00B56C53" w:rsidRPr="00B94CF7">
        <w:rPr>
          <w:lang w:val="en-GB"/>
        </w:rPr>
        <w:t xml:space="preserve">Available from </w:t>
      </w:r>
      <w:r w:rsidRPr="001A5516">
        <w:rPr>
          <w:lang w:val="en-GB"/>
        </w:rPr>
        <w:t>www.hrw.org/print/news/2011/02/09/belarus-survey-shows-massive-abuses-protesters.</w:t>
      </w:r>
    </w:p>
  </w:footnote>
  <w:footnote w:id="18">
    <w:p w14:paraId="32B4BD71" w14:textId="77777777" w:rsidR="00A84B4A" w:rsidRPr="001A5516" w:rsidRDefault="00A84B4A" w:rsidP="00B56C53">
      <w:pPr>
        <w:pStyle w:val="FootnoteText"/>
        <w:rPr>
          <w:lang w:val="en-GB"/>
        </w:rPr>
      </w:pPr>
      <w:r w:rsidRPr="00B94CF7">
        <w:rPr>
          <w:lang w:val="en-GB"/>
        </w:rPr>
        <w:tab/>
      </w:r>
      <w:r w:rsidRPr="00B94CF7">
        <w:rPr>
          <w:rStyle w:val="FootnoteReference"/>
          <w:lang w:val="en-GB"/>
        </w:rPr>
        <w:footnoteRef/>
      </w:r>
      <w:r w:rsidRPr="001A5516">
        <w:rPr>
          <w:lang w:val="en-GB"/>
        </w:rPr>
        <w:tab/>
        <w:t xml:space="preserve">See compilation by the </w:t>
      </w:r>
      <w:r w:rsidR="00B56C53" w:rsidRPr="001A5516">
        <w:rPr>
          <w:lang w:val="en-GB"/>
        </w:rPr>
        <w:t xml:space="preserve">Viasna </w:t>
      </w:r>
      <w:r w:rsidRPr="001A5516">
        <w:rPr>
          <w:lang w:val="en-GB"/>
        </w:rPr>
        <w:t>Human Rights Centre</w:t>
      </w:r>
      <w:r w:rsidR="00B56C53" w:rsidRPr="001A5516">
        <w:rPr>
          <w:lang w:val="en-GB"/>
        </w:rPr>
        <w:t>, available from</w:t>
      </w:r>
      <w:r w:rsidRPr="001A5516">
        <w:rPr>
          <w:lang w:val="en-GB"/>
        </w:rPr>
        <w:t xml:space="preserve"> http://spring96.org/en/news/41575.</w:t>
      </w:r>
    </w:p>
  </w:footnote>
  <w:footnote w:id="19">
    <w:p w14:paraId="5AD462D4"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t xml:space="preserve">See, </w:t>
      </w:r>
      <w:r w:rsidRPr="00B94CF7">
        <w:rPr>
          <w:iCs/>
          <w:lang w:val="en-GB"/>
        </w:rPr>
        <w:t>inter alia</w:t>
      </w:r>
      <w:r w:rsidRPr="00B94CF7">
        <w:rPr>
          <w:lang w:val="en-GB"/>
        </w:rPr>
        <w:t xml:space="preserve">, </w:t>
      </w:r>
      <w:r w:rsidRPr="00B94CF7">
        <w:rPr>
          <w:rStyle w:val="FootnoteReference"/>
          <w:szCs w:val="18"/>
          <w:vertAlign w:val="baseline"/>
          <w:lang w:val="en-GB"/>
        </w:rPr>
        <w:t>communication No. 519/20</w:t>
      </w:r>
      <w:r w:rsidRPr="00B94CF7">
        <w:rPr>
          <w:szCs w:val="18"/>
          <w:lang w:val="en-GB"/>
        </w:rPr>
        <w:t>12</w:t>
      </w:r>
      <w:r w:rsidRPr="00B94CF7">
        <w:rPr>
          <w:rStyle w:val="FootnoteReference"/>
          <w:szCs w:val="18"/>
          <w:vertAlign w:val="baseline"/>
          <w:lang w:val="en-GB"/>
        </w:rPr>
        <w:t xml:space="preserve">, </w:t>
      </w:r>
      <w:r w:rsidRPr="00B94CF7">
        <w:rPr>
          <w:rStyle w:val="FootnoteReference"/>
          <w:i/>
          <w:szCs w:val="18"/>
          <w:vertAlign w:val="baseline"/>
          <w:lang w:val="en-GB"/>
        </w:rPr>
        <w:t>T.M.</w:t>
      </w:r>
      <w:r w:rsidRPr="00B94CF7">
        <w:rPr>
          <w:rStyle w:val="FootnoteReference"/>
          <w:szCs w:val="18"/>
          <w:vertAlign w:val="baseline"/>
          <w:lang w:val="en-GB"/>
        </w:rPr>
        <w:t xml:space="preserve"> </w:t>
      </w:r>
      <w:r w:rsidRPr="00B94CF7">
        <w:rPr>
          <w:rStyle w:val="FootnoteReference"/>
          <w:i/>
          <w:iCs/>
          <w:szCs w:val="18"/>
          <w:vertAlign w:val="baseline"/>
          <w:lang w:val="en-GB"/>
        </w:rPr>
        <w:t>v.</w:t>
      </w:r>
      <w:r w:rsidRPr="00B94CF7">
        <w:rPr>
          <w:rStyle w:val="FootnoteReference"/>
          <w:szCs w:val="18"/>
          <w:vertAlign w:val="baseline"/>
          <w:lang w:val="en-GB"/>
        </w:rPr>
        <w:t xml:space="preserve"> </w:t>
      </w:r>
      <w:r w:rsidRPr="00B94CF7">
        <w:rPr>
          <w:rStyle w:val="FootnoteReference"/>
          <w:i/>
          <w:szCs w:val="18"/>
          <w:vertAlign w:val="baseline"/>
          <w:lang w:val="en-GB"/>
        </w:rPr>
        <w:t xml:space="preserve">Republic </w:t>
      </w:r>
      <w:r w:rsidRPr="00B94CF7">
        <w:rPr>
          <w:i/>
          <w:szCs w:val="18"/>
          <w:lang w:val="en-GB"/>
        </w:rPr>
        <w:t>of Korea</w:t>
      </w:r>
      <w:r w:rsidRPr="00B94CF7">
        <w:rPr>
          <w:rStyle w:val="FootnoteReference"/>
          <w:szCs w:val="18"/>
          <w:vertAlign w:val="baseline"/>
          <w:lang w:val="en-GB"/>
        </w:rPr>
        <w:t xml:space="preserve">, </w:t>
      </w:r>
      <w:r w:rsidR="00B56C53" w:rsidRPr="00B94CF7">
        <w:rPr>
          <w:szCs w:val="18"/>
          <w:lang w:val="en-GB"/>
        </w:rPr>
        <w:t>d</w:t>
      </w:r>
      <w:r w:rsidRPr="00B94CF7">
        <w:rPr>
          <w:rStyle w:val="FootnoteReference"/>
          <w:szCs w:val="18"/>
          <w:vertAlign w:val="baseline"/>
          <w:lang w:val="en-GB"/>
        </w:rPr>
        <w:t>ecision adopted on 21</w:t>
      </w:r>
      <w:r w:rsidRPr="00B94CF7">
        <w:rPr>
          <w:szCs w:val="18"/>
          <w:lang w:val="en-GB"/>
        </w:rPr>
        <w:t> </w:t>
      </w:r>
      <w:r w:rsidRPr="00B94CF7">
        <w:rPr>
          <w:rStyle w:val="FootnoteReference"/>
          <w:szCs w:val="18"/>
          <w:vertAlign w:val="baseline"/>
          <w:lang w:val="en-GB"/>
        </w:rPr>
        <w:t xml:space="preserve">November 2014, </w:t>
      </w:r>
      <w:r w:rsidRPr="00B94CF7">
        <w:rPr>
          <w:szCs w:val="18"/>
          <w:lang w:val="en-GB"/>
        </w:rPr>
        <w:t>para. 9.3.</w:t>
      </w:r>
      <w:r w:rsidRPr="00B94CF7">
        <w:rPr>
          <w:lang w:val="en-GB"/>
        </w:rPr>
        <w:t xml:space="preserve"> </w:t>
      </w:r>
    </w:p>
  </w:footnote>
  <w:footnote w:id="20">
    <w:p w14:paraId="20E0437F" w14:textId="77777777" w:rsidR="00A84B4A" w:rsidRPr="001A5516" w:rsidRDefault="00A84B4A">
      <w:pPr>
        <w:pStyle w:val="FootnoteText"/>
        <w:widowControl w:val="0"/>
        <w:tabs>
          <w:tab w:val="clear" w:pos="1021"/>
          <w:tab w:val="right" w:pos="1020"/>
        </w:tabs>
        <w:rPr>
          <w:lang w:val="en-GB"/>
        </w:rPr>
      </w:pPr>
      <w:r w:rsidRPr="00B94CF7">
        <w:rPr>
          <w:lang w:val="en-GB"/>
        </w:rPr>
        <w:tab/>
      </w:r>
      <w:r w:rsidRPr="00B94CF7">
        <w:rPr>
          <w:rStyle w:val="FootnoteReference"/>
          <w:lang w:val="en-GB"/>
        </w:rPr>
        <w:footnoteRef/>
      </w:r>
      <w:r w:rsidRPr="00B94CF7">
        <w:rPr>
          <w:lang w:val="en-GB"/>
        </w:rPr>
        <w:tab/>
        <w:t xml:space="preserve">Ibid. </w:t>
      </w:r>
    </w:p>
  </w:footnote>
  <w:footnote w:id="21">
    <w:p w14:paraId="568A28DD"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t xml:space="preserve">Ibid. </w:t>
      </w:r>
    </w:p>
  </w:footnote>
  <w:footnote w:id="22">
    <w:p w14:paraId="0D4E9C4D"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r>
      <w:r w:rsidR="00780FA2" w:rsidRPr="00B94CF7">
        <w:rPr>
          <w:iCs/>
          <w:szCs w:val="18"/>
          <w:lang w:val="en-GB"/>
        </w:rPr>
        <w:t>General comment No. 1</w:t>
      </w:r>
      <w:r w:rsidRPr="00B94CF7">
        <w:rPr>
          <w:szCs w:val="18"/>
          <w:lang w:val="en-GB"/>
        </w:rPr>
        <w:t>, para. 6.</w:t>
      </w:r>
      <w:r w:rsidRPr="00B94CF7">
        <w:rPr>
          <w:lang w:val="en-GB"/>
        </w:rPr>
        <w:t xml:space="preserve"> </w:t>
      </w:r>
    </w:p>
  </w:footnote>
  <w:footnote w:id="23">
    <w:p w14:paraId="1BCEECAC"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B94CF7">
        <w:rPr>
          <w:lang w:val="en-GB"/>
        </w:rPr>
        <w:tab/>
        <w:t xml:space="preserve">Ibid. See also, communication No. 203/2002, </w:t>
      </w:r>
      <w:r w:rsidRPr="00B94CF7">
        <w:rPr>
          <w:i/>
          <w:iCs/>
          <w:lang w:val="en-GB"/>
        </w:rPr>
        <w:t>A.R.</w:t>
      </w:r>
      <w:r w:rsidRPr="00B94CF7">
        <w:rPr>
          <w:lang w:val="en-GB"/>
        </w:rPr>
        <w:t xml:space="preserve"> </w:t>
      </w:r>
      <w:r w:rsidRPr="00B94CF7">
        <w:rPr>
          <w:i/>
          <w:iCs/>
          <w:lang w:val="en-GB"/>
        </w:rPr>
        <w:t>v.</w:t>
      </w:r>
      <w:r w:rsidRPr="00B94CF7">
        <w:rPr>
          <w:lang w:val="en-GB"/>
        </w:rPr>
        <w:t xml:space="preserve"> </w:t>
      </w:r>
      <w:r w:rsidRPr="00B94CF7">
        <w:rPr>
          <w:i/>
          <w:iCs/>
          <w:lang w:val="en-GB"/>
        </w:rPr>
        <w:t>Netherlands</w:t>
      </w:r>
      <w:r w:rsidRPr="00B94CF7">
        <w:rPr>
          <w:lang w:val="en-GB"/>
        </w:rPr>
        <w:t xml:space="preserve">, para. 7.3. </w:t>
      </w:r>
    </w:p>
  </w:footnote>
  <w:footnote w:id="24">
    <w:p w14:paraId="6C5A4CE3" w14:textId="77777777" w:rsidR="00A84B4A" w:rsidRPr="001A5516" w:rsidRDefault="00A84B4A">
      <w:pPr>
        <w:pStyle w:val="FootnoteText"/>
        <w:rPr>
          <w:lang w:val="en-GB"/>
        </w:rPr>
      </w:pPr>
      <w:r w:rsidRPr="001A5516">
        <w:rPr>
          <w:lang w:val="en-GB"/>
        </w:rPr>
        <w:tab/>
      </w:r>
      <w:r w:rsidRPr="00B94CF7">
        <w:rPr>
          <w:rStyle w:val="FootnoteReference"/>
          <w:lang w:val="en-GB"/>
        </w:rPr>
        <w:footnoteRef/>
      </w:r>
      <w:r w:rsidRPr="001A5516">
        <w:rPr>
          <w:lang w:val="en-GB"/>
        </w:rPr>
        <w:tab/>
        <w:t xml:space="preserve">See concluding observations </w:t>
      </w:r>
      <w:r w:rsidR="00780FA2" w:rsidRPr="001A5516">
        <w:rPr>
          <w:lang w:val="en-GB"/>
        </w:rPr>
        <w:t>on</w:t>
      </w:r>
      <w:r w:rsidRPr="001A5516">
        <w:rPr>
          <w:lang w:val="en-GB"/>
        </w:rPr>
        <w:t xml:space="preserve"> Belarus</w:t>
      </w:r>
      <w:r w:rsidR="00780FA2" w:rsidRPr="001A5516">
        <w:rPr>
          <w:lang w:val="en-GB"/>
        </w:rPr>
        <w:t>,</w:t>
      </w:r>
      <w:r w:rsidRPr="001A5516">
        <w:rPr>
          <w:lang w:val="en-GB"/>
        </w:rPr>
        <w:t xml:space="preserve"> CAT/C/BLR/CO/4, paras. 10 and 18.</w:t>
      </w:r>
    </w:p>
  </w:footnote>
  <w:footnote w:id="25">
    <w:p w14:paraId="5F448877" w14:textId="77777777" w:rsidR="00A84B4A" w:rsidRPr="001A5516" w:rsidRDefault="00A84B4A">
      <w:pPr>
        <w:pStyle w:val="FootnoteText"/>
        <w:widowControl w:val="0"/>
        <w:tabs>
          <w:tab w:val="clear" w:pos="1021"/>
          <w:tab w:val="right" w:pos="1020"/>
        </w:tabs>
        <w:rPr>
          <w:highlight w:val="yellow"/>
          <w:lang w:val="en-GB"/>
        </w:rPr>
      </w:pPr>
      <w:r w:rsidRPr="00B94CF7">
        <w:rPr>
          <w:lang w:val="en-GB"/>
        </w:rPr>
        <w:tab/>
      </w:r>
      <w:r w:rsidRPr="00B94CF7">
        <w:rPr>
          <w:rStyle w:val="FootnoteReference"/>
          <w:lang w:val="en-GB"/>
        </w:rPr>
        <w:footnoteRef/>
      </w:r>
      <w:r w:rsidRPr="001A5516">
        <w:rPr>
          <w:lang w:val="en-GB"/>
        </w:rPr>
        <w:tab/>
      </w:r>
      <w:r w:rsidRPr="001A5516">
        <w:rPr>
          <w:rStyle w:val="FootnoteReference"/>
          <w:szCs w:val="18"/>
          <w:vertAlign w:val="baseline"/>
          <w:lang w:val="en-GB"/>
        </w:rPr>
        <w:t xml:space="preserve">See, </w:t>
      </w:r>
      <w:r w:rsidRPr="001A5516">
        <w:rPr>
          <w:rStyle w:val="FootnoteReference"/>
          <w:iCs/>
          <w:szCs w:val="18"/>
          <w:vertAlign w:val="baseline"/>
          <w:lang w:val="en-GB"/>
        </w:rPr>
        <w:t>inter alia,</w:t>
      </w:r>
      <w:r w:rsidRPr="001A5516">
        <w:rPr>
          <w:rStyle w:val="FootnoteReference"/>
          <w:szCs w:val="18"/>
          <w:vertAlign w:val="baseline"/>
          <w:lang w:val="en-GB"/>
        </w:rPr>
        <w:t xml:space="preserve"> communication No. 519/2012, </w:t>
      </w:r>
      <w:r w:rsidRPr="001A5516">
        <w:rPr>
          <w:i/>
          <w:szCs w:val="18"/>
          <w:lang w:val="en-GB"/>
        </w:rPr>
        <w:t>T</w:t>
      </w:r>
      <w:r w:rsidRPr="001A5516">
        <w:rPr>
          <w:rStyle w:val="FootnoteReference"/>
          <w:i/>
          <w:szCs w:val="18"/>
          <w:vertAlign w:val="baseline"/>
          <w:lang w:val="en-GB"/>
        </w:rPr>
        <w:t>.</w:t>
      </w:r>
      <w:r w:rsidRPr="001A5516">
        <w:rPr>
          <w:i/>
          <w:szCs w:val="18"/>
          <w:lang w:val="en-GB"/>
        </w:rPr>
        <w:t>M</w:t>
      </w:r>
      <w:r w:rsidRPr="001A5516">
        <w:rPr>
          <w:rStyle w:val="FootnoteReference"/>
          <w:szCs w:val="18"/>
          <w:vertAlign w:val="baseline"/>
          <w:lang w:val="en-GB"/>
        </w:rPr>
        <w:t>.</w:t>
      </w:r>
      <w:r w:rsidRPr="001A5516">
        <w:rPr>
          <w:rStyle w:val="FootnoteReference"/>
          <w:i/>
          <w:iCs/>
          <w:szCs w:val="18"/>
          <w:vertAlign w:val="baseline"/>
          <w:lang w:val="en-GB"/>
        </w:rPr>
        <w:t xml:space="preserve"> v. </w:t>
      </w:r>
      <w:r w:rsidRPr="001A5516">
        <w:rPr>
          <w:rStyle w:val="FootnoteReference"/>
          <w:i/>
          <w:szCs w:val="18"/>
          <w:vertAlign w:val="baseline"/>
          <w:lang w:val="en-GB"/>
        </w:rPr>
        <w:t>Republic of Korea</w:t>
      </w:r>
      <w:r w:rsidRPr="001A5516">
        <w:rPr>
          <w:rStyle w:val="FootnoteReference"/>
          <w:szCs w:val="18"/>
          <w:vertAlign w:val="baseline"/>
          <w:lang w:val="en-GB"/>
        </w:rPr>
        <w:t xml:space="preserve">, </w:t>
      </w:r>
      <w:r w:rsidR="00780FA2" w:rsidRPr="001A5516">
        <w:rPr>
          <w:szCs w:val="18"/>
          <w:lang w:val="en-GB"/>
        </w:rPr>
        <w:t>d</w:t>
      </w:r>
      <w:r w:rsidRPr="001A5516">
        <w:rPr>
          <w:rStyle w:val="FootnoteReference"/>
          <w:szCs w:val="18"/>
          <w:vertAlign w:val="baseline"/>
          <w:lang w:val="en-GB"/>
        </w:rPr>
        <w:t xml:space="preserve">ecision adopted on 21 November 2014, </w:t>
      </w:r>
      <w:r w:rsidRPr="001A5516">
        <w:rPr>
          <w:szCs w:val="18"/>
          <w:lang w:val="en-GB"/>
        </w:rPr>
        <w:t>para. 9.7.</w:t>
      </w:r>
      <w:r w:rsidRPr="00B94CF7">
        <w:rPr>
          <w:lang w:val="en-GB"/>
        </w:rPr>
        <w:t xml:space="preserve"> </w:t>
      </w:r>
    </w:p>
  </w:footnote>
  <w:footnote w:id="26">
    <w:p w14:paraId="63341B90" w14:textId="77777777" w:rsidR="00A84B4A" w:rsidRPr="001A5516" w:rsidRDefault="00A84B4A">
      <w:pPr>
        <w:pStyle w:val="FootnoteText"/>
        <w:rPr>
          <w:lang w:val="en-GB"/>
        </w:rPr>
      </w:pPr>
      <w:r w:rsidRPr="001A5516">
        <w:rPr>
          <w:lang w:val="en-GB"/>
        </w:rPr>
        <w:tab/>
      </w:r>
      <w:r w:rsidRPr="00B94CF7">
        <w:rPr>
          <w:rStyle w:val="FootnoteReference"/>
          <w:lang w:val="en-GB"/>
        </w:rPr>
        <w:footnoteRef/>
      </w:r>
      <w:r w:rsidRPr="001A5516">
        <w:rPr>
          <w:lang w:val="en-GB"/>
        </w:rPr>
        <w:tab/>
        <w:t xml:space="preserve">According to information collected by the </w:t>
      </w:r>
      <w:r w:rsidR="00780FA2" w:rsidRPr="001A5516">
        <w:rPr>
          <w:lang w:val="en-GB"/>
        </w:rPr>
        <w:t xml:space="preserve">Viasna </w:t>
      </w:r>
      <w:r w:rsidRPr="001A5516">
        <w:rPr>
          <w:lang w:val="en-GB"/>
        </w:rPr>
        <w:t>Human Rights Centre.</w:t>
      </w:r>
    </w:p>
  </w:footnote>
  <w:footnote w:id="27">
    <w:p w14:paraId="61125773" w14:textId="77777777" w:rsidR="00A84B4A" w:rsidRPr="00B94CF7" w:rsidRDefault="00A84B4A">
      <w:pPr>
        <w:pStyle w:val="FootnoteText"/>
        <w:widowControl w:val="0"/>
        <w:tabs>
          <w:tab w:val="clear" w:pos="1021"/>
          <w:tab w:val="right" w:pos="1020"/>
        </w:tabs>
        <w:rPr>
          <w:lang w:val="en-GB"/>
        </w:rPr>
      </w:pPr>
      <w:r w:rsidRPr="00B94CF7">
        <w:rPr>
          <w:lang w:val="en-GB"/>
        </w:rPr>
        <w:tab/>
      </w:r>
      <w:r w:rsidRPr="00B94CF7">
        <w:rPr>
          <w:rStyle w:val="FootnoteReference"/>
          <w:lang w:val="en-GB"/>
        </w:rPr>
        <w:footnoteRef/>
      </w:r>
      <w:r w:rsidRPr="00B94CF7">
        <w:rPr>
          <w:lang w:val="en-GB"/>
        </w:rPr>
        <w:tab/>
        <w:t>See communication</w:t>
      </w:r>
      <w:r w:rsidR="00C8368D" w:rsidRPr="00B94CF7">
        <w:rPr>
          <w:lang w:val="en-GB"/>
        </w:rPr>
        <w:t>s</w:t>
      </w:r>
      <w:r w:rsidRPr="00B94CF7">
        <w:rPr>
          <w:lang w:val="en-GB"/>
        </w:rPr>
        <w:t xml:space="preserve"> No. 298/2006, </w:t>
      </w:r>
      <w:r w:rsidRPr="00B94CF7">
        <w:rPr>
          <w:i/>
          <w:lang w:val="en-GB"/>
        </w:rPr>
        <w:t xml:space="preserve">C.A.R.M. </w:t>
      </w:r>
      <w:r w:rsidR="00A65F4B" w:rsidRPr="00B94CF7">
        <w:rPr>
          <w:i/>
          <w:lang w:val="en-GB"/>
        </w:rPr>
        <w:t>and others</w:t>
      </w:r>
      <w:r w:rsidRPr="00B94CF7">
        <w:rPr>
          <w:i/>
          <w:lang w:val="en-GB"/>
        </w:rPr>
        <w:t xml:space="preserve"> v. Canada</w:t>
      </w:r>
      <w:r w:rsidRPr="00B94CF7">
        <w:rPr>
          <w:lang w:val="en-GB"/>
        </w:rPr>
        <w:t>, decision adopted on 18 May 2007</w:t>
      </w:r>
      <w:r w:rsidR="00A65F4B" w:rsidRPr="00B94CF7">
        <w:rPr>
          <w:lang w:val="en-GB"/>
        </w:rPr>
        <w:t>, para. 8.10</w:t>
      </w:r>
      <w:r w:rsidRPr="00B94CF7">
        <w:rPr>
          <w:lang w:val="en-GB"/>
        </w:rPr>
        <w:t xml:space="preserve">; No. 256/2004, </w:t>
      </w:r>
      <w:r w:rsidRPr="00B94CF7">
        <w:rPr>
          <w:i/>
          <w:lang w:val="en-GB"/>
        </w:rPr>
        <w:t>M.Z. v. Sweden</w:t>
      </w:r>
      <w:r w:rsidRPr="00B94CF7">
        <w:rPr>
          <w:lang w:val="en-GB"/>
        </w:rPr>
        <w:t>, decision adopted on 12 May 2006</w:t>
      </w:r>
      <w:r w:rsidR="00A65F4B" w:rsidRPr="00B94CF7">
        <w:rPr>
          <w:lang w:val="en-GB"/>
        </w:rPr>
        <w:t>, para. 9.3</w:t>
      </w:r>
      <w:r w:rsidRPr="00B94CF7">
        <w:rPr>
          <w:lang w:val="en-GB"/>
        </w:rPr>
        <w:t xml:space="preserve">; No. 214/2002, </w:t>
      </w:r>
      <w:r w:rsidRPr="00B94CF7">
        <w:rPr>
          <w:i/>
          <w:lang w:val="en-GB"/>
        </w:rPr>
        <w:t>M.A.K. v. Germany</w:t>
      </w:r>
      <w:r w:rsidRPr="00B94CF7">
        <w:rPr>
          <w:lang w:val="en-GB"/>
        </w:rPr>
        <w:t>, decision adopted on 12 May 2004</w:t>
      </w:r>
      <w:r w:rsidR="00A65F4B" w:rsidRPr="00B94CF7">
        <w:rPr>
          <w:lang w:val="en-GB"/>
        </w:rPr>
        <w:t>, para. 13.5</w:t>
      </w:r>
      <w:r w:rsidRPr="00B94CF7">
        <w:rPr>
          <w:lang w:val="en-GB"/>
        </w:rPr>
        <w:t xml:space="preserve">; No. 150/1999, </w:t>
      </w:r>
      <w:r w:rsidRPr="00B94CF7">
        <w:rPr>
          <w:i/>
          <w:lang w:val="en-GB"/>
        </w:rPr>
        <w:t>S.L. v. Sweden</w:t>
      </w:r>
      <w:r w:rsidRPr="00B94CF7">
        <w:rPr>
          <w:lang w:val="en-GB"/>
        </w:rPr>
        <w:t xml:space="preserve">, para. 6.3; and No. 347/2008, </w:t>
      </w:r>
      <w:r w:rsidRPr="00B94CF7">
        <w:rPr>
          <w:i/>
          <w:lang w:val="en-GB"/>
        </w:rPr>
        <w:t>N.B.-M. v. Switzerland</w:t>
      </w:r>
      <w:r w:rsidRPr="00B94CF7">
        <w:rPr>
          <w:lang w:val="en-GB"/>
        </w:rPr>
        <w:t>, decision adopted on 14 November 2011</w:t>
      </w:r>
      <w:r w:rsidR="00A65F4B" w:rsidRPr="00B94CF7">
        <w:rPr>
          <w:lang w:val="en-GB"/>
        </w:rPr>
        <w:t>, para. 9.9</w:t>
      </w:r>
      <w:r w:rsidRPr="00B94CF7">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A64B2" w14:textId="77777777" w:rsidR="00A84B4A" w:rsidRPr="00116B35" w:rsidRDefault="00A84B4A">
    <w:pPr>
      <w:pStyle w:val="Header"/>
    </w:pPr>
    <w:r>
      <w:t>CAT/C/55/D/530/2012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73649" w14:textId="77777777" w:rsidR="00A84B4A" w:rsidRPr="00116B35" w:rsidRDefault="00A84B4A" w:rsidP="004876DE">
    <w:pPr>
      <w:pStyle w:val="Header"/>
      <w:jc w:val="right"/>
    </w:pPr>
    <w:r>
      <w:t>CAT/C/55/D/530/2012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Numrering 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7"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0BF971D7"/>
    <w:multiLevelType w:val="hybridMultilevel"/>
    <w:tmpl w:val="50B83C60"/>
    <w:lvl w:ilvl="0" w:tplc="A492E00E">
      <w:start w:val="1"/>
      <w:numFmt w:val="decimal"/>
      <w:lvlText w:val="%1."/>
      <w:lvlJc w:val="left"/>
      <w:pPr>
        <w:ind w:left="1734" w:hanging="454"/>
        <w:jc w:val="right"/>
      </w:pPr>
      <w:rPr>
        <w:rFonts w:ascii="Garamond" w:eastAsia="Garamond" w:hAnsi="Garamond" w:hint="default"/>
        <w:w w:val="100"/>
        <w:sz w:val="24"/>
        <w:szCs w:val="24"/>
      </w:rPr>
    </w:lvl>
    <w:lvl w:ilvl="1" w:tplc="31445BBA">
      <w:start w:val="1"/>
      <w:numFmt w:val="decimal"/>
      <w:lvlText w:val="%2."/>
      <w:lvlJc w:val="left"/>
      <w:pPr>
        <w:ind w:left="2234" w:hanging="360"/>
      </w:pPr>
      <w:rPr>
        <w:rFonts w:ascii="Garamond" w:eastAsia="Garamond" w:hAnsi="Garamond" w:hint="default"/>
        <w:w w:val="100"/>
      </w:rPr>
    </w:lvl>
    <w:lvl w:ilvl="2" w:tplc="4C70B81C">
      <w:start w:val="1"/>
      <w:numFmt w:val="bullet"/>
      <w:lvlText w:val="•"/>
      <w:lvlJc w:val="left"/>
      <w:pPr>
        <w:ind w:left="2960" w:hanging="360"/>
      </w:pPr>
      <w:rPr>
        <w:rFonts w:hint="default"/>
      </w:rPr>
    </w:lvl>
    <w:lvl w:ilvl="3" w:tplc="7ABCF876">
      <w:start w:val="1"/>
      <w:numFmt w:val="bullet"/>
      <w:lvlText w:val="•"/>
      <w:lvlJc w:val="left"/>
      <w:pPr>
        <w:ind w:left="3681" w:hanging="360"/>
      </w:pPr>
      <w:rPr>
        <w:rFonts w:hint="default"/>
      </w:rPr>
    </w:lvl>
    <w:lvl w:ilvl="4" w:tplc="634A65BA">
      <w:start w:val="1"/>
      <w:numFmt w:val="bullet"/>
      <w:lvlText w:val="•"/>
      <w:lvlJc w:val="left"/>
      <w:pPr>
        <w:ind w:left="4402" w:hanging="360"/>
      </w:pPr>
      <w:rPr>
        <w:rFonts w:hint="default"/>
      </w:rPr>
    </w:lvl>
    <w:lvl w:ilvl="5" w:tplc="1C7E728E">
      <w:start w:val="1"/>
      <w:numFmt w:val="bullet"/>
      <w:lvlText w:val="•"/>
      <w:lvlJc w:val="left"/>
      <w:pPr>
        <w:ind w:left="5122" w:hanging="360"/>
      </w:pPr>
      <w:rPr>
        <w:rFonts w:hint="default"/>
      </w:rPr>
    </w:lvl>
    <w:lvl w:ilvl="6" w:tplc="17F46B02">
      <w:start w:val="1"/>
      <w:numFmt w:val="bullet"/>
      <w:lvlText w:val="•"/>
      <w:lvlJc w:val="left"/>
      <w:pPr>
        <w:ind w:left="5843" w:hanging="360"/>
      </w:pPr>
      <w:rPr>
        <w:rFonts w:hint="default"/>
      </w:rPr>
    </w:lvl>
    <w:lvl w:ilvl="7" w:tplc="92F8C05E">
      <w:start w:val="1"/>
      <w:numFmt w:val="bullet"/>
      <w:lvlText w:val="•"/>
      <w:lvlJc w:val="left"/>
      <w:pPr>
        <w:ind w:left="6564" w:hanging="360"/>
      </w:pPr>
      <w:rPr>
        <w:rFonts w:hint="default"/>
      </w:rPr>
    </w:lvl>
    <w:lvl w:ilvl="8" w:tplc="48C2D242">
      <w:start w:val="1"/>
      <w:numFmt w:val="bullet"/>
      <w:lvlText w:val="•"/>
      <w:lvlJc w:val="left"/>
      <w:pPr>
        <w:ind w:left="7284" w:hanging="360"/>
      </w:pPr>
      <w:rPr>
        <w:rFonts w:hint="default"/>
      </w:rPr>
    </w:lvl>
  </w:abstractNum>
  <w:abstractNum w:abstractNumId="11"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25D033D"/>
    <w:multiLevelType w:val="hybridMultilevel"/>
    <w:tmpl w:val="95545D70"/>
    <w:lvl w:ilvl="0" w:tplc="15BA0844">
      <w:start w:val="1"/>
      <w:numFmt w:val="decimal"/>
      <w:pStyle w:val="Numreratstycke2"/>
      <w:lvlText w:val="%1."/>
      <w:lvlJc w:val="left"/>
      <w:pPr>
        <w:tabs>
          <w:tab w:val="num" w:pos="454"/>
        </w:tabs>
        <w:ind w:left="0" w:firstLine="0"/>
      </w:pPr>
      <w:rPr>
        <w:rFonts w:ascii="Garamond" w:hAnsi="Garamond" w:hint="default"/>
        <w:color w:val="auto"/>
      </w:rPr>
    </w:lvl>
    <w:lvl w:ilvl="1" w:tplc="3EF6B7C4">
      <w:start w:val="1"/>
      <w:numFmt w:val="lowerRoman"/>
      <w:lvlText w:val="%2."/>
      <w:lvlJc w:val="right"/>
      <w:pPr>
        <w:tabs>
          <w:tab w:val="num" w:pos="680"/>
        </w:tabs>
        <w:ind w:left="340" w:firstLine="0"/>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25281F1D"/>
    <w:multiLevelType w:val="multilevel"/>
    <w:tmpl w:val="968E634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9" w15:restartNumberingAfterBreak="0">
    <w:nsid w:val="30880019"/>
    <w:multiLevelType w:val="multilevel"/>
    <w:tmpl w:val="C9E864C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25"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26"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7"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9"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2"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33"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6"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8"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9"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4"/>
  </w:num>
  <w:num w:numId="2">
    <w:abstractNumId w:val="34"/>
  </w:num>
  <w:num w:numId="3">
    <w:abstractNumId w:val="29"/>
  </w:num>
  <w:num w:numId="4">
    <w:abstractNumId w:val="25"/>
  </w:num>
  <w:num w:numId="5">
    <w:abstractNumId w:val="38"/>
  </w:num>
  <w:num w:numId="6">
    <w:abstractNumId w:val="18"/>
  </w:num>
  <w:num w:numId="7">
    <w:abstractNumId w:val="20"/>
  </w:num>
  <w:num w:numId="8">
    <w:abstractNumId w:val="16"/>
  </w:num>
  <w:num w:numId="9">
    <w:abstractNumId w:val="21"/>
  </w:num>
  <w:num w:numId="10">
    <w:abstractNumId w:val="28"/>
  </w:num>
  <w:num w:numId="11">
    <w:abstractNumId w:val="35"/>
  </w:num>
  <w:num w:numId="12">
    <w:abstractNumId w:val="31"/>
  </w:num>
  <w:num w:numId="13">
    <w:abstractNumId w:val="6"/>
  </w:num>
  <w:num w:numId="14">
    <w:abstractNumId w:val="24"/>
  </w:num>
  <w:num w:numId="15">
    <w:abstractNumId w:val="32"/>
  </w:num>
  <w:num w:numId="16">
    <w:abstractNumId w:val="8"/>
  </w:num>
  <w:num w:numId="17">
    <w:abstractNumId w:val="36"/>
  </w:num>
  <w:num w:numId="18">
    <w:abstractNumId w:val="27"/>
  </w:num>
  <w:num w:numId="19">
    <w:abstractNumId w:val="39"/>
  </w:num>
  <w:num w:numId="20">
    <w:abstractNumId w:val="37"/>
  </w:num>
  <w:num w:numId="21">
    <w:abstractNumId w:val="7"/>
  </w:num>
  <w:num w:numId="22">
    <w:abstractNumId w:val="33"/>
  </w:num>
  <w:num w:numId="23">
    <w:abstractNumId w:val="5"/>
  </w:num>
  <w:num w:numId="24">
    <w:abstractNumId w:val="11"/>
  </w:num>
  <w:num w:numId="25">
    <w:abstractNumId w:val="3"/>
  </w:num>
  <w:num w:numId="26">
    <w:abstractNumId w:val="9"/>
  </w:num>
  <w:num w:numId="27">
    <w:abstractNumId w:val="12"/>
  </w:num>
  <w:num w:numId="28">
    <w:abstractNumId w:val="26"/>
  </w:num>
  <w:num w:numId="29">
    <w:abstractNumId w:val="17"/>
  </w:num>
  <w:num w:numId="30">
    <w:abstractNumId w:val="23"/>
  </w:num>
  <w:num w:numId="31">
    <w:abstractNumId w:val="14"/>
  </w:num>
  <w:num w:numId="32">
    <w:abstractNumId w:val="30"/>
  </w:num>
  <w:num w:numId="33">
    <w:abstractNumId w:val="22"/>
  </w:num>
  <w:num w:numId="34">
    <w:abstractNumId w:val="10"/>
  </w:num>
  <w:num w:numId="35">
    <w:abstractNumId w:val="0"/>
  </w:num>
  <w:num w:numId="36">
    <w:abstractNumId w:val="1"/>
  </w:num>
  <w:num w:numId="37">
    <w:abstractNumId w:val="2"/>
  </w:num>
  <w:num w:numId="38">
    <w:abstractNumId w:val="15"/>
  </w:num>
  <w:num w:numId="39">
    <w:abstractNumId w:val="13"/>
  </w:num>
  <w:num w:numId="4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35E5"/>
    <w:rsid w:val="00004ADE"/>
    <w:rsid w:val="000050CA"/>
    <w:rsid w:val="00005283"/>
    <w:rsid w:val="00006BBD"/>
    <w:rsid w:val="00006F3E"/>
    <w:rsid w:val="00011C85"/>
    <w:rsid w:val="00011DB2"/>
    <w:rsid w:val="0001238B"/>
    <w:rsid w:val="000123D0"/>
    <w:rsid w:val="00012FF8"/>
    <w:rsid w:val="00013B63"/>
    <w:rsid w:val="00013DC8"/>
    <w:rsid w:val="00013F7F"/>
    <w:rsid w:val="000146E4"/>
    <w:rsid w:val="0002427F"/>
    <w:rsid w:val="00024DAE"/>
    <w:rsid w:val="00025234"/>
    <w:rsid w:val="000268A2"/>
    <w:rsid w:val="00026ABA"/>
    <w:rsid w:val="00030549"/>
    <w:rsid w:val="000306D1"/>
    <w:rsid w:val="000308A4"/>
    <w:rsid w:val="00030EF4"/>
    <w:rsid w:val="00031E39"/>
    <w:rsid w:val="000328B5"/>
    <w:rsid w:val="000330BE"/>
    <w:rsid w:val="00037F3C"/>
    <w:rsid w:val="00044740"/>
    <w:rsid w:val="00044FFD"/>
    <w:rsid w:val="0004561D"/>
    <w:rsid w:val="00045F8F"/>
    <w:rsid w:val="000506A9"/>
    <w:rsid w:val="00051479"/>
    <w:rsid w:val="00053629"/>
    <w:rsid w:val="000547E8"/>
    <w:rsid w:val="00056D1B"/>
    <w:rsid w:val="00057316"/>
    <w:rsid w:val="000603BA"/>
    <w:rsid w:val="00060FAB"/>
    <w:rsid w:val="000617F0"/>
    <w:rsid w:val="0006361A"/>
    <w:rsid w:val="0006658F"/>
    <w:rsid w:val="00074392"/>
    <w:rsid w:val="00076FC1"/>
    <w:rsid w:val="000773FF"/>
    <w:rsid w:val="000774DE"/>
    <w:rsid w:val="00080FF4"/>
    <w:rsid w:val="00081967"/>
    <w:rsid w:val="00081A19"/>
    <w:rsid w:val="0008234B"/>
    <w:rsid w:val="00082407"/>
    <w:rsid w:val="00082E00"/>
    <w:rsid w:val="00082F02"/>
    <w:rsid w:val="00084383"/>
    <w:rsid w:val="000870D2"/>
    <w:rsid w:val="0008744E"/>
    <w:rsid w:val="00090743"/>
    <w:rsid w:val="000923A7"/>
    <w:rsid w:val="00093F9F"/>
    <w:rsid w:val="000957E2"/>
    <w:rsid w:val="0009769D"/>
    <w:rsid w:val="00097C11"/>
    <w:rsid w:val="000A50BE"/>
    <w:rsid w:val="000B09B3"/>
    <w:rsid w:val="000B1A94"/>
    <w:rsid w:val="000B2229"/>
    <w:rsid w:val="000B584F"/>
    <w:rsid w:val="000B60E6"/>
    <w:rsid w:val="000B6782"/>
    <w:rsid w:val="000B7A13"/>
    <w:rsid w:val="000B7C06"/>
    <w:rsid w:val="000C10D9"/>
    <w:rsid w:val="000C1E77"/>
    <w:rsid w:val="000C1EF9"/>
    <w:rsid w:val="000C1F92"/>
    <w:rsid w:val="000C4C55"/>
    <w:rsid w:val="000C4C59"/>
    <w:rsid w:val="000C63C3"/>
    <w:rsid w:val="000C76A2"/>
    <w:rsid w:val="000D2BE3"/>
    <w:rsid w:val="000D3D2E"/>
    <w:rsid w:val="000D6F4A"/>
    <w:rsid w:val="000D7749"/>
    <w:rsid w:val="000E29BF"/>
    <w:rsid w:val="000E2BC4"/>
    <w:rsid w:val="000E4512"/>
    <w:rsid w:val="000E482F"/>
    <w:rsid w:val="000F0E6E"/>
    <w:rsid w:val="000F17AD"/>
    <w:rsid w:val="000F1A06"/>
    <w:rsid w:val="000F50D2"/>
    <w:rsid w:val="000F6145"/>
    <w:rsid w:val="000F730F"/>
    <w:rsid w:val="00101830"/>
    <w:rsid w:val="0010238C"/>
    <w:rsid w:val="0010426C"/>
    <w:rsid w:val="00104BB4"/>
    <w:rsid w:val="0010577B"/>
    <w:rsid w:val="00106D73"/>
    <w:rsid w:val="00110701"/>
    <w:rsid w:val="001108D8"/>
    <w:rsid w:val="00113711"/>
    <w:rsid w:val="00117924"/>
    <w:rsid w:val="0012179B"/>
    <w:rsid w:val="0012215F"/>
    <w:rsid w:val="0012341C"/>
    <w:rsid w:val="0012481D"/>
    <w:rsid w:val="00125860"/>
    <w:rsid w:val="00126D79"/>
    <w:rsid w:val="00127405"/>
    <w:rsid w:val="00130D17"/>
    <w:rsid w:val="00132A62"/>
    <w:rsid w:val="00132CF0"/>
    <w:rsid w:val="00134EF2"/>
    <w:rsid w:val="0013557C"/>
    <w:rsid w:val="001361B0"/>
    <w:rsid w:val="00140051"/>
    <w:rsid w:val="00140F8E"/>
    <w:rsid w:val="00141198"/>
    <w:rsid w:val="00151190"/>
    <w:rsid w:val="00151576"/>
    <w:rsid w:val="0015227A"/>
    <w:rsid w:val="00152CC6"/>
    <w:rsid w:val="0015317A"/>
    <w:rsid w:val="00153A67"/>
    <w:rsid w:val="00153D74"/>
    <w:rsid w:val="001549D6"/>
    <w:rsid w:val="00155992"/>
    <w:rsid w:val="00161214"/>
    <w:rsid w:val="00161858"/>
    <w:rsid w:val="00161BB5"/>
    <w:rsid w:val="00161F02"/>
    <w:rsid w:val="0016393C"/>
    <w:rsid w:val="0016602D"/>
    <w:rsid w:val="00166340"/>
    <w:rsid w:val="00167C81"/>
    <w:rsid w:val="00167D69"/>
    <w:rsid w:val="001704A9"/>
    <w:rsid w:val="00172823"/>
    <w:rsid w:val="00173F9E"/>
    <w:rsid w:val="00174002"/>
    <w:rsid w:val="00175951"/>
    <w:rsid w:val="00175B8A"/>
    <w:rsid w:val="00176E1E"/>
    <w:rsid w:val="00181E3D"/>
    <w:rsid w:val="00182694"/>
    <w:rsid w:val="00184228"/>
    <w:rsid w:val="00184497"/>
    <w:rsid w:val="001846DE"/>
    <w:rsid w:val="00190BD3"/>
    <w:rsid w:val="00192CCE"/>
    <w:rsid w:val="00197F60"/>
    <w:rsid w:val="001A0DD8"/>
    <w:rsid w:val="001A5516"/>
    <w:rsid w:val="001A56BA"/>
    <w:rsid w:val="001B1D2E"/>
    <w:rsid w:val="001B2027"/>
    <w:rsid w:val="001B21A6"/>
    <w:rsid w:val="001B2C35"/>
    <w:rsid w:val="001B3F1F"/>
    <w:rsid w:val="001B6C52"/>
    <w:rsid w:val="001B78FB"/>
    <w:rsid w:val="001C10FC"/>
    <w:rsid w:val="001C2411"/>
    <w:rsid w:val="001C25D2"/>
    <w:rsid w:val="001C31D7"/>
    <w:rsid w:val="001C3496"/>
    <w:rsid w:val="001C642C"/>
    <w:rsid w:val="001C77F5"/>
    <w:rsid w:val="001D0849"/>
    <w:rsid w:val="001D56A0"/>
    <w:rsid w:val="001D580E"/>
    <w:rsid w:val="001D637E"/>
    <w:rsid w:val="001E1F99"/>
    <w:rsid w:val="001E290A"/>
    <w:rsid w:val="001E2959"/>
    <w:rsid w:val="001E2B03"/>
    <w:rsid w:val="001E5567"/>
    <w:rsid w:val="001E655D"/>
    <w:rsid w:val="001E6C7A"/>
    <w:rsid w:val="001E6F98"/>
    <w:rsid w:val="001F1302"/>
    <w:rsid w:val="001F141F"/>
    <w:rsid w:val="001F15B9"/>
    <w:rsid w:val="001F28AE"/>
    <w:rsid w:val="001F3F27"/>
    <w:rsid w:val="002010BA"/>
    <w:rsid w:val="00205CC5"/>
    <w:rsid w:val="00206A95"/>
    <w:rsid w:val="00210197"/>
    <w:rsid w:val="0021273F"/>
    <w:rsid w:val="00213D98"/>
    <w:rsid w:val="00213F80"/>
    <w:rsid w:val="002150EB"/>
    <w:rsid w:val="00215434"/>
    <w:rsid w:val="00220350"/>
    <w:rsid w:val="002220B8"/>
    <w:rsid w:val="002271F4"/>
    <w:rsid w:val="00231742"/>
    <w:rsid w:val="00231744"/>
    <w:rsid w:val="002333F7"/>
    <w:rsid w:val="002349A7"/>
    <w:rsid w:val="002354F8"/>
    <w:rsid w:val="0023558E"/>
    <w:rsid w:val="002369D4"/>
    <w:rsid w:val="00237D10"/>
    <w:rsid w:val="00240781"/>
    <w:rsid w:val="00241BD0"/>
    <w:rsid w:val="002428C2"/>
    <w:rsid w:val="002436BD"/>
    <w:rsid w:val="00243858"/>
    <w:rsid w:val="00243943"/>
    <w:rsid w:val="00245EA8"/>
    <w:rsid w:val="00250B29"/>
    <w:rsid w:val="00250ED8"/>
    <w:rsid w:val="00251821"/>
    <w:rsid w:val="00262F26"/>
    <w:rsid w:val="002647F2"/>
    <w:rsid w:val="00265493"/>
    <w:rsid w:val="002657EE"/>
    <w:rsid w:val="002664BE"/>
    <w:rsid w:val="002679E3"/>
    <w:rsid w:val="00275840"/>
    <w:rsid w:val="00276EB2"/>
    <w:rsid w:val="00281330"/>
    <w:rsid w:val="002827C5"/>
    <w:rsid w:val="002827DF"/>
    <w:rsid w:val="0028326A"/>
    <w:rsid w:val="00284160"/>
    <w:rsid w:val="00284877"/>
    <w:rsid w:val="002864C7"/>
    <w:rsid w:val="00287F54"/>
    <w:rsid w:val="00293752"/>
    <w:rsid w:val="00295FBA"/>
    <w:rsid w:val="00296342"/>
    <w:rsid w:val="00297787"/>
    <w:rsid w:val="00297CBB"/>
    <w:rsid w:val="002A3474"/>
    <w:rsid w:val="002A3508"/>
    <w:rsid w:val="002A53EB"/>
    <w:rsid w:val="002A57D8"/>
    <w:rsid w:val="002A7175"/>
    <w:rsid w:val="002B2F38"/>
    <w:rsid w:val="002B4667"/>
    <w:rsid w:val="002B533E"/>
    <w:rsid w:val="002C0A4E"/>
    <w:rsid w:val="002C0F75"/>
    <w:rsid w:val="002C1D2C"/>
    <w:rsid w:val="002C52F7"/>
    <w:rsid w:val="002C6477"/>
    <w:rsid w:val="002D0817"/>
    <w:rsid w:val="002D1CA9"/>
    <w:rsid w:val="002D2371"/>
    <w:rsid w:val="002D3F3F"/>
    <w:rsid w:val="002D40B0"/>
    <w:rsid w:val="002D5F28"/>
    <w:rsid w:val="002E29E2"/>
    <w:rsid w:val="002E3A06"/>
    <w:rsid w:val="002E4502"/>
    <w:rsid w:val="002E60E7"/>
    <w:rsid w:val="002E637F"/>
    <w:rsid w:val="002E671F"/>
    <w:rsid w:val="002E79DE"/>
    <w:rsid w:val="002F2881"/>
    <w:rsid w:val="002F3ACA"/>
    <w:rsid w:val="002F55C5"/>
    <w:rsid w:val="00302956"/>
    <w:rsid w:val="00304C2B"/>
    <w:rsid w:val="00305B61"/>
    <w:rsid w:val="00306456"/>
    <w:rsid w:val="003075D0"/>
    <w:rsid w:val="0031059D"/>
    <w:rsid w:val="00312662"/>
    <w:rsid w:val="00312C64"/>
    <w:rsid w:val="00314A8E"/>
    <w:rsid w:val="00314B4A"/>
    <w:rsid w:val="00314FE7"/>
    <w:rsid w:val="00315629"/>
    <w:rsid w:val="00317241"/>
    <w:rsid w:val="00317B2C"/>
    <w:rsid w:val="003239B5"/>
    <w:rsid w:val="003240BF"/>
    <w:rsid w:val="00326AD5"/>
    <w:rsid w:val="00332523"/>
    <w:rsid w:val="003338EB"/>
    <w:rsid w:val="003363D6"/>
    <w:rsid w:val="00340937"/>
    <w:rsid w:val="00343657"/>
    <w:rsid w:val="003443EE"/>
    <w:rsid w:val="003508A2"/>
    <w:rsid w:val="003527BE"/>
    <w:rsid w:val="0035292F"/>
    <w:rsid w:val="003536E6"/>
    <w:rsid w:val="00354545"/>
    <w:rsid w:val="003546FB"/>
    <w:rsid w:val="00355858"/>
    <w:rsid w:val="00355AC1"/>
    <w:rsid w:val="0035608C"/>
    <w:rsid w:val="003627B6"/>
    <w:rsid w:val="00363E6B"/>
    <w:rsid w:val="00366070"/>
    <w:rsid w:val="00366DA8"/>
    <w:rsid w:val="003707CF"/>
    <w:rsid w:val="00371559"/>
    <w:rsid w:val="003719E5"/>
    <w:rsid w:val="003743F9"/>
    <w:rsid w:val="00374433"/>
    <w:rsid w:val="00374FC0"/>
    <w:rsid w:val="003750BC"/>
    <w:rsid w:val="00375469"/>
    <w:rsid w:val="0038018A"/>
    <w:rsid w:val="00380BE5"/>
    <w:rsid w:val="00381DFA"/>
    <w:rsid w:val="00384102"/>
    <w:rsid w:val="003848C3"/>
    <w:rsid w:val="00384974"/>
    <w:rsid w:val="00392C24"/>
    <w:rsid w:val="00393259"/>
    <w:rsid w:val="00393B7C"/>
    <w:rsid w:val="0039729C"/>
    <w:rsid w:val="003A33B6"/>
    <w:rsid w:val="003A424D"/>
    <w:rsid w:val="003A44D3"/>
    <w:rsid w:val="003A5359"/>
    <w:rsid w:val="003A629C"/>
    <w:rsid w:val="003A6E4F"/>
    <w:rsid w:val="003A72EF"/>
    <w:rsid w:val="003A7609"/>
    <w:rsid w:val="003B0A08"/>
    <w:rsid w:val="003B4272"/>
    <w:rsid w:val="003B4C02"/>
    <w:rsid w:val="003B6C1A"/>
    <w:rsid w:val="003B7DBA"/>
    <w:rsid w:val="003C05D7"/>
    <w:rsid w:val="003C346F"/>
    <w:rsid w:val="003C3AC6"/>
    <w:rsid w:val="003C598B"/>
    <w:rsid w:val="003C7F1D"/>
    <w:rsid w:val="003D59E6"/>
    <w:rsid w:val="003D6133"/>
    <w:rsid w:val="003D6AC5"/>
    <w:rsid w:val="003D6DE2"/>
    <w:rsid w:val="003E10EA"/>
    <w:rsid w:val="003E1B79"/>
    <w:rsid w:val="003E2486"/>
    <w:rsid w:val="003E3314"/>
    <w:rsid w:val="003E3EED"/>
    <w:rsid w:val="003E66CA"/>
    <w:rsid w:val="003E7CBB"/>
    <w:rsid w:val="003F136B"/>
    <w:rsid w:val="003F33F6"/>
    <w:rsid w:val="003F40AA"/>
    <w:rsid w:val="003F5E85"/>
    <w:rsid w:val="003F7586"/>
    <w:rsid w:val="00400BD4"/>
    <w:rsid w:val="004025ED"/>
    <w:rsid w:val="004034AE"/>
    <w:rsid w:val="00404F3A"/>
    <w:rsid w:val="00405135"/>
    <w:rsid w:val="00405E61"/>
    <w:rsid w:val="004065DF"/>
    <w:rsid w:val="00410473"/>
    <w:rsid w:val="004126E3"/>
    <w:rsid w:val="0041339D"/>
    <w:rsid w:val="00415136"/>
    <w:rsid w:val="00415145"/>
    <w:rsid w:val="0042042C"/>
    <w:rsid w:val="00423505"/>
    <w:rsid w:val="00426376"/>
    <w:rsid w:val="0042648E"/>
    <w:rsid w:val="004310B2"/>
    <w:rsid w:val="00431968"/>
    <w:rsid w:val="0043272D"/>
    <w:rsid w:val="00435847"/>
    <w:rsid w:val="00435A57"/>
    <w:rsid w:val="00440F3B"/>
    <w:rsid w:val="004430AE"/>
    <w:rsid w:val="0044350E"/>
    <w:rsid w:val="0044719C"/>
    <w:rsid w:val="0045221B"/>
    <w:rsid w:val="004528E2"/>
    <w:rsid w:val="00453A8D"/>
    <w:rsid w:val="0045464B"/>
    <w:rsid w:val="00455061"/>
    <w:rsid w:val="00455AE8"/>
    <w:rsid w:val="004571F6"/>
    <w:rsid w:val="004621C6"/>
    <w:rsid w:val="00462621"/>
    <w:rsid w:val="0046512F"/>
    <w:rsid w:val="00473471"/>
    <w:rsid w:val="00476218"/>
    <w:rsid w:val="0048050C"/>
    <w:rsid w:val="004876DE"/>
    <w:rsid w:val="004879C9"/>
    <w:rsid w:val="00490652"/>
    <w:rsid w:val="00491416"/>
    <w:rsid w:val="00491D4F"/>
    <w:rsid w:val="0049357A"/>
    <w:rsid w:val="00494108"/>
    <w:rsid w:val="00494147"/>
    <w:rsid w:val="00494E1C"/>
    <w:rsid w:val="00497A78"/>
    <w:rsid w:val="004A0161"/>
    <w:rsid w:val="004A068B"/>
    <w:rsid w:val="004A3211"/>
    <w:rsid w:val="004A3A09"/>
    <w:rsid w:val="004A6004"/>
    <w:rsid w:val="004B0FA2"/>
    <w:rsid w:val="004B6094"/>
    <w:rsid w:val="004B7AC6"/>
    <w:rsid w:val="004C57C0"/>
    <w:rsid w:val="004C7A94"/>
    <w:rsid w:val="004C7D6D"/>
    <w:rsid w:val="004D04AD"/>
    <w:rsid w:val="004D0991"/>
    <w:rsid w:val="004D7BA1"/>
    <w:rsid w:val="004E0180"/>
    <w:rsid w:val="004E09F7"/>
    <w:rsid w:val="004E38B8"/>
    <w:rsid w:val="004E405C"/>
    <w:rsid w:val="004E4571"/>
    <w:rsid w:val="004E54FE"/>
    <w:rsid w:val="004E5A05"/>
    <w:rsid w:val="004F087D"/>
    <w:rsid w:val="004F1801"/>
    <w:rsid w:val="004F33B9"/>
    <w:rsid w:val="004F4CC3"/>
    <w:rsid w:val="004F7D99"/>
    <w:rsid w:val="005011FC"/>
    <w:rsid w:val="00501F7C"/>
    <w:rsid w:val="0050337B"/>
    <w:rsid w:val="00503F29"/>
    <w:rsid w:val="00503FFB"/>
    <w:rsid w:val="00505794"/>
    <w:rsid w:val="005064EA"/>
    <w:rsid w:val="0051033F"/>
    <w:rsid w:val="005105CC"/>
    <w:rsid w:val="00510C47"/>
    <w:rsid w:val="00511338"/>
    <w:rsid w:val="005118CE"/>
    <w:rsid w:val="0051402D"/>
    <w:rsid w:val="005222ED"/>
    <w:rsid w:val="00525AF9"/>
    <w:rsid w:val="00532835"/>
    <w:rsid w:val="00532A35"/>
    <w:rsid w:val="00532A4D"/>
    <w:rsid w:val="0053325A"/>
    <w:rsid w:val="005344BC"/>
    <w:rsid w:val="0053509A"/>
    <w:rsid w:val="00535AD9"/>
    <w:rsid w:val="00537939"/>
    <w:rsid w:val="00540D4F"/>
    <w:rsid w:val="00543412"/>
    <w:rsid w:val="00544E30"/>
    <w:rsid w:val="005470B1"/>
    <w:rsid w:val="0055175E"/>
    <w:rsid w:val="0055307A"/>
    <w:rsid w:val="0055412A"/>
    <w:rsid w:val="005548C8"/>
    <w:rsid w:val="005570D0"/>
    <w:rsid w:val="00557BEE"/>
    <w:rsid w:val="005608CA"/>
    <w:rsid w:val="00560F6C"/>
    <w:rsid w:val="00562882"/>
    <w:rsid w:val="00571E65"/>
    <w:rsid w:val="0057318D"/>
    <w:rsid w:val="005742BB"/>
    <w:rsid w:val="005746EB"/>
    <w:rsid w:val="00575E88"/>
    <w:rsid w:val="00582D72"/>
    <w:rsid w:val="00583DAE"/>
    <w:rsid w:val="005846C6"/>
    <w:rsid w:val="005853F5"/>
    <w:rsid w:val="00587B5B"/>
    <w:rsid w:val="00587B71"/>
    <w:rsid w:val="005907FB"/>
    <w:rsid w:val="00590C8A"/>
    <w:rsid w:val="00595CBC"/>
    <w:rsid w:val="0059686E"/>
    <w:rsid w:val="005A29CC"/>
    <w:rsid w:val="005A3C66"/>
    <w:rsid w:val="005A41F3"/>
    <w:rsid w:val="005A5DC5"/>
    <w:rsid w:val="005A6300"/>
    <w:rsid w:val="005A6783"/>
    <w:rsid w:val="005A6D89"/>
    <w:rsid w:val="005A6E87"/>
    <w:rsid w:val="005B0708"/>
    <w:rsid w:val="005B49CF"/>
    <w:rsid w:val="005B5A90"/>
    <w:rsid w:val="005B6386"/>
    <w:rsid w:val="005C02F0"/>
    <w:rsid w:val="005C2172"/>
    <w:rsid w:val="005C3533"/>
    <w:rsid w:val="005C3C80"/>
    <w:rsid w:val="005C489E"/>
    <w:rsid w:val="005C5C5B"/>
    <w:rsid w:val="005C78B9"/>
    <w:rsid w:val="005D1A08"/>
    <w:rsid w:val="005D24D1"/>
    <w:rsid w:val="005D3322"/>
    <w:rsid w:val="005D5A2D"/>
    <w:rsid w:val="005D6813"/>
    <w:rsid w:val="005E00FD"/>
    <w:rsid w:val="005E0F23"/>
    <w:rsid w:val="005E1CAA"/>
    <w:rsid w:val="005E2984"/>
    <w:rsid w:val="005E2B27"/>
    <w:rsid w:val="005E2FB1"/>
    <w:rsid w:val="005E43F1"/>
    <w:rsid w:val="005E46D1"/>
    <w:rsid w:val="005E67BF"/>
    <w:rsid w:val="005E6ADA"/>
    <w:rsid w:val="005E763E"/>
    <w:rsid w:val="005F2E8F"/>
    <w:rsid w:val="005F34EC"/>
    <w:rsid w:val="005F373F"/>
    <w:rsid w:val="005F3C2B"/>
    <w:rsid w:val="005F4A35"/>
    <w:rsid w:val="00601144"/>
    <w:rsid w:val="00602AE6"/>
    <w:rsid w:val="00606111"/>
    <w:rsid w:val="006067AC"/>
    <w:rsid w:val="00611C2C"/>
    <w:rsid w:val="00613FD4"/>
    <w:rsid w:val="006141F2"/>
    <w:rsid w:val="0061521D"/>
    <w:rsid w:val="006177C4"/>
    <w:rsid w:val="00617986"/>
    <w:rsid w:val="00620AB2"/>
    <w:rsid w:val="00621443"/>
    <w:rsid w:val="00623ADA"/>
    <w:rsid w:val="00623C97"/>
    <w:rsid w:val="00624FBF"/>
    <w:rsid w:val="00625000"/>
    <w:rsid w:val="00626C39"/>
    <w:rsid w:val="00630652"/>
    <w:rsid w:val="006318D9"/>
    <w:rsid w:val="00631D66"/>
    <w:rsid w:val="00632C74"/>
    <w:rsid w:val="00633889"/>
    <w:rsid w:val="006366D9"/>
    <w:rsid w:val="0063683E"/>
    <w:rsid w:val="006374E3"/>
    <w:rsid w:val="006402F6"/>
    <w:rsid w:val="006422F8"/>
    <w:rsid w:val="00644A07"/>
    <w:rsid w:val="00650C5C"/>
    <w:rsid w:val="00650FF2"/>
    <w:rsid w:val="006536F6"/>
    <w:rsid w:val="00653B45"/>
    <w:rsid w:val="0065410C"/>
    <w:rsid w:val="0065411B"/>
    <w:rsid w:val="00655015"/>
    <w:rsid w:val="0065504D"/>
    <w:rsid w:val="00661981"/>
    <w:rsid w:val="00661C27"/>
    <w:rsid w:val="0066206D"/>
    <w:rsid w:val="00663A19"/>
    <w:rsid w:val="006640C9"/>
    <w:rsid w:val="00674B3E"/>
    <w:rsid w:val="00675694"/>
    <w:rsid w:val="00682D30"/>
    <w:rsid w:val="00691489"/>
    <w:rsid w:val="006926CA"/>
    <w:rsid w:val="00692C27"/>
    <w:rsid w:val="0069667E"/>
    <w:rsid w:val="006A4ED2"/>
    <w:rsid w:val="006A5234"/>
    <w:rsid w:val="006A5765"/>
    <w:rsid w:val="006A603F"/>
    <w:rsid w:val="006A6887"/>
    <w:rsid w:val="006A7730"/>
    <w:rsid w:val="006A792F"/>
    <w:rsid w:val="006B0FB8"/>
    <w:rsid w:val="006B11F9"/>
    <w:rsid w:val="006B20E1"/>
    <w:rsid w:val="006B2AA2"/>
    <w:rsid w:val="006B38F8"/>
    <w:rsid w:val="006B52DA"/>
    <w:rsid w:val="006B78D4"/>
    <w:rsid w:val="006C2FF9"/>
    <w:rsid w:val="006C34B4"/>
    <w:rsid w:val="006C47A8"/>
    <w:rsid w:val="006C4F53"/>
    <w:rsid w:val="006D01B6"/>
    <w:rsid w:val="006D2E4B"/>
    <w:rsid w:val="006D329F"/>
    <w:rsid w:val="006D3596"/>
    <w:rsid w:val="006D490D"/>
    <w:rsid w:val="006D4E3C"/>
    <w:rsid w:val="006D6E98"/>
    <w:rsid w:val="006E021A"/>
    <w:rsid w:val="006E36E9"/>
    <w:rsid w:val="006E3839"/>
    <w:rsid w:val="006E404F"/>
    <w:rsid w:val="006F047B"/>
    <w:rsid w:val="006F15FE"/>
    <w:rsid w:val="006F230E"/>
    <w:rsid w:val="006F3383"/>
    <w:rsid w:val="006F3C4A"/>
    <w:rsid w:val="006F4351"/>
    <w:rsid w:val="006F45D4"/>
    <w:rsid w:val="006F68FB"/>
    <w:rsid w:val="007010A5"/>
    <w:rsid w:val="00701A7E"/>
    <w:rsid w:val="00705F10"/>
    <w:rsid w:val="00706B96"/>
    <w:rsid w:val="00707A71"/>
    <w:rsid w:val="00707D2F"/>
    <w:rsid w:val="007119AC"/>
    <w:rsid w:val="00712124"/>
    <w:rsid w:val="00712497"/>
    <w:rsid w:val="00714049"/>
    <w:rsid w:val="00715132"/>
    <w:rsid w:val="0071718B"/>
    <w:rsid w:val="00720DAB"/>
    <w:rsid w:val="00720F47"/>
    <w:rsid w:val="007251CE"/>
    <w:rsid w:val="00725F7C"/>
    <w:rsid w:val="007268AE"/>
    <w:rsid w:val="00732063"/>
    <w:rsid w:val="00732ACF"/>
    <w:rsid w:val="00735997"/>
    <w:rsid w:val="0074182E"/>
    <w:rsid w:val="00742D6C"/>
    <w:rsid w:val="00746890"/>
    <w:rsid w:val="00750ABA"/>
    <w:rsid w:val="00751CF9"/>
    <w:rsid w:val="00753C18"/>
    <w:rsid w:val="00756DA5"/>
    <w:rsid w:val="00760B93"/>
    <w:rsid w:val="00761067"/>
    <w:rsid w:val="00764CC8"/>
    <w:rsid w:val="007662FC"/>
    <w:rsid w:val="00770227"/>
    <w:rsid w:val="00770B5A"/>
    <w:rsid w:val="007717D6"/>
    <w:rsid w:val="007749C6"/>
    <w:rsid w:val="00774B9A"/>
    <w:rsid w:val="00774FD2"/>
    <w:rsid w:val="00775A24"/>
    <w:rsid w:val="00780050"/>
    <w:rsid w:val="0078056C"/>
    <w:rsid w:val="00780FA2"/>
    <w:rsid w:val="00782EEC"/>
    <w:rsid w:val="00785D14"/>
    <w:rsid w:val="007861D7"/>
    <w:rsid w:val="007863A8"/>
    <w:rsid w:val="007872FB"/>
    <w:rsid w:val="007873A0"/>
    <w:rsid w:val="00791BB3"/>
    <w:rsid w:val="00792136"/>
    <w:rsid w:val="007922A4"/>
    <w:rsid w:val="0079235F"/>
    <w:rsid w:val="0079493B"/>
    <w:rsid w:val="0079607F"/>
    <w:rsid w:val="007A0156"/>
    <w:rsid w:val="007A1445"/>
    <w:rsid w:val="007A1AA3"/>
    <w:rsid w:val="007A1B5B"/>
    <w:rsid w:val="007A2195"/>
    <w:rsid w:val="007A46B8"/>
    <w:rsid w:val="007A4D05"/>
    <w:rsid w:val="007A5D50"/>
    <w:rsid w:val="007A681F"/>
    <w:rsid w:val="007A6FB3"/>
    <w:rsid w:val="007A71F2"/>
    <w:rsid w:val="007B0756"/>
    <w:rsid w:val="007B13A9"/>
    <w:rsid w:val="007B2F8D"/>
    <w:rsid w:val="007B5093"/>
    <w:rsid w:val="007B5E88"/>
    <w:rsid w:val="007C1219"/>
    <w:rsid w:val="007C333F"/>
    <w:rsid w:val="007C417D"/>
    <w:rsid w:val="007C4A8D"/>
    <w:rsid w:val="007C5B23"/>
    <w:rsid w:val="007C628F"/>
    <w:rsid w:val="007C6E22"/>
    <w:rsid w:val="007C736A"/>
    <w:rsid w:val="007D0633"/>
    <w:rsid w:val="007D1079"/>
    <w:rsid w:val="007D1788"/>
    <w:rsid w:val="007D25F0"/>
    <w:rsid w:val="007D3495"/>
    <w:rsid w:val="007D572C"/>
    <w:rsid w:val="007D7921"/>
    <w:rsid w:val="007E106D"/>
    <w:rsid w:val="007E14C8"/>
    <w:rsid w:val="007E26B2"/>
    <w:rsid w:val="007E3006"/>
    <w:rsid w:val="007E4ADD"/>
    <w:rsid w:val="007E4BDE"/>
    <w:rsid w:val="007E5232"/>
    <w:rsid w:val="007E716C"/>
    <w:rsid w:val="007E74A5"/>
    <w:rsid w:val="007E76C8"/>
    <w:rsid w:val="007F09C5"/>
    <w:rsid w:val="007F0F07"/>
    <w:rsid w:val="007F28CF"/>
    <w:rsid w:val="007F3F53"/>
    <w:rsid w:val="007F4425"/>
    <w:rsid w:val="007F78B8"/>
    <w:rsid w:val="0080089F"/>
    <w:rsid w:val="008046A4"/>
    <w:rsid w:val="0080487E"/>
    <w:rsid w:val="008068D2"/>
    <w:rsid w:val="00806D53"/>
    <w:rsid w:val="0081622E"/>
    <w:rsid w:val="008168B3"/>
    <w:rsid w:val="00816917"/>
    <w:rsid w:val="00817490"/>
    <w:rsid w:val="008176C8"/>
    <w:rsid w:val="0082352A"/>
    <w:rsid w:val="00823A53"/>
    <w:rsid w:val="0082732B"/>
    <w:rsid w:val="00831B63"/>
    <w:rsid w:val="00832361"/>
    <w:rsid w:val="00834280"/>
    <w:rsid w:val="00834BBD"/>
    <w:rsid w:val="00835F3F"/>
    <w:rsid w:val="008375F9"/>
    <w:rsid w:val="008476CF"/>
    <w:rsid w:val="0085195F"/>
    <w:rsid w:val="008530A9"/>
    <w:rsid w:val="0085450B"/>
    <w:rsid w:val="0085554C"/>
    <w:rsid w:val="008555AF"/>
    <w:rsid w:val="00855D3E"/>
    <w:rsid w:val="00857726"/>
    <w:rsid w:val="00857CBB"/>
    <w:rsid w:val="00857F39"/>
    <w:rsid w:val="00860711"/>
    <w:rsid w:val="00860AF1"/>
    <w:rsid w:val="008647A7"/>
    <w:rsid w:val="008656F2"/>
    <w:rsid w:val="008661FC"/>
    <w:rsid w:val="00867E81"/>
    <w:rsid w:val="008718DC"/>
    <w:rsid w:val="008726B7"/>
    <w:rsid w:val="00872C0E"/>
    <w:rsid w:val="00874340"/>
    <w:rsid w:val="00875209"/>
    <w:rsid w:val="00876E57"/>
    <w:rsid w:val="00876ECF"/>
    <w:rsid w:val="008778DB"/>
    <w:rsid w:val="00881149"/>
    <w:rsid w:val="008821CE"/>
    <w:rsid w:val="0088231B"/>
    <w:rsid w:val="00883DCF"/>
    <w:rsid w:val="00884892"/>
    <w:rsid w:val="00884F29"/>
    <w:rsid w:val="00885D41"/>
    <w:rsid w:val="008909B2"/>
    <w:rsid w:val="008916CB"/>
    <w:rsid w:val="00891DB7"/>
    <w:rsid w:val="00892CC4"/>
    <w:rsid w:val="008936AF"/>
    <w:rsid w:val="00893ED8"/>
    <w:rsid w:val="00896A4D"/>
    <w:rsid w:val="008A23FD"/>
    <w:rsid w:val="008A506F"/>
    <w:rsid w:val="008A6477"/>
    <w:rsid w:val="008A65CE"/>
    <w:rsid w:val="008A6C2C"/>
    <w:rsid w:val="008A7469"/>
    <w:rsid w:val="008A7F7E"/>
    <w:rsid w:val="008B065C"/>
    <w:rsid w:val="008B0D58"/>
    <w:rsid w:val="008B0FA1"/>
    <w:rsid w:val="008B13D8"/>
    <w:rsid w:val="008B24F3"/>
    <w:rsid w:val="008B2925"/>
    <w:rsid w:val="008B638A"/>
    <w:rsid w:val="008B7220"/>
    <w:rsid w:val="008C0332"/>
    <w:rsid w:val="008C0386"/>
    <w:rsid w:val="008C12C2"/>
    <w:rsid w:val="008C1349"/>
    <w:rsid w:val="008C14E9"/>
    <w:rsid w:val="008C3629"/>
    <w:rsid w:val="008C3E04"/>
    <w:rsid w:val="008C44E8"/>
    <w:rsid w:val="008C4D14"/>
    <w:rsid w:val="008C6F76"/>
    <w:rsid w:val="008C709F"/>
    <w:rsid w:val="008C73A0"/>
    <w:rsid w:val="008D0DB8"/>
    <w:rsid w:val="008D1FEA"/>
    <w:rsid w:val="008D2F76"/>
    <w:rsid w:val="008D4965"/>
    <w:rsid w:val="008D65E0"/>
    <w:rsid w:val="008E0536"/>
    <w:rsid w:val="008E06A6"/>
    <w:rsid w:val="008E0E3C"/>
    <w:rsid w:val="008E312D"/>
    <w:rsid w:val="008E5308"/>
    <w:rsid w:val="008E59FD"/>
    <w:rsid w:val="008E5F0F"/>
    <w:rsid w:val="008E682E"/>
    <w:rsid w:val="008E7A32"/>
    <w:rsid w:val="008E7BA2"/>
    <w:rsid w:val="008F1263"/>
    <w:rsid w:val="008F476C"/>
    <w:rsid w:val="008F755B"/>
    <w:rsid w:val="008F7BD0"/>
    <w:rsid w:val="008F7C92"/>
    <w:rsid w:val="009001D7"/>
    <w:rsid w:val="00901599"/>
    <w:rsid w:val="00901C11"/>
    <w:rsid w:val="00902E20"/>
    <w:rsid w:val="00905610"/>
    <w:rsid w:val="0091151E"/>
    <w:rsid w:val="009138B8"/>
    <w:rsid w:val="00913BAF"/>
    <w:rsid w:val="00914060"/>
    <w:rsid w:val="0092163E"/>
    <w:rsid w:val="0092267B"/>
    <w:rsid w:val="00922C6C"/>
    <w:rsid w:val="009301F4"/>
    <w:rsid w:val="00932C3E"/>
    <w:rsid w:val="009334FB"/>
    <w:rsid w:val="00945B83"/>
    <w:rsid w:val="009460E6"/>
    <w:rsid w:val="00946313"/>
    <w:rsid w:val="00946E31"/>
    <w:rsid w:val="009476DF"/>
    <w:rsid w:val="009479E0"/>
    <w:rsid w:val="00947F46"/>
    <w:rsid w:val="009505FF"/>
    <w:rsid w:val="0095303B"/>
    <w:rsid w:val="00953326"/>
    <w:rsid w:val="00954C16"/>
    <w:rsid w:val="00954F6D"/>
    <w:rsid w:val="00956893"/>
    <w:rsid w:val="009573E4"/>
    <w:rsid w:val="00962F7C"/>
    <w:rsid w:val="009644A5"/>
    <w:rsid w:val="0096462C"/>
    <w:rsid w:val="0096698B"/>
    <w:rsid w:val="00967849"/>
    <w:rsid w:val="00967EC0"/>
    <w:rsid w:val="00970364"/>
    <w:rsid w:val="00970945"/>
    <w:rsid w:val="00971071"/>
    <w:rsid w:val="00971804"/>
    <w:rsid w:val="00973AA4"/>
    <w:rsid w:val="00974566"/>
    <w:rsid w:val="00975614"/>
    <w:rsid w:val="00975980"/>
    <w:rsid w:val="00980988"/>
    <w:rsid w:val="009830F2"/>
    <w:rsid w:val="00987344"/>
    <w:rsid w:val="00987F45"/>
    <w:rsid w:val="009947A2"/>
    <w:rsid w:val="00996389"/>
    <w:rsid w:val="00996625"/>
    <w:rsid w:val="009A0592"/>
    <w:rsid w:val="009A0774"/>
    <w:rsid w:val="009A2993"/>
    <w:rsid w:val="009A5233"/>
    <w:rsid w:val="009A5FFD"/>
    <w:rsid w:val="009A7A05"/>
    <w:rsid w:val="009B092F"/>
    <w:rsid w:val="009B1D65"/>
    <w:rsid w:val="009B2030"/>
    <w:rsid w:val="009B394A"/>
    <w:rsid w:val="009B42B8"/>
    <w:rsid w:val="009B5CBB"/>
    <w:rsid w:val="009B7F00"/>
    <w:rsid w:val="009C121F"/>
    <w:rsid w:val="009C39B2"/>
    <w:rsid w:val="009C4337"/>
    <w:rsid w:val="009C4E56"/>
    <w:rsid w:val="009C4E67"/>
    <w:rsid w:val="009C51D0"/>
    <w:rsid w:val="009C6EEC"/>
    <w:rsid w:val="009D06E7"/>
    <w:rsid w:val="009D0ACB"/>
    <w:rsid w:val="009D465B"/>
    <w:rsid w:val="009D4BB9"/>
    <w:rsid w:val="009D58FD"/>
    <w:rsid w:val="009D789C"/>
    <w:rsid w:val="009E1CDD"/>
    <w:rsid w:val="009E638A"/>
    <w:rsid w:val="009E7102"/>
    <w:rsid w:val="009E7A74"/>
    <w:rsid w:val="009F3AD4"/>
    <w:rsid w:val="009F6408"/>
    <w:rsid w:val="009F6C1B"/>
    <w:rsid w:val="009F7218"/>
    <w:rsid w:val="00A0198D"/>
    <w:rsid w:val="00A03EC5"/>
    <w:rsid w:val="00A04503"/>
    <w:rsid w:val="00A052AB"/>
    <w:rsid w:val="00A07F18"/>
    <w:rsid w:val="00A11223"/>
    <w:rsid w:val="00A11360"/>
    <w:rsid w:val="00A12672"/>
    <w:rsid w:val="00A1279B"/>
    <w:rsid w:val="00A1394A"/>
    <w:rsid w:val="00A141AD"/>
    <w:rsid w:val="00A14255"/>
    <w:rsid w:val="00A14B8B"/>
    <w:rsid w:val="00A15A58"/>
    <w:rsid w:val="00A209ED"/>
    <w:rsid w:val="00A23FF8"/>
    <w:rsid w:val="00A2703A"/>
    <w:rsid w:val="00A33252"/>
    <w:rsid w:val="00A3599E"/>
    <w:rsid w:val="00A40A78"/>
    <w:rsid w:val="00A429ED"/>
    <w:rsid w:val="00A42BE3"/>
    <w:rsid w:val="00A439D4"/>
    <w:rsid w:val="00A4426E"/>
    <w:rsid w:val="00A456F8"/>
    <w:rsid w:val="00A45FD5"/>
    <w:rsid w:val="00A50ECD"/>
    <w:rsid w:val="00A51CD5"/>
    <w:rsid w:val="00A52B4C"/>
    <w:rsid w:val="00A53346"/>
    <w:rsid w:val="00A53E09"/>
    <w:rsid w:val="00A547F0"/>
    <w:rsid w:val="00A54E99"/>
    <w:rsid w:val="00A62AEC"/>
    <w:rsid w:val="00A6417D"/>
    <w:rsid w:val="00A64650"/>
    <w:rsid w:val="00A651DA"/>
    <w:rsid w:val="00A65F4B"/>
    <w:rsid w:val="00A66227"/>
    <w:rsid w:val="00A673DA"/>
    <w:rsid w:val="00A6758A"/>
    <w:rsid w:val="00A70D2D"/>
    <w:rsid w:val="00A722C1"/>
    <w:rsid w:val="00A73359"/>
    <w:rsid w:val="00A73CC7"/>
    <w:rsid w:val="00A73EEF"/>
    <w:rsid w:val="00A75B2C"/>
    <w:rsid w:val="00A7652A"/>
    <w:rsid w:val="00A77062"/>
    <w:rsid w:val="00A773E7"/>
    <w:rsid w:val="00A773E8"/>
    <w:rsid w:val="00A80823"/>
    <w:rsid w:val="00A824C6"/>
    <w:rsid w:val="00A8277B"/>
    <w:rsid w:val="00A831AD"/>
    <w:rsid w:val="00A84317"/>
    <w:rsid w:val="00A84B4A"/>
    <w:rsid w:val="00A85284"/>
    <w:rsid w:val="00A86B5D"/>
    <w:rsid w:val="00A87183"/>
    <w:rsid w:val="00A87341"/>
    <w:rsid w:val="00A87C3D"/>
    <w:rsid w:val="00A9063E"/>
    <w:rsid w:val="00A91A7D"/>
    <w:rsid w:val="00A91BDF"/>
    <w:rsid w:val="00A91FC2"/>
    <w:rsid w:val="00AA0068"/>
    <w:rsid w:val="00AA6691"/>
    <w:rsid w:val="00AA6DDC"/>
    <w:rsid w:val="00AB07D0"/>
    <w:rsid w:val="00AB500F"/>
    <w:rsid w:val="00AC0CAD"/>
    <w:rsid w:val="00AC2ABE"/>
    <w:rsid w:val="00AC5A4F"/>
    <w:rsid w:val="00AC7E71"/>
    <w:rsid w:val="00AD051D"/>
    <w:rsid w:val="00AD21C5"/>
    <w:rsid w:val="00AD494D"/>
    <w:rsid w:val="00AD57E0"/>
    <w:rsid w:val="00AD5D41"/>
    <w:rsid w:val="00AD630B"/>
    <w:rsid w:val="00AD788D"/>
    <w:rsid w:val="00AE2BBC"/>
    <w:rsid w:val="00AE2CB0"/>
    <w:rsid w:val="00AE7905"/>
    <w:rsid w:val="00AE7C62"/>
    <w:rsid w:val="00AF26E4"/>
    <w:rsid w:val="00AF2B28"/>
    <w:rsid w:val="00AF4525"/>
    <w:rsid w:val="00AF4D1C"/>
    <w:rsid w:val="00AF65F0"/>
    <w:rsid w:val="00B01100"/>
    <w:rsid w:val="00B01D6D"/>
    <w:rsid w:val="00B02088"/>
    <w:rsid w:val="00B03854"/>
    <w:rsid w:val="00B03E14"/>
    <w:rsid w:val="00B03F11"/>
    <w:rsid w:val="00B05541"/>
    <w:rsid w:val="00B0675E"/>
    <w:rsid w:val="00B10316"/>
    <w:rsid w:val="00B13B09"/>
    <w:rsid w:val="00B145F5"/>
    <w:rsid w:val="00B14ECE"/>
    <w:rsid w:val="00B15765"/>
    <w:rsid w:val="00B15DB9"/>
    <w:rsid w:val="00B171DE"/>
    <w:rsid w:val="00B27A12"/>
    <w:rsid w:val="00B373DA"/>
    <w:rsid w:val="00B37ED1"/>
    <w:rsid w:val="00B40496"/>
    <w:rsid w:val="00B42241"/>
    <w:rsid w:val="00B42B13"/>
    <w:rsid w:val="00B43E1F"/>
    <w:rsid w:val="00B44CC7"/>
    <w:rsid w:val="00B456D4"/>
    <w:rsid w:val="00B46667"/>
    <w:rsid w:val="00B500AD"/>
    <w:rsid w:val="00B50E50"/>
    <w:rsid w:val="00B517C7"/>
    <w:rsid w:val="00B52F11"/>
    <w:rsid w:val="00B531F0"/>
    <w:rsid w:val="00B53DC5"/>
    <w:rsid w:val="00B55C60"/>
    <w:rsid w:val="00B56C53"/>
    <w:rsid w:val="00B570F4"/>
    <w:rsid w:val="00B57207"/>
    <w:rsid w:val="00B5778B"/>
    <w:rsid w:val="00B5785D"/>
    <w:rsid w:val="00B57D50"/>
    <w:rsid w:val="00B6042A"/>
    <w:rsid w:val="00B61451"/>
    <w:rsid w:val="00B6532C"/>
    <w:rsid w:val="00B65E48"/>
    <w:rsid w:val="00B7443A"/>
    <w:rsid w:val="00B76CDF"/>
    <w:rsid w:val="00B76F15"/>
    <w:rsid w:val="00B771A8"/>
    <w:rsid w:val="00B80468"/>
    <w:rsid w:val="00B81917"/>
    <w:rsid w:val="00B8268E"/>
    <w:rsid w:val="00B82CA8"/>
    <w:rsid w:val="00B85DE6"/>
    <w:rsid w:val="00B93CC7"/>
    <w:rsid w:val="00B94CF7"/>
    <w:rsid w:val="00B9531C"/>
    <w:rsid w:val="00B95BFB"/>
    <w:rsid w:val="00B97E9B"/>
    <w:rsid w:val="00BA146A"/>
    <w:rsid w:val="00BA302B"/>
    <w:rsid w:val="00BB0391"/>
    <w:rsid w:val="00BB1AED"/>
    <w:rsid w:val="00BB3968"/>
    <w:rsid w:val="00BB54D4"/>
    <w:rsid w:val="00BB560C"/>
    <w:rsid w:val="00BB5D0E"/>
    <w:rsid w:val="00BB6FB0"/>
    <w:rsid w:val="00BB7B3E"/>
    <w:rsid w:val="00BB7FF6"/>
    <w:rsid w:val="00BC08FE"/>
    <w:rsid w:val="00BC164E"/>
    <w:rsid w:val="00BC1E6E"/>
    <w:rsid w:val="00BC2BD0"/>
    <w:rsid w:val="00BC35DC"/>
    <w:rsid w:val="00BD05C7"/>
    <w:rsid w:val="00BD0A70"/>
    <w:rsid w:val="00BD1DFE"/>
    <w:rsid w:val="00BD2810"/>
    <w:rsid w:val="00BD2AEA"/>
    <w:rsid w:val="00BD2CF4"/>
    <w:rsid w:val="00BD62F2"/>
    <w:rsid w:val="00BE15E1"/>
    <w:rsid w:val="00BE1A06"/>
    <w:rsid w:val="00BE38BD"/>
    <w:rsid w:val="00BF2366"/>
    <w:rsid w:val="00BF363E"/>
    <w:rsid w:val="00BF4547"/>
    <w:rsid w:val="00BF4A2A"/>
    <w:rsid w:val="00BF5D49"/>
    <w:rsid w:val="00BF7149"/>
    <w:rsid w:val="00BF7E9B"/>
    <w:rsid w:val="00C0014E"/>
    <w:rsid w:val="00C0516D"/>
    <w:rsid w:val="00C06AA4"/>
    <w:rsid w:val="00C07206"/>
    <w:rsid w:val="00C07811"/>
    <w:rsid w:val="00C07884"/>
    <w:rsid w:val="00C10701"/>
    <w:rsid w:val="00C12002"/>
    <w:rsid w:val="00C13CDA"/>
    <w:rsid w:val="00C150FB"/>
    <w:rsid w:val="00C1534B"/>
    <w:rsid w:val="00C1567E"/>
    <w:rsid w:val="00C162A4"/>
    <w:rsid w:val="00C1636F"/>
    <w:rsid w:val="00C2018B"/>
    <w:rsid w:val="00C21EF7"/>
    <w:rsid w:val="00C22914"/>
    <w:rsid w:val="00C26176"/>
    <w:rsid w:val="00C32089"/>
    <w:rsid w:val="00C3290D"/>
    <w:rsid w:val="00C33280"/>
    <w:rsid w:val="00C428C8"/>
    <w:rsid w:val="00C42D1E"/>
    <w:rsid w:val="00C4775F"/>
    <w:rsid w:val="00C47885"/>
    <w:rsid w:val="00C5206A"/>
    <w:rsid w:val="00C5491A"/>
    <w:rsid w:val="00C55551"/>
    <w:rsid w:val="00C61D1F"/>
    <w:rsid w:val="00C61FB8"/>
    <w:rsid w:val="00C639BD"/>
    <w:rsid w:val="00C639F5"/>
    <w:rsid w:val="00C64BF7"/>
    <w:rsid w:val="00C6659F"/>
    <w:rsid w:val="00C701D1"/>
    <w:rsid w:val="00C71E6F"/>
    <w:rsid w:val="00C75484"/>
    <w:rsid w:val="00C76516"/>
    <w:rsid w:val="00C765FB"/>
    <w:rsid w:val="00C76E27"/>
    <w:rsid w:val="00C80C0F"/>
    <w:rsid w:val="00C820F6"/>
    <w:rsid w:val="00C821C0"/>
    <w:rsid w:val="00C82C50"/>
    <w:rsid w:val="00C8368D"/>
    <w:rsid w:val="00C85DEE"/>
    <w:rsid w:val="00C875B8"/>
    <w:rsid w:val="00C87812"/>
    <w:rsid w:val="00C91D7B"/>
    <w:rsid w:val="00C9419C"/>
    <w:rsid w:val="00C95DA3"/>
    <w:rsid w:val="00C967B2"/>
    <w:rsid w:val="00C973EA"/>
    <w:rsid w:val="00CA384A"/>
    <w:rsid w:val="00CA5A87"/>
    <w:rsid w:val="00CA7603"/>
    <w:rsid w:val="00CB0E8D"/>
    <w:rsid w:val="00CB1DD8"/>
    <w:rsid w:val="00CB21A5"/>
    <w:rsid w:val="00CB2B9E"/>
    <w:rsid w:val="00CB31AD"/>
    <w:rsid w:val="00CB44AE"/>
    <w:rsid w:val="00CB507E"/>
    <w:rsid w:val="00CB6A7F"/>
    <w:rsid w:val="00CC33C7"/>
    <w:rsid w:val="00CC5405"/>
    <w:rsid w:val="00CC6F0B"/>
    <w:rsid w:val="00CD1D30"/>
    <w:rsid w:val="00CD4EF6"/>
    <w:rsid w:val="00CD6E84"/>
    <w:rsid w:val="00CD7BD2"/>
    <w:rsid w:val="00CE25FB"/>
    <w:rsid w:val="00CE630E"/>
    <w:rsid w:val="00CE74C8"/>
    <w:rsid w:val="00CF0BE4"/>
    <w:rsid w:val="00CF51C1"/>
    <w:rsid w:val="00CF581B"/>
    <w:rsid w:val="00CF732B"/>
    <w:rsid w:val="00CF765A"/>
    <w:rsid w:val="00D04230"/>
    <w:rsid w:val="00D0443C"/>
    <w:rsid w:val="00D0559B"/>
    <w:rsid w:val="00D05833"/>
    <w:rsid w:val="00D108D8"/>
    <w:rsid w:val="00D11573"/>
    <w:rsid w:val="00D11652"/>
    <w:rsid w:val="00D12BA7"/>
    <w:rsid w:val="00D13CC8"/>
    <w:rsid w:val="00D158E9"/>
    <w:rsid w:val="00D15ECF"/>
    <w:rsid w:val="00D17098"/>
    <w:rsid w:val="00D17CE2"/>
    <w:rsid w:val="00D223BC"/>
    <w:rsid w:val="00D2285B"/>
    <w:rsid w:val="00D22DAF"/>
    <w:rsid w:val="00D27365"/>
    <w:rsid w:val="00D302B2"/>
    <w:rsid w:val="00D313FE"/>
    <w:rsid w:val="00D34228"/>
    <w:rsid w:val="00D35B7B"/>
    <w:rsid w:val="00D37F88"/>
    <w:rsid w:val="00D40575"/>
    <w:rsid w:val="00D421CA"/>
    <w:rsid w:val="00D43C98"/>
    <w:rsid w:val="00D445A6"/>
    <w:rsid w:val="00D5024A"/>
    <w:rsid w:val="00D50569"/>
    <w:rsid w:val="00D506B4"/>
    <w:rsid w:val="00D514BC"/>
    <w:rsid w:val="00D522F5"/>
    <w:rsid w:val="00D52CB7"/>
    <w:rsid w:val="00D5397C"/>
    <w:rsid w:val="00D54080"/>
    <w:rsid w:val="00D54C78"/>
    <w:rsid w:val="00D5661B"/>
    <w:rsid w:val="00D57BB0"/>
    <w:rsid w:val="00D6227C"/>
    <w:rsid w:val="00D6565D"/>
    <w:rsid w:val="00D679DF"/>
    <w:rsid w:val="00D708F1"/>
    <w:rsid w:val="00D73132"/>
    <w:rsid w:val="00D73DEE"/>
    <w:rsid w:val="00D74138"/>
    <w:rsid w:val="00D74C9D"/>
    <w:rsid w:val="00D779C8"/>
    <w:rsid w:val="00D807AA"/>
    <w:rsid w:val="00D81158"/>
    <w:rsid w:val="00D82A6A"/>
    <w:rsid w:val="00D831C8"/>
    <w:rsid w:val="00D83D5B"/>
    <w:rsid w:val="00D842C7"/>
    <w:rsid w:val="00D860B6"/>
    <w:rsid w:val="00D87295"/>
    <w:rsid w:val="00D87908"/>
    <w:rsid w:val="00D92346"/>
    <w:rsid w:val="00D9263B"/>
    <w:rsid w:val="00D92975"/>
    <w:rsid w:val="00D94331"/>
    <w:rsid w:val="00D94BE1"/>
    <w:rsid w:val="00D95268"/>
    <w:rsid w:val="00D9681F"/>
    <w:rsid w:val="00D97C8F"/>
    <w:rsid w:val="00DA1C2C"/>
    <w:rsid w:val="00DA58D4"/>
    <w:rsid w:val="00DB0244"/>
    <w:rsid w:val="00DB146F"/>
    <w:rsid w:val="00DB1A69"/>
    <w:rsid w:val="00DB2804"/>
    <w:rsid w:val="00DB434E"/>
    <w:rsid w:val="00DB5524"/>
    <w:rsid w:val="00DB5ABC"/>
    <w:rsid w:val="00DC07E5"/>
    <w:rsid w:val="00DC10BA"/>
    <w:rsid w:val="00DC2079"/>
    <w:rsid w:val="00DC2967"/>
    <w:rsid w:val="00DC2DE8"/>
    <w:rsid w:val="00DC41D7"/>
    <w:rsid w:val="00DC4217"/>
    <w:rsid w:val="00DC43A1"/>
    <w:rsid w:val="00DC5C05"/>
    <w:rsid w:val="00DC70D1"/>
    <w:rsid w:val="00DD1020"/>
    <w:rsid w:val="00DD1350"/>
    <w:rsid w:val="00DD1FAA"/>
    <w:rsid w:val="00DD23C8"/>
    <w:rsid w:val="00DD4BA1"/>
    <w:rsid w:val="00DD6677"/>
    <w:rsid w:val="00DD71E0"/>
    <w:rsid w:val="00DE011B"/>
    <w:rsid w:val="00DE26BF"/>
    <w:rsid w:val="00DE296B"/>
    <w:rsid w:val="00DE2C9B"/>
    <w:rsid w:val="00DE3BA7"/>
    <w:rsid w:val="00DE3CF1"/>
    <w:rsid w:val="00DE523B"/>
    <w:rsid w:val="00DE5AB3"/>
    <w:rsid w:val="00DE6489"/>
    <w:rsid w:val="00DE6B19"/>
    <w:rsid w:val="00DE762F"/>
    <w:rsid w:val="00DE78BA"/>
    <w:rsid w:val="00DE7F30"/>
    <w:rsid w:val="00DF0E4C"/>
    <w:rsid w:val="00DF18AE"/>
    <w:rsid w:val="00DF3E8D"/>
    <w:rsid w:val="00DF3F64"/>
    <w:rsid w:val="00DF4D7E"/>
    <w:rsid w:val="00DF563B"/>
    <w:rsid w:val="00DF6280"/>
    <w:rsid w:val="00DF6FE8"/>
    <w:rsid w:val="00DF706F"/>
    <w:rsid w:val="00E00D62"/>
    <w:rsid w:val="00E00EB7"/>
    <w:rsid w:val="00E02D97"/>
    <w:rsid w:val="00E047BF"/>
    <w:rsid w:val="00E0731F"/>
    <w:rsid w:val="00E07D89"/>
    <w:rsid w:val="00E121C9"/>
    <w:rsid w:val="00E12B80"/>
    <w:rsid w:val="00E13394"/>
    <w:rsid w:val="00E146EF"/>
    <w:rsid w:val="00E14CD6"/>
    <w:rsid w:val="00E1760F"/>
    <w:rsid w:val="00E17947"/>
    <w:rsid w:val="00E17B97"/>
    <w:rsid w:val="00E20348"/>
    <w:rsid w:val="00E223C2"/>
    <w:rsid w:val="00E22578"/>
    <w:rsid w:val="00E229CA"/>
    <w:rsid w:val="00E2493B"/>
    <w:rsid w:val="00E25939"/>
    <w:rsid w:val="00E25FFD"/>
    <w:rsid w:val="00E26D4E"/>
    <w:rsid w:val="00E30220"/>
    <w:rsid w:val="00E33B36"/>
    <w:rsid w:val="00E374F1"/>
    <w:rsid w:val="00E40A36"/>
    <w:rsid w:val="00E41948"/>
    <w:rsid w:val="00E42285"/>
    <w:rsid w:val="00E422FD"/>
    <w:rsid w:val="00E423F9"/>
    <w:rsid w:val="00E42B9E"/>
    <w:rsid w:val="00E45175"/>
    <w:rsid w:val="00E47B60"/>
    <w:rsid w:val="00E506B7"/>
    <w:rsid w:val="00E50995"/>
    <w:rsid w:val="00E522F6"/>
    <w:rsid w:val="00E56BA1"/>
    <w:rsid w:val="00E62C8E"/>
    <w:rsid w:val="00E62DA6"/>
    <w:rsid w:val="00E645CF"/>
    <w:rsid w:val="00E6496D"/>
    <w:rsid w:val="00E669B0"/>
    <w:rsid w:val="00E70FDE"/>
    <w:rsid w:val="00E7277F"/>
    <w:rsid w:val="00E7362D"/>
    <w:rsid w:val="00E73F92"/>
    <w:rsid w:val="00E7438F"/>
    <w:rsid w:val="00E819B2"/>
    <w:rsid w:val="00E82E49"/>
    <w:rsid w:val="00E84585"/>
    <w:rsid w:val="00E84DF8"/>
    <w:rsid w:val="00E863D2"/>
    <w:rsid w:val="00E90191"/>
    <w:rsid w:val="00E91780"/>
    <w:rsid w:val="00E9345C"/>
    <w:rsid w:val="00E957F7"/>
    <w:rsid w:val="00E95D98"/>
    <w:rsid w:val="00E97D7A"/>
    <w:rsid w:val="00EA15BC"/>
    <w:rsid w:val="00EA23D3"/>
    <w:rsid w:val="00EA3E54"/>
    <w:rsid w:val="00EA5227"/>
    <w:rsid w:val="00EA586F"/>
    <w:rsid w:val="00EA6C52"/>
    <w:rsid w:val="00EA75C2"/>
    <w:rsid w:val="00EB0B1B"/>
    <w:rsid w:val="00EB1478"/>
    <w:rsid w:val="00EB1AB1"/>
    <w:rsid w:val="00EB3EF9"/>
    <w:rsid w:val="00EB5E82"/>
    <w:rsid w:val="00EB7852"/>
    <w:rsid w:val="00EB7F1C"/>
    <w:rsid w:val="00EC02B7"/>
    <w:rsid w:val="00EC0390"/>
    <w:rsid w:val="00EC0915"/>
    <w:rsid w:val="00EC0ECA"/>
    <w:rsid w:val="00EC176F"/>
    <w:rsid w:val="00EC471F"/>
    <w:rsid w:val="00EC4BF8"/>
    <w:rsid w:val="00EC6F94"/>
    <w:rsid w:val="00EC7D15"/>
    <w:rsid w:val="00ED09AC"/>
    <w:rsid w:val="00ED0A20"/>
    <w:rsid w:val="00ED1BFD"/>
    <w:rsid w:val="00ED37F0"/>
    <w:rsid w:val="00ED478A"/>
    <w:rsid w:val="00ED678E"/>
    <w:rsid w:val="00ED7569"/>
    <w:rsid w:val="00ED75CC"/>
    <w:rsid w:val="00ED7DB1"/>
    <w:rsid w:val="00EE212D"/>
    <w:rsid w:val="00EE2BAB"/>
    <w:rsid w:val="00EE39B7"/>
    <w:rsid w:val="00EE3BF9"/>
    <w:rsid w:val="00EE4157"/>
    <w:rsid w:val="00EE62C4"/>
    <w:rsid w:val="00EE6EA5"/>
    <w:rsid w:val="00EE7943"/>
    <w:rsid w:val="00EF3450"/>
    <w:rsid w:val="00EF358C"/>
    <w:rsid w:val="00EF41D7"/>
    <w:rsid w:val="00EF4E96"/>
    <w:rsid w:val="00EF6691"/>
    <w:rsid w:val="00F0263C"/>
    <w:rsid w:val="00F02B75"/>
    <w:rsid w:val="00F02D99"/>
    <w:rsid w:val="00F046A7"/>
    <w:rsid w:val="00F0471B"/>
    <w:rsid w:val="00F10718"/>
    <w:rsid w:val="00F1350C"/>
    <w:rsid w:val="00F14731"/>
    <w:rsid w:val="00F15875"/>
    <w:rsid w:val="00F16390"/>
    <w:rsid w:val="00F20AD6"/>
    <w:rsid w:val="00F22F09"/>
    <w:rsid w:val="00F23DF3"/>
    <w:rsid w:val="00F27765"/>
    <w:rsid w:val="00F27C8F"/>
    <w:rsid w:val="00F27E27"/>
    <w:rsid w:val="00F27F58"/>
    <w:rsid w:val="00F30901"/>
    <w:rsid w:val="00F30DA6"/>
    <w:rsid w:val="00F315DA"/>
    <w:rsid w:val="00F32CA0"/>
    <w:rsid w:val="00F33B36"/>
    <w:rsid w:val="00F35133"/>
    <w:rsid w:val="00F36122"/>
    <w:rsid w:val="00F36194"/>
    <w:rsid w:val="00F377A9"/>
    <w:rsid w:val="00F37840"/>
    <w:rsid w:val="00F417EE"/>
    <w:rsid w:val="00F42A58"/>
    <w:rsid w:val="00F4352C"/>
    <w:rsid w:val="00F455A2"/>
    <w:rsid w:val="00F47CE4"/>
    <w:rsid w:val="00F50BF1"/>
    <w:rsid w:val="00F52524"/>
    <w:rsid w:val="00F5311D"/>
    <w:rsid w:val="00F543F3"/>
    <w:rsid w:val="00F61A03"/>
    <w:rsid w:val="00F6666F"/>
    <w:rsid w:val="00F7018B"/>
    <w:rsid w:val="00F71104"/>
    <w:rsid w:val="00F74218"/>
    <w:rsid w:val="00F77518"/>
    <w:rsid w:val="00F80836"/>
    <w:rsid w:val="00F80B1C"/>
    <w:rsid w:val="00F83327"/>
    <w:rsid w:val="00F83B50"/>
    <w:rsid w:val="00F8456D"/>
    <w:rsid w:val="00F84D31"/>
    <w:rsid w:val="00F84E68"/>
    <w:rsid w:val="00F858A6"/>
    <w:rsid w:val="00F901BE"/>
    <w:rsid w:val="00F902C1"/>
    <w:rsid w:val="00F91D3D"/>
    <w:rsid w:val="00F92879"/>
    <w:rsid w:val="00F93DBD"/>
    <w:rsid w:val="00F94BC9"/>
    <w:rsid w:val="00F9773B"/>
    <w:rsid w:val="00FA074A"/>
    <w:rsid w:val="00FA1A88"/>
    <w:rsid w:val="00FA3029"/>
    <w:rsid w:val="00FA4942"/>
    <w:rsid w:val="00FA4AEA"/>
    <w:rsid w:val="00FA4F05"/>
    <w:rsid w:val="00FA55EB"/>
    <w:rsid w:val="00FA661A"/>
    <w:rsid w:val="00FA6E13"/>
    <w:rsid w:val="00FA7AD0"/>
    <w:rsid w:val="00FA7B36"/>
    <w:rsid w:val="00FB411C"/>
    <w:rsid w:val="00FB5491"/>
    <w:rsid w:val="00FB6576"/>
    <w:rsid w:val="00FC1585"/>
    <w:rsid w:val="00FC1779"/>
    <w:rsid w:val="00FC3F77"/>
    <w:rsid w:val="00FC5228"/>
    <w:rsid w:val="00FC652A"/>
    <w:rsid w:val="00FD11E7"/>
    <w:rsid w:val="00FD157C"/>
    <w:rsid w:val="00FD2B7E"/>
    <w:rsid w:val="00FD4A0A"/>
    <w:rsid w:val="00FD5DBA"/>
    <w:rsid w:val="00FE2F5F"/>
    <w:rsid w:val="00FE54B5"/>
    <w:rsid w:val="00FF4CC4"/>
    <w:rsid w:val="00FF616E"/>
    <w:rsid w:val="00FF62F2"/>
    <w:rsid w:val="00FF6A31"/>
    <w:rsid w:val="00FF7D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DC89"/>
  <w15:docId w15:val="{96B26A70-C37F-435B-8657-8FAF73FE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A2703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A2703A"/>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styleId="ListParagraph">
    <w:name w:val="List Paragraph"/>
    <w:basedOn w:val="Normal"/>
    <w:uiPriority w:val="1"/>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paragraph" w:styleId="NoSpacing">
    <w:name w:val="No Spacing"/>
    <w:uiPriority w:val="1"/>
    <w:qFormat/>
    <w:rsid w:val="00B456D4"/>
    <w:rPr>
      <w:rFonts w:ascii="Calibri" w:eastAsia="Calibri" w:hAnsi="Calibri"/>
      <w:sz w:val="22"/>
      <w:szCs w:val="22"/>
      <w:lang w:val="en-US" w:eastAsia="en-US"/>
    </w:rPr>
  </w:style>
  <w:style w:type="character" w:customStyle="1" w:styleId="apple-converted-space">
    <w:name w:val="apple-converted-space"/>
    <w:rsid w:val="00EA75C2"/>
  </w:style>
  <w:style w:type="paragraph" w:customStyle="1" w:styleId="Numreratstycke2">
    <w:name w:val="Numrerat stycke 2"/>
    <w:basedOn w:val="Normal"/>
    <w:autoRedefine/>
    <w:rsid w:val="003D6DE2"/>
    <w:pPr>
      <w:numPr>
        <w:numId w:val="39"/>
      </w:numPr>
      <w:tabs>
        <w:tab w:val="left" w:pos="540"/>
        <w:tab w:val="left" w:pos="720"/>
      </w:tabs>
      <w:suppressAutoHyphens w:val="0"/>
      <w:spacing w:before="360" w:after="360" w:line="320" w:lineRule="exact"/>
      <w:ind w:right="-96"/>
      <w:jc w:val="both"/>
    </w:pPr>
    <w:rPr>
      <w:rFonts w:ascii="Garamond" w:hAnsi="Garamond" w:cs="Arial"/>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4655">
      <w:bodyDiv w:val="1"/>
      <w:marLeft w:val="0"/>
      <w:marRight w:val="0"/>
      <w:marTop w:val="0"/>
      <w:marBottom w:val="0"/>
      <w:divBdr>
        <w:top w:val="none" w:sz="0" w:space="0" w:color="auto"/>
        <w:left w:val="none" w:sz="0" w:space="0" w:color="auto"/>
        <w:bottom w:val="none" w:sz="0" w:space="0" w:color="auto"/>
        <w:right w:val="none" w:sz="0" w:space="0" w:color="auto"/>
      </w:divBdr>
    </w:div>
    <w:div w:id="127477160">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54588609">
      <w:bodyDiv w:val="1"/>
      <w:marLeft w:val="0"/>
      <w:marRight w:val="0"/>
      <w:marTop w:val="0"/>
      <w:marBottom w:val="0"/>
      <w:divBdr>
        <w:top w:val="none" w:sz="0" w:space="0" w:color="auto"/>
        <w:left w:val="none" w:sz="0" w:space="0" w:color="auto"/>
        <w:bottom w:val="none" w:sz="0" w:space="0" w:color="auto"/>
        <w:right w:val="none" w:sz="0" w:space="0" w:color="auto"/>
      </w:divBdr>
    </w:div>
    <w:div w:id="775753297">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3348">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41604">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manskligarattigheter.se/sv/manskliga-rattigheter-i-varlden/ud-s-rapporter-om-manskliga-rattigheter/europa-och-centralasien?c=Ryssland" TargetMode="External"/><Relationship Id="rId1" Type="http://schemas.openxmlformats.org/officeDocument/2006/relationships/hyperlink" Target="file:///C:\Users\Theodora.krumova\AppData\Local\Temp\notes461571\www.manskligarattigheter.se\sv\manskliga-rattigheter-i-varlden\ud-s-rappo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3360-8855-4B56-86FD-C21D54F9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7998</Words>
  <Characters>45589</Characters>
  <Application>Microsoft Office Word</Application>
  <DocSecurity>0</DocSecurity>
  <Lines>379</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53481</CharactersWithSpaces>
  <SharedDoc>false</SharedDoc>
  <HLinks>
    <vt:vector size="12" baseType="variant">
      <vt:variant>
        <vt:i4>786500</vt:i4>
      </vt:variant>
      <vt:variant>
        <vt:i4>3</vt:i4>
      </vt:variant>
      <vt:variant>
        <vt:i4>0</vt:i4>
      </vt:variant>
      <vt:variant>
        <vt:i4>5</vt:i4>
      </vt:variant>
      <vt:variant>
        <vt:lpwstr>http://www.manskligarattigheter.se/sv/manskliga-rattigheter-i-varlden/ud-s-rapporter-om-manskliga-rattigheter/europa-och-centralasien?c=Ryssland</vt:lpwstr>
      </vt:variant>
      <vt:variant>
        <vt:lpwstr/>
      </vt:variant>
      <vt:variant>
        <vt:i4>5439511</vt:i4>
      </vt:variant>
      <vt:variant>
        <vt:i4>0</vt:i4>
      </vt:variant>
      <vt:variant>
        <vt:i4>0</vt:i4>
      </vt:variant>
      <vt:variant>
        <vt:i4>5</vt:i4>
      </vt:variant>
      <vt:variant>
        <vt:lpwstr>http://www.manskligarattigheter.se/sv/manskliga-rattigheter-i-varlden/ud-s-rapporter-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2015-10-22T10:43:00Z</cp:lastPrinted>
  <dcterms:created xsi:type="dcterms:W3CDTF">2017-01-25T01:05:00Z</dcterms:created>
  <dcterms:modified xsi:type="dcterms:W3CDTF">2017-01-25T01:05:00Z</dcterms:modified>
</cp:coreProperties>
</file>