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RPr="001814FB">
        <w:trPr>
          <w:trHeight w:hRule="exact" w:val="851"/>
        </w:trPr>
        <w:tc>
          <w:tcPr>
            <w:tcW w:w="1276" w:type="dxa"/>
            <w:tcBorders>
              <w:bottom w:val="single" w:sz="4" w:space="0" w:color="auto"/>
            </w:tcBorders>
            <w:vAlign w:val="bottom"/>
          </w:tcPr>
          <w:p w:rsidR="00B56E9C" w:rsidRPr="00044076" w:rsidRDefault="00B56E9C" w:rsidP="00B6553F">
            <w:pPr>
              <w:spacing w:after="80"/>
            </w:pPr>
            <w:bookmarkStart w:id="0" w:name="_GoBack"/>
            <w:bookmarkEnd w:id="0"/>
          </w:p>
        </w:tc>
        <w:tc>
          <w:tcPr>
            <w:tcW w:w="1985" w:type="dxa"/>
            <w:tcBorders>
              <w:bottom w:val="single" w:sz="4" w:space="0" w:color="auto"/>
            </w:tcBorders>
            <w:vAlign w:val="bottom"/>
          </w:tcPr>
          <w:p w:rsidR="00B56E9C" w:rsidRPr="00DF23DE" w:rsidRDefault="005D5AC7" w:rsidP="00B6553F">
            <w:pPr>
              <w:spacing w:after="80" w:line="300" w:lineRule="exact"/>
              <w:rPr>
                <w:b/>
                <w:sz w:val="24"/>
                <w:szCs w:val="24"/>
              </w:rPr>
            </w:pPr>
            <w:r w:rsidRPr="00DF23DE">
              <w:rPr>
                <w:sz w:val="28"/>
                <w:szCs w:val="28"/>
              </w:rPr>
              <w:t>United Nations</w:t>
            </w:r>
          </w:p>
        </w:tc>
        <w:tc>
          <w:tcPr>
            <w:tcW w:w="6378" w:type="dxa"/>
            <w:gridSpan w:val="2"/>
            <w:tcBorders>
              <w:bottom w:val="single" w:sz="4" w:space="0" w:color="auto"/>
            </w:tcBorders>
            <w:vAlign w:val="bottom"/>
          </w:tcPr>
          <w:p w:rsidR="00B56E9C" w:rsidRPr="001814FB" w:rsidRDefault="00785A61" w:rsidP="00012013">
            <w:pPr>
              <w:jc w:val="right"/>
              <w:rPr>
                <w:lang w:val="en-US"/>
              </w:rPr>
            </w:pPr>
            <w:r w:rsidRPr="001814FB">
              <w:rPr>
                <w:sz w:val="40"/>
                <w:lang w:val="en-US"/>
              </w:rPr>
              <w:t>CAT</w:t>
            </w:r>
            <w:r w:rsidRPr="001814FB">
              <w:rPr>
                <w:lang w:val="en-US"/>
              </w:rPr>
              <w:t>/C/</w:t>
            </w:r>
            <w:r w:rsidR="000360C6" w:rsidRPr="001814FB">
              <w:rPr>
                <w:lang w:val="en-US"/>
              </w:rPr>
              <w:t>5</w:t>
            </w:r>
            <w:r w:rsidR="00BA0717">
              <w:rPr>
                <w:lang w:val="en-US"/>
              </w:rPr>
              <w:t>8</w:t>
            </w:r>
            <w:r w:rsidRPr="001814FB">
              <w:rPr>
                <w:lang w:val="en-US"/>
              </w:rPr>
              <w:t>/</w:t>
            </w:r>
            <w:r w:rsidR="0026218D" w:rsidRPr="001814FB">
              <w:rPr>
                <w:lang w:val="en-US"/>
              </w:rPr>
              <w:t>D</w:t>
            </w:r>
            <w:r w:rsidR="000077B8" w:rsidRPr="001814FB">
              <w:rPr>
                <w:lang w:val="en-US"/>
              </w:rPr>
              <w:t>/</w:t>
            </w:r>
            <w:r w:rsidR="00BA0717">
              <w:rPr>
                <w:lang w:val="en-US"/>
              </w:rPr>
              <w:t>616</w:t>
            </w:r>
            <w:r w:rsidRPr="001814FB">
              <w:rPr>
                <w:lang w:val="en-US"/>
              </w:rPr>
              <w:t>/</w:t>
            </w:r>
            <w:r w:rsidR="00BA0717">
              <w:rPr>
                <w:lang w:val="en-US"/>
              </w:rPr>
              <w:t>2014</w:t>
            </w:r>
          </w:p>
        </w:tc>
      </w:tr>
      <w:tr w:rsidR="00B56E9C" w:rsidRPr="00DF23DE">
        <w:trPr>
          <w:cantSplit/>
          <w:trHeight w:hRule="exact" w:val="2835"/>
        </w:trPr>
        <w:tc>
          <w:tcPr>
            <w:tcW w:w="1276" w:type="dxa"/>
            <w:tcBorders>
              <w:top w:val="single" w:sz="4" w:space="0" w:color="auto"/>
              <w:bottom w:val="single" w:sz="12" w:space="0" w:color="auto"/>
            </w:tcBorders>
          </w:tcPr>
          <w:p w:rsidR="00B56E9C" w:rsidRPr="00DF23DE" w:rsidRDefault="00EF1331" w:rsidP="00B6553F">
            <w:pPr>
              <w:spacing w:before="120"/>
            </w:pPr>
            <w:r>
              <w:rPr>
                <w:noProof/>
                <w:lang w:val="en-US"/>
              </w:rPr>
              <w:drawing>
                <wp:inline distT="0" distB="0" distL="0" distR="0" wp14:anchorId="3DCF0D65" wp14:editId="4B41ABF0">
                  <wp:extent cx="714375" cy="590550"/>
                  <wp:effectExtent l="0" t="0" r="9525"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DF23DE" w:rsidRDefault="005D5AC7" w:rsidP="00267F5F">
            <w:pPr>
              <w:spacing w:before="120" w:line="380" w:lineRule="exact"/>
              <w:rPr>
                <w:sz w:val="34"/>
              </w:rPr>
            </w:pPr>
            <w:r w:rsidRPr="00DF23DE">
              <w:rPr>
                <w:b/>
                <w:sz w:val="34"/>
                <w:szCs w:val="34"/>
              </w:rPr>
              <w:t>Convention against Torture</w:t>
            </w:r>
            <w:r w:rsidRPr="00DF23DE">
              <w:rPr>
                <w:b/>
                <w:sz w:val="34"/>
                <w:szCs w:val="34"/>
              </w:rPr>
              <w:br/>
              <w:t>and Other Cruel, Inhuman or Degrading Treatment</w:t>
            </w:r>
            <w:r w:rsidRPr="00DF23DE">
              <w:rPr>
                <w:b/>
                <w:sz w:val="34"/>
                <w:szCs w:val="34"/>
              </w:rPr>
              <w:br/>
              <w:t>or Punishment</w:t>
            </w:r>
          </w:p>
        </w:tc>
        <w:tc>
          <w:tcPr>
            <w:tcW w:w="2835" w:type="dxa"/>
            <w:tcBorders>
              <w:top w:val="single" w:sz="4" w:space="0" w:color="auto"/>
              <w:bottom w:val="single" w:sz="12" w:space="0" w:color="auto"/>
            </w:tcBorders>
          </w:tcPr>
          <w:p w:rsidR="00AD2038" w:rsidRPr="00DF23DE" w:rsidRDefault="00785A61" w:rsidP="00B02F55">
            <w:pPr>
              <w:suppressAutoHyphens w:val="0"/>
              <w:spacing w:before="240" w:line="240" w:lineRule="exact"/>
            </w:pPr>
            <w:r w:rsidRPr="00DF23DE">
              <w:t xml:space="preserve">Distr.: </w:t>
            </w:r>
            <w:r w:rsidR="00012013">
              <w:t>General</w:t>
            </w:r>
          </w:p>
          <w:p w:rsidR="00785A61" w:rsidRPr="00BA0717" w:rsidRDefault="00E153C2" w:rsidP="00E153C2">
            <w:pPr>
              <w:spacing w:line="240" w:lineRule="exact"/>
            </w:pPr>
            <w:r>
              <w:t>1</w:t>
            </w:r>
            <w:r w:rsidR="00D31534">
              <w:t>9</w:t>
            </w:r>
            <w:r w:rsidR="0002205D">
              <w:t xml:space="preserve"> September 2016</w:t>
            </w:r>
          </w:p>
          <w:p w:rsidR="00785A61" w:rsidRPr="00DF23DE" w:rsidRDefault="00785A61" w:rsidP="00785A61">
            <w:pPr>
              <w:spacing w:line="240" w:lineRule="exact"/>
            </w:pPr>
          </w:p>
          <w:p w:rsidR="00B56E9C" w:rsidRDefault="00785A61" w:rsidP="00785A61">
            <w:pPr>
              <w:spacing w:line="240" w:lineRule="exact"/>
            </w:pPr>
            <w:r w:rsidRPr="00DF23DE">
              <w:t>Original: English</w:t>
            </w:r>
          </w:p>
          <w:p w:rsidR="00991F66" w:rsidRPr="00DF23DE" w:rsidRDefault="00991F66" w:rsidP="00EF1331">
            <w:pPr>
              <w:spacing w:line="240" w:lineRule="exact"/>
            </w:pPr>
          </w:p>
        </w:tc>
      </w:tr>
    </w:tbl>
    <w:p w:rsidR="006C3521" w:rsidRDefault="006C3521" w:rsidP="006C3521">
      <w:pPr>
        <w:spacing w:before="120"/>
        <w:rPr>
          <w:b/>
          <w:sz w:val="24"/>
          <w:szCs w:val="24"/>
        </w:rPr>
      </w:pPr>
      <w:r w:rsidRPr="00DF23DE">
        <w:rPr>
          <w:b/>
          <w:sz w:val="24"/>
          <w:szCs w:val="24"/>
        </w:rPr>
        <w:t>Committee against Torture</w:t>
      </w:r>
    </w:p>
    <w:p w:rsidR="00CA2056" w:rsidRPr="00623C97" w:rsidRDefault="001275E2" w:rsidP="00352A13">
      <w:pPr>
        <w:pStyle w:val="HChG"/>
        <w:rPr>
          <w:vertAlign w:val="superscript"/>
        </w:rPr>
      </w:pPr>
      <w:r w:rsidRPr="00DF23DE">
        <w:rPr>
          <w:snapToGrid w:val="0"/>
        </w:rPr>
        <w:tab/>
      </w:r>
      <w:r w:rsidR="004C7ED7" w:rsidRPr="00DF23DE">
        <w:rPr>
          <w:snapToGrid w:val="0"/>
        </w:rPr>
        <w:tab/>
      </w:r>
      <w:r w:rsidR="000D1025" w:rsidRPr="00352A13">
        <w:t>Decision adopted by the Committee under article 22 (7) of the Convention, concerning c</w:t>
      </w:r>
      <w:r w:rsidR="00CA2056" w:rsidRPr="00352A13">
        <w:t>ommunication No. 616/</w:t>
      </w:r>
      <w:r w:rsidR="00173B00" w:rsidRPr="00352A13">
        <w:t>2014</w:t>
      </w:r>
      <w:r w:rsidR="000D1025" w:rsidRPr="00352A13">
        <w:rPr>
          <w:rStyle w:val="FootnoteReference"/>
          <w:b w:val="0"/>
          <w:sz w:val="20"/>
          <w:szCs w:val="28"/>
          <w:vertAlign w:val="baseline"/>
        </w:rPr>
        <w:footnoteReference w:customMarkFollows="1" w:id="2"/>
        <w:t>*</w:t>
      </w:r>
      <w:r w:rsidR="000D1025" w:rsidRPr="00352A13">
        <w:rPr>
          <w:b w:val="0"/>
          <w:bCs/>
          <w:position w:val="4"/>
          <w:sz w:val="20"/>
          <w:szCs w:val="28"/>
        </w:rPr>
        <w:t>,</w:t>
      </w:r>
      <w:r w:rsidR="000D1025" w:rsidRPr="00352A13">
        <w:rPr>
          <w:b w:val="0"/>
          <w:bCs/>
          <w:sz w:val="20"/>
          <w:szCs w:val="28"/>
        </w:rPr>
        <w:t xml:space="preserve"> </w:t>
      </w:r>
      <w:r w:rsidR="000D1025" w:rsidRPr="00352A13">
        <w:rPr>
          <w:rStyle w:val="FootnoteReference"/>
          <w:b w:val="0"/>
          <w:sz w:val="20"/>
          <w:szCs w:val="28"/>
          <w:vertAlign w:val="baseline"/>
        </w:rPr>
        <w:footnoteReference w:customMarkFollows="1" w:id="3"/>
        <w:t>**</w:t>
      </w:r>
      <w:r w:rsidR="00B05081">
        <w:rPr>
          <w:b w:val="0"/>
          <w:sz w:val="20"/>
          <w:szCs w:val="28"/>
        </w:rPr>
        <w:t xml:space="preserve"> </w:t>
      </w:r>
    </w:p>
    <w:tbl>
      <w:tblPr>
        <w:tblW w:w="0" w:type="auto"/>
        <w:tblInd w:w="1200" w:type="dxa"/>
        <w:tblLayout w:type="fixed"/>
        <w:tblCellMar>
          <w:left w:w="0" w:type="dxa"/>
          <w:right w:w="0" w:type="dxa"/>
        </w:tblCellMar>
        <w:tblLook w:val="01E0" w:firstRow="1" w:lastRow="1" w:firstColumn="1" w:lastColumn="1" w:noHBand="0" w:noVBand="0"/>
      </w:tblPr>
      <w:tblGrid>
        <w:gridCol w:w="3402"/>
        <w:gridCol w:w="3969"/>
      </w:tblGrid>
      <w:tr w:rsidR="00AD2038" w:rsidRPr="00DF23DE" w:rsidTr="00352A13">
        <w:tc>
          <w:tcPr>
            <w:tcW w:w="3402" w:type="dxa"/>
          </w:tcPr>
          <w:p w:rsidR="00AD2038" w:rsidRPr="00DF23DE" w:rsidRDefault="00DB7144" w:rsidP="00140DFF">
            <w:pPr>
              <w:pStyle w:val="SingleTxtG"/>
              <w:ind w:left="0" w:right="0"/>
              <w:jc w:val="left"/>
              <w:rPr>
                <w:i/>
              </w:rPr>
            </w:pPr>
            <w:r>
              <w:rPr>
                <w:i/>
              </w:rPr>
              <w:t>Communication s</w:t>
            </w:r>
            <w:r w:rsidR="00AD2038" w:rsidRPr="00DF23DE">
              <w:rPr>
                <w:i/>
              </w:rPr>
              <w:t>ubmitted by:</w:t>
            </w:r>
          </w:p>
        </w:tc>
        <w:tc>
          <w:tcPr>
            <w:tcW w:w="3969" w:type="dxa"/>
          </w:tcPr>
          <w:p w:rsidR="00AD2038" w:rsidRPr="00DF23DE" w:rsidRDefault="00BA0717" w:rsidP="00352A13">
            <w:pPr>
              <w:pStyle w:val="SingleTxtG"/>
              <w:ind w:left="0" w:right="0"/>
              <w:jc w:val="left"/>
            </w:pPr>
            <w:r>
              <w:t>J</w:t>
            </w:r>
            <w:r w:rsidR="00C26164">
              <w:t>.</w:t>
            </w:r>
            <w:r>
              <w:t>I</w:t>
            </w:r>
            <w:r w:rsidR="00C26164">
              <w:t>.</w:t>
            </w:r>
            <w:r w:rsidR="00FF118F" w:rsidRPr="00DF23DE">
              <w:t xml:space="preserve"> (represented by counsel, </w:t>
            </w:r>
            <w:r>
              <w:t>Johan Lagerfeld</w:t>
            </w:r>
            <w:r w:rsidR="00FF118F" w:rsidRPr="00DF23DE">
              <w:t>)</w:t>
            </w:r>
          </w:p>
        </w:tc>
      </w:tr>
      <w:tr w:rsidR="00AD2038" w:rsidRPr="00DF23DE" w:rsidTr="00352A13">
        <w:tc>
          <w:tcPr>
            <w:tcW w:w="3402" w:type="dxa"/>
          </w:tcPr>
          <w:p w:rsidR="00AD2038" w:rsidRPr="00DF23DE" w:rsidRDefault="00AD2038" w:rsidP="00140DFF">
            <w:pPr>
              <w:pStyle w:val="SingleTxtG"/>
              <w:ind w:left="0" w:right="0"/>
              <w:jc w:val="left"/>
              <w:rPr>
                <w:i/>
              </w:rPr>
            </w:pPr>
            <w:r w:rsidRPr="00DF23DE">
              <w:rPr>
                <w:i/>
              </w:rPr>
              <w:t>Alleged victim:</w:t>
            </w:r>
          </w:p>
        </w:tc>
        <w:tc>
          <w:tcPr>
            <w:tcW w:w="3969" w:type="dxa"/>
          </w:tcPr>
          <w:p w:rsidR="00AD2038" w:rsidRPr="00DF23DE" w:rsidRDefault="008B419E" w:rsidP="00352A13">
            <w:pPr>
              <w:pStyle w:val="SingleTxtG"/>
              <w:ind w:left="0" w:right="0"/>
              <w:jc w:val="left"/>
            </w:pPr>
            <w:r w:rsidRPr="00DF23DE">
              <w:rPr>
                <w:snapToGrid w:val="0"/>
              </w:rPr>
              <w:t>T</w:t>
            </w:r>
            <w:r w:rsidR="00FF118F" w:rsidRPr="00DF23DE">
              <w:rPr>
                <w:snapToGrid w:val="0"/>
              </w:rPr>
              <w:t>he complainant</w:t>
            </w:r>
          </w:p>
        </w:tc>
      </w:tr>
      <w:tr w:rsidR="00AD2038" w:rsidRPr="00DF23DE" w:rsidTr="00352A13">
        <w:tc>
          <w:tcPr>
            <w:tcW w:w="3402" w:type="dxa"/>
          </w:tcPr>
          <w:p w:rsidR="00AD2038" w:rsidRPr="00DF23DE" w:rsidRDefault="00AD2038" w:rsidP="00140DFF">
            <w:pPr>
              <w:pStyle w:val="SingleTxtG"/>
              <w:ind w:left="0" w:right="0"/>
              <w:jc w:val="left"/>
              <w:rPr>
                <w:i/>
              </w:rPr>
            </w:pPr>
            <w:r w:rsidRPr="00DF23DE">
              <w:rPr>
                <w:i/>
              </w:rPr>
              <w:t>State party:</w:t>
            </w:r>
          </w:p>
        </w:tc>
        <w:tc>
          <w:tcPr>
            <w:tcW w:w="3969" w:type="dxa"/>
          </w:tcPr>
          <w:p w:rsidR="00AD2038" w:rsidRPr="00DF23DE" w:rsidRDefault="00BA0717" w:rsidP="00352A13">
            <w:pPr>
              <w:pStyle w:val="SingleTxtG"/>
              <w:ind w:left="0" w:right="0"/>
              <w:jc w:val="left"/>
            </w:pPr>
            <w:r>
              <w:t>Sweden</w:t>
            </w:r>
          </w:p>
        </w:tc>
      </w:tr>
      <w:tr w:rsidR="00AD2038" w:rsidRPr="00DF23DE" w:rsidTr="00352A13">
        <w:tc>
          <w:tcPr>
            <w:tcW w:w="3402" w:type="dxa"/>
          </w:tcPr>
          <w:p w:rsidR="00AD2038" w:rsidRPr="00DF23DE" w:rsidRDefault="00AD2038" w:rsidP="00140DFF">
            <w:pPr>
              <w:pStyle w:val="SingleTxtG"/>
              <w:ind w:left="0" w:right="0"/>
              <w:jc w:val="left"/>
              <w:rPr>
                <w:i/>
              </w:rPr>
            </w:pPr>
            <w:r w:rsidRPr="00DF23DE">
              <w:rPr>
                <w:i/>
              </w:rPr>
              <w:t>Date of complaint:</w:t>
            </w:r>
          </w:p>
        </w:tc>
        <w:tc>
          <w:tcPr>
            <w:tcW w:w="3969" w:type="dxa"/>
          </w:tcPr>
          <w:p w:rsidR="00AD2038" w:rsidRPr="00DF23DE" w:rsidRDefault="00BA0717" w:rsidP="00352A13">
            <w:pPr>
              <w:pStyle w:val="SingleTxtG"/>
              <w:ind w:left="0" w:right="0"/>
              <w:jc w:val="left"/>
            </w:pPr>
            <w:r w:rsidRPr="00BA0717">
              <w:t xml:space="preserve">10 July 2014 </w:t>
            </w:r>
            <w:r w:rsidR="00AD2038" w:rsidRPr="00DF23DE">
              <w:t>(initial submission)</w:t>
            </w:r>
          </w:p>
        </w:tc>
      </w:tr>
      <w:tr w:rsidR="00AD2038" w:rsidRPr="00DF23DE" w:rsidTr="00352A13">
        <w:tc>
          <w:tcPr>
            <w:tcW w:w="3402" w:type="dxa"/>
          </w:tcPr>
          <w:p w:rsidR="00AD2038" w:rsidRPr="00BA0717" w:rsidRDefault="00AD2038" w:rsidP="00140DFF">
            <w:pPr>
              <w:pStyle w:val="SingleTxtG"/>
              <w:ind w:left="0" w:right="0"/>
              <w:jc w:val="left"/>
              <w:rPr>
                <w:i/>
              </w:rPr>
            </w:pPr>
            <w:r w:rsidRPr="00BA0717">
              <w:rPr>
                <w:i/>
              </w:rPr>
              <w:t xml:space="preserve">Date of </w:t>
            </w:r>
            <w:r w:rsidR="00DB7144" w:rsidRPr="00BA0717">
              <w:rPr>
                <w:i/>
              </w:rPr>
              <w:t>adoption of</w:t>
            </w:r>
            <w:r w:rsidRPr="00BA0717">
              <w:rPr>
                <w:i/>
              </w:rPr>
              <w:t xml:space="preserve"> decision:</w:t>
            </w:r>
          </w:p>
        </w:tc>
        <w:tc>
          <w:tcPr>
            <w:tcW w:w="3969" w:type="dxa"/>
            <w:vAlign w:val="bottom"/>
          </w:tcPr>
          <w:p w:rsidR="00AD2038" w:rsidRPr="00BA0717" w:rsidRDefault="00012013" w:rsidP="00352A13">
            <w:pPr>
              <w:pStyle w:val="SingleTxtG"/>
              <w:ind w:left="0" w:right="0"/>
              <w:jc w:val="left"/>
            </w:pPr>
            <w:r>
              <w:t>12 August 2016</w:t>
            </w:r>
          </w:p>
        </w:tc>
      </w:tr>
      <w:tr w:rsidR="00AD2038" w:rsidRPr="00DF23DE" w:rsidTr="00352A13">
        <w:tc>
          <w:tcPr>
            <w:tcW w:w="3402" w:type="dxa"/>
          </w:tcPr>
          <w:p w:rsidR="00AD2038" w:rsidRPr="00DF23DE" w:rsidRDefault="00AD2038" w:rsidP="00140DFF">
            <w:pPr>
              <w:pStyle w:val="SingleTxtG"/>
              <w:ind w:left="0" w:right="0"/>
              <w:jc w:val="left"/>
              <w:rPr>
                <w:i/>
              </w:rPr>
            </w:pPr>
            <w:r w:rsidRPr="00DF23DE">
              <w:rPr>
                <w:i/>
                <w:iCs/>
              </w:rPr>
              <w:t>Subject matter:</w:t>
            </w:r>
          </w:p>
        </w:tc>
        <w:tc>
          <w:tcPr>
            <w:tcW w:w="3969" w:type="dxa"/>
          </w:tcPr>
          <w:p w:rsidR="00AD2038" w:rsidRPr="00BA0717" w:rsidRDefault="00BA0717" w:rsidP="00352A13">
            <w:pPr>
              <w:pStyle w:val="SingleTxtG"/>
              <w:ind w:left="0" w:right="0"/>
              <w:jc w:val="left"/>
              <w:rPr>
                <w:snapToGrid w:val="0"/>
                <w:color w:val="FF0000"/>
              </w:rPr>
            </w:pPr>
            <w:r>
              <w:rPr>
                <w:snapToGrid w:val="0"/>
              </w:rPr>
              <w:t>Expulsion to the Russian Federation</w:t>
            </w:r>
            <w:r w:rsidR="003C002F" w:rsidRPr="003659C5">
              <w:rPr>
                <w:snapToGrid w:val="0"/>
                <w:color w:val="FF0000"/>
              </w:rPr>
              <w:t xml:space="preserve"> </w:t>
            </w:r>
          </w:p>
        </w:tc>
      </w:tr>
      <w:tr w:rsidR="00AD2038" w:rsidRPr="00DF23DE" w:rsidTr="00352A13">
        <w:tc>
          <w:tcPr>
            <w:tcW w:w="3402" w:type="dxa"/>
          </w:tcPr>
          <w:p w:rsidR="00AD2038" w:rsidRPr="00C26164" w:rsidRDefault="00AD2038" w:rsidP="00140DFF">
            <w:pPr>
              <w:pStyle w:val="SingleTxtG"/>
              <w:ind w:left="0" w:right="0"/>
              <w:jc w:val="left"/>
              <w:rPr>
                <w:i/>
                <w:iCs/>
              </w:rPr>
            </w:pPr>
            <w:r w:rsidRPr="00C26164">
              <w:rPr>
                <w:i/>
                <w:iCs/>
              </w:rPr>
              <w:t>Substantive issue</w:t>
            </w:r>
            <w:r w:rsidR="00790862" w:rsidRPr="00C26164">
              <w:rPr>
                <w:i/>
                <w:iCs/>
              </w:rPr>
              <w:t>s</w:t>
            </w:r>
            <w:r w:rsidRPr="00C26164">
              <w:rPr>
                <w:i/>
                <w:iCs/>
              </w:rPr>
              <w:t>:</w:t>
            </w:r>
          </w:p>
        </w:tc>
        <w:tc>
          <w:tcPr>
            <w:tcW w:w="3969" w:type="dxa"/>
          </w:tcPr>
          <w:p w:rsidR="00AD2038" w:rsidRPr="00C26164" w:rsidRDefault="00C26164" w:rsidP="00352A13">
            <w:pPr>
              <w:pStyle w:val="SingleTxtG"/>
              <w:ind w:left="0" w:right="0"/>
              <w:jc w:val="left"/>
            </w:pPr>
            <w:r w:rsidRPr="00C26164">
              <w:t>Torture</w:t>
            </w:r>
            <w:r w:rsidR="008C4669">
              <w:t>;</w:t>
            </w:r>
            <w:r w:rsidRPr="00C26164">
              <w:t xml:space="preserve"> non-refoulement</w:t>
            </w:r>
          </w:p>
        </w:tc>
      </w:tr>
      <w:tr w:rsidR="00AD2038" w:rsidRPr="00DF23DE" w:rsidTr="00352A13">
        <w:tc>
          <w:tcPr>
            <w:tcW w:w="3402" w:type="dxa"/>
          </w:tcPr>
          <w:p w:rsidR="00AD2038" w:rsidRPr="00C26164" w:rsidRDefault="00AD2038" w:rsidP="00140DFF">
            <w:pPr>
              <w:pStyle w:val="SingleTxtG"/>
              <w:ind w:left="0" w:right="0"/>
              <w:jc w:val="left"/>
              <w:rPr>
                <w:i/>
                <w:iCs/>
              </w:rPr>
            </w:pPr>
            <w:r w:rsidRPr="00C26164">
              <w:rPr>
                <w:i/>
                <w:iCs/>
              </w:rPr>
              <w:t>Procedural issue</w:t>
            </w:r>
            <w:r w:rsidR="00C669CC" w:rsidRPr="00C26164">
              <w:rPr>
                <w:i/>
                <w:iCs/>
              </w:rPr>
              <w:t>s</w:t>
            </w:r>
            <w:r w:rsidRPr="00C26164">
              <w:rPr>
                <w:i/>
              </w:rPr>
              <w:t>:</w:t>
            </w:r>
          </w:p>
        </w:tc>
        <w:tc>
          <w:tcPr>
            <w:tcW w:w="3969" w:type="dxa"/>
          </w:tcPr>
          <w:p w:rsidR="003C002F" w:rsidRPr="00C26164" w:rsidRDefault="002978A7" w:rsidP="00352A13">
            <w:pPr>
              <w:pStyle w:val="SingleTxtG"/>
              <w:ind w:left="0" w:right="0"/>
              <w:jc w:val="left"/>
            </w:pPr>
            <w:r w:rsidRPr="00C26164">
              <w:rPr>
                <w:snapToGrid w:val="0"/>
              </w:rPr>
              <w:t>None</w:t>
            </w:r>
          </w:p>
        </w:tc>
      </w:tr>
      <w:tr w:rsidR="00AD2038" w:rsidRPr="00DF23DE" w:rsidTr="00352A13">
        <w:tc>
          <w:tcPr>
            <w:tcW w:w="3402" w:type="dxa"/>
          </w:tcPr>
          <w:p w:rsidR="00AD2038" w:rsidRPr="00C26164" w:rsidRDefault="00AD2038" w:rsidP="00352A13">
            <w:pPr>
              <w:pStyle w:val="SingleTxtG"/>
              <w:ind w:left="0" w:right="0"/>
              <w:jc w:val="left"/>
              <w:rPr>
                <w:i/>
                <w:iCs/>
              </w:rPr>
            </w:pPr>
            <w:r w:rsidRPr="00C26164">
              <w:rPr>
                <w:i/>
                <w:iCs/>
              </w:rPr>
              <w:t>Article of the Convention</w:t>
            </w:r>
            <w:r w:rsidRPr="00C26164">
              <w:rPr>
                <w:i/>
              </w:rPr>
              <w:t>:</w:t>
            </w:r>
          </w:p>
        </w:tc>
        <w:tc>
          <w:tcPr>
            <w:tcW w:w="3969" w:type="dxa"/>
          </w:tcPr>
          <w:p w:rsidR="00AD2038" w:rsidRPr="00C26164" w:rsidRDefault="00C26164" w:rsidP="00352A13">
            <w:pPr>
              <w:pStyle w:val="SingleTxtG"/>
              <w:ind w:left="0" w:right="0"/>
              <w:jc w:val="left"/>
            </w:pPr>
            <w:r w:rsidRPr="00C26164">
              <w:rPr>
                <w:snapToGrid w:val="0"/>
              </w:rPr>
              <w:t>3</w:t>
            </w:r>
            <w:r w:rsidR="00E525C2" w:rsidRPr="00C26164">
              <w:rPr>
                <w:snapToGrid w:val="0"/>
              </w:rPr>
              <w:t xml:space="preserve"> </w:t>
            </w:r>
          </w:p>
        </w:tc>
      </w:tr>
    </w:tbl>
    <w:p w:rsidR="00012013" w:rsidRDefault="00012013" w:rsidP="00012013">
      <w:pPr>
        <w:pStyle w:val="HChG"/>
        <w:spacing w:before="0" w:after="0"/>
        <w:rPr>
          <w:rFonts w:eastAsia="Calibri"/>
          <w:b w:val="0"/>
          <w:sz w:val="20"/>
        </w:rPr>
      </w:pPr>
    </w:p>
    <w:p w:rsidR="00C26164" w:rsidRPr="00CA5D72" w:rsidRDefault="00D5558F" w:rsidP="008C4669">
      <w:pPr>
        <w:pStyle w:val="SingleTxtG"/>
      </w:pPr>
      <w:r w:rsidRPr="00DF23DE">
        <w:rPr>
          <w:snapToGrid w:val="0"/>
        </w:rPr>
        <w:t>1.1</w:t>
      </w:r>
      <w:r w:rsidRPr="00DF23DE">
        <w:rPr>
          <w:snapToGrid w:val="0"/>
        </w:rPr>
        <w:tab/>
        <w:t>The complainant</w:t>
      </w:r>
      <w:r w:rsidR="00C26164">
        <w:rPr>
          <w:snapToGrid w:val="0"/>
        </w:rPr>
        <w:t xml:space="preserve"> </w:t>
      </w:r>
      <w:r w:rsidR="00522E7C" w:rsidRPr="00DF23DE">
        <w:rPr>
          <w:snapToGrid w:val="0"/>
        </w:rPr>
        <w:t>is</w:t>
      </w:r>
      <w:r w:rsidR="00DB189D" w:rsidRPr="00DF23DE">
        <w:rPr>
          <w:snapToGrid w:val="0"/>
        </w:rPr>
        <w:t xml:space="preserve"> </w:t>
      </w:r>
      <w:r w:rsidR="00BA0717" w:rsidRPr="00CA2056">
        <w:t>J</w:t>
      </w:r>
      <w:r w:rsidR="00C26164">
        <w:t>.</w:t>
      </w:r>
      <w:r w:rsidR="00BA0717" w:rsidRPr="00CA2056">
        <w:t>I</w:t>
      </w:r>
      <w:r w:rsidR="00C26164">
        <w:t>.</w:t>
      </w:r>
      <w:r w:rsidRPr="00DF23DE">
        <w:t>,</w:t>
      </w:r>
      <w:r w:rsidRPr="00DF23DE">
        <w:rPr>
          <w:snapToGrid w:val="0"/>
        </w:rPr>
        <w:t xml:space="preserve"> a </w:t>
      </w:r>
      <w:r w:rsidR="007548A9">
        <w:rPr>
          <w:snapToGrid w:val="0"/>
        </w:rPr>
        <w:t>citizen</w:t>
      </w:r>
      <w:r w:rsidR="00597408" w:rsidRPr="003659C5">
        <w:rPr>
          <w:snapToGrid w:val="0"/>
          <w:color w:val="FF0000"/>
        </w:rPr>
        <w:t xml:space="preserve"> </w:t>
      </w:r>
      <w:r w:rsidRPr="00DF23DE">
        <w:rPr>
          <w:snapToGrid w:val="0"/>
        </w:rPr>
        <w:t>of</w:t>
      </w:r>
      <w:r w:rsidR="00BA0717">
        <w:rPr>
          <w:snapToGrid w:val="0"/>
        </w:rPr>
        <w:t xml:space="preserve"> the Russian Federation</w:t>
      </w:r>
      <w:r w:rsidRPr="00DF23DE">
        <w:rPr>
          <w:snapToGrid w:val="0"/>
        </w:rPr>
        <w:t xml:space="preserve"> born </w:t>
      </w:r>
      <w:r w:rsidR="00DB189D" w:rsidRPr="00DF23DE">
        <w:rPr>
          <w:snapToGrid w:val="0"/>
        </w:rPr>
        <w:t xml:space="preserve">in </w:t>
      </w:r>
      <w:r w:rsidR="00BA0717">
        <w:rPr>
          <w:snapToGrid w:val="0"/>
        </w:rPr>
        <w:t>1984</w:t>
      </w:r>
      <w:r w:rsidR="007821E7" w:rsidRPr="00DF23DE">
        <w:rPr>
          <w:snapToGrid w:val="0"/>
        </w:rPr>
        <w:t>.</w:t>
      </w:r>
      <w:r w:rsidR="0005248B" w:rsidRPr="00DF23DE">
        <w:rPr>
          <w:snapToGrid w:val="0"/>
        </w:rPr>
        <w:t xml:space="preserve"> </w:t>
      </w:r>
      <w:r w:rsidR="007548A9">
        <w:rPr>
          <w:snapToGrid w:val="0"/>
        </w:rPr>
        <w:t>His</w:t>
      </w:r>
      <w:r w:rsidR="007548A9" w:rsidRPr="00CA5D72">
        <w:t xml:space="preserve"> request for asylum in Sweden was rejected and, at the time of submission of the complaint, </w:t>
      </w:r>
      <w:r w:rsidR="007548A9">
        <w:t>he was</w:t>
      </w:r>
      <w:r w:rsidR="007548A9" w:rsidRPr="00CA5D72">
        <w:t xml:space="preserve"> awaiting forcible removal to the Russian Federation.</w:t>
      </w:r>
      <w:r w:rsidR="007548A9">
        <w:t xml:space="preserve"> </w:t>
      </w:r>
      <w:r w:rsidR="000F41E7">
        <w:t xml:space="preserve">In his </w:t>
      </w:r>
      <w:r w:rsidR="008C4669">
        <w:t>complaint</w:t>
      </w:r>
      <w:r w:rsidR="000F41E7">
        <w:t xml:space="preserve">, </w:t>
      </w:r>
      <w:r w:rsidR="008C4669">
        <w:t>h</w:t>
      </w:r>
      <w:r w:rsidR="00C26164">
        <w:t xml:space="preserve">e </w:t>
      </w:r>
      <w:r w:rsidR="00C26164" w:rsidRPr="00CA5D72">
        <w:t>claim</w:t>
      </w:r>
      <w:r w:rsidR="00C26164">
        <w:t>s</w:t>
      </w:r>
      <w:r w:rsidR="00C26164" w:rsidRPr="00CA5D72">
        <w:t xml:space="preserve"> that </w:t>
      </w:r>
      <w:r w:rsidR="00C26164">
        <w:t>his</w:t>
      </w:r>
      <w:r w:rsidR="00C26164" w:rsidRPr="00CA5D72">
        <w:t xml:space="preserve"> deportation would violate </w:t>
      </w:r>
      <w:r w:rsidR="00C26164">
        <w:t>his</w:t>
      </w:r>
      <w:r w:rsidR="00C26164" w:rsidRPr="00CA5D72">
        <w:t xml:space="preserve"> rights under article 3 of the Convention. The complainant </w:t>
      </w:r>
      <w:r w:rsidR="00C26164">
        <w:t>is</w:t>
      </w:r>
      <w:r w:rsidR="00C26164" w:rsidRPr="00CA5D72">
        <w:t xml:space="preserve"> represented by counsel, Johan Lagerfeld. </w:t>
      </w:r>
    </w:p>
    <w:p w:rsidR="00597408" w:rsidRPr="00DF23DE" w:rsidRDefault="00597408" w:rsidP="00597408">
      <w:pPr>
        <w:pStyle w:val="SingleTxtG"/>
        <w:rPr>
          <w:snapToGrid w:val="0"/>
        </w:rPr>
      </w:pPr>
      <w:r>
        <w:t>1.</w:t>
      </w:r>
      <w:r w:rsidR="00C26164">
        <w:t>2</w:t>
      </w:r>
      <w:r>
        <w:tab/>
        <w:t xml:space="preserve">On </w:t>
      </w:r>
      <w:r w:rsidR="00C26164">
        <w:t>11 July 2014</w:t>
      </w:r>
      <w:r>
        <w:t>, the Committee, acting through its</w:t>
      </w:r>
      <w:r w:rsidRPr="0007593D">
        <w:t xml:space="preserve"> Rapporteur on new complaints and interim measures</w:t>
      </w:r>
      <w:r>
        <w:t xml:space="preserve">, </w:t>
      </w:r>
      <w:r w:rsidRPr="00EF3454">
        <w:t xml:space="preserve">asked the State party not to expel </w:t>
      </w:r>
      <w:r>
        <w:t>the author</w:t>
      </w:r>
      <w:r w:rsidR="00C26164">
        <w:t xml:space="preserve"> to the Russian Federation</w:t>
      </w:r>
      <w:r>
        <w:t xml:space="preserve"> </w:t>
      </w:r>
      <w:r w:rsidRPr="00EF3454">
        <w:t xml:space="preserve">while </w:t>
      </w:r>
      <w:r w:rsidR="00C26164">
        <w:t>his</w:t>
      </w:r>
      <w:r w:rsidRPr="00EF3454">
        <w:t xml:space="preserve"> complaint was being considered</w:t>
      </w:r>
      <w:r>
        <w:t xml:space="preserve">. </w:t>
      </w:r>
    </w:p>
    <w:p w:rsidR="007821E7" w:rsidRPr="00DF23DE" w:rsidRDefault="007821E7" w:rsidP="007821E7">
      <w:pPr>
        <w:pStyle w:val="H23G"/>
        <w:rPr>
          <w:snapToGrid w:val="0"/>
        </w:rPr>
      </w:pPr>
      <w:r w:rsidRPr="00DF23DE">
        <w:rPr>
          <w:snapToGrid w:val="0"/>
        </w:rPr>
        <w:tab/>
      </w:r>
      <w:r w:rsidRPr="00DF23DE">
        <w:rPr>
          <w:snapToGrid w:val="0"/>
        </w:rPr>
        <w:tab/>
      </w:r>
      <w:r w:rsidR="00960527" w:rsidRPr="00DF23DE">
        <w:rPr>
          <w:snapToGrid w:val="0"/>
        </w:rPr>
        <w:t>T</w:t>
      </w:r>
      <w:r w:rsidRPr="00DF23DE">
        <w:rPr>
          <w:snapToGrid w:val="0"/>
        </w:rPr>
        <w:t xml:space="preserve">he facts </w:t>
      </w:r>
      <w:r w:rsidRPr="00597408">
        <w:rPr>
          <w:snapToGrid w:val="0"/>
        </w:rPr>
        <w:t>as pre</w:t>
      </w:r>
      <w:r w:rsidR="003A48CB" w:rsidRPr="00597408">
        <w:rPr>
          <w:snapToGrid w:val="0"/>
        </w:rPr>
        <w:t>sented by the complainant</w:t>
      </w:r>
    </w:p>
    <w:p w:rsidR="00BA0717" w:rsidRPr="00BA0717" w:rsidRDefault="007821E7">
      <w:pPr>
        <w:pStyle w:val="SingleTxtG"/>
        <w:rPr>
          <w:snapToGrid w:val="0"/>
        </w:rPr>
      </w:pPr>
      <w:r w:rsidRPr="00DF23DE">
        <w:rPr>
          <w:snapToGrid w:val="0"/>
        </w:rPr>
        <w:t>2.1</w:t>
      </w:r>
      <w:r w:rsidR="00BA0717">
        <w:rPr>
          <w:snapToGrid w:val="0"/>
        </w:rPr>
        <w:tab/>
      </w:r>
      <w:r w:rsidR="00BA0717" w:rsidRPr="00BA0717">
        <w:rPr>
          <w:snapToGrid w:val="0"/>
        </w:rPr>
        <w:t>The complainant was born in the village</w:t>
      </w:r>
      <w:r w:rsidR="00CC3808">
        <w:rPr>
          <w:snapToGrid w:val="0"/>
        </w:rPr>
        <w:t xml:space="preserve"> of</w:t>
      </w:r>
      <w:r w:rsidR="00BA0717" w:rsidRPr="00BA0717">
        <w:rPr>
          <w:snapToGrid w:val="0"/>
        </w:rPr>
        <w:t xml:space="preserve"> Gettyn Kele in Shatoy </w:t>
      </w:r>
      <w:r w:rsidR="00BA0717">
        <w:rPr>
          <w:snapToGrid w:val="0"/>
        </w:rPr>
        <w:t>d</w:t>
      </w:r>
      <w:r w:rsidR="00BA0717" w:rsidRPr="00BA0717">
        <w:rPr>
          <w:snapToGrid w:val="0"/>
        </w:rPr>
        <w:t>istrict, approximately 60 km from the</w:t>
      </w:r>
      <w:r w:rsidR="00BA0717">
        <w:rPr>
          <w:snapToGrid w:val="0"/>
        </w:rPr>
        <w:t xml:space="preserve"> city of </w:t>
      </w:r>
      <w:r w:rsidR="00BA0717" w:rsidRPr="00BA0717">
        <w:rPr>
          <w:snapToGrid w:val="0"/>
        </w:rPr>
        <w:t>Grozny</w:t>
      </w:r>
      <w:r w:rsidR="000F41E7">
        <w:rPr>
          <w:snapToGrid w:val="0"/>
        </w:rPr>
        <w:t>,</w:t>
      </w:r>
      <w:r w:rsidR="007548A9">
        <w:rPr>
          <w:snapToGrid w:val="0"/>
        </w:rPr>
        <w:t xml:space="preserve"> </w:t>
      </w:r>
      <w:r w:rsidR="000F41E7">
        <w:rPr>
          <w:snapToGrid w:val="0"/>
        </w:rPr>
        <w:t xml:space="preserve">in </w:t>
      </w:r>
      <w:r w:rsidR="00BA0717">
        <w:rPr>
          <w:snapToGrid w:val="0"/>
        </w:rPr>
        <w:t>Chech</w:t>
      </w:r>
      <w:r w:rsidR="000F41E7">
        <w:rPr>
          <w:snapToGrid w:val="0"/>
        </w:rPr>
        <w:t>nya</w:t>
      </w:r>
      <w:r w:rsidR="00BA0717" w:rsidRPr="00BA0717">
        <w:rPr>
          <w:snapToGrid w:val="0"/>
        </w:rPr>
        <w:t xml:space="preserve">. </w:t>
      </w:r>
      <w:r w:rsidR="007548A9">
        <w:rPr>
          <w:snapToGrid w:val="0"/>
        </w:rPr>
        <w:t>I</w:t>
      </w:r>
      <w:r w:rsidR="00BA0717">
        <w:rPr>
          <w:snapToGrid w:val="0"/>
        </w:rPr>
        <w:t>n</w:t>
      </w:r>
      <w:r w:rsidR="00BA0717" w:rsidRPr="00BA0717">
        <w:rPr>
          <w:snapToGrid w:val="0"/>
        </w:rPr>
        <w:t xml:space="preserve"> 2007, one person from his </w:t>
      </w:r>
      <w:r w:rsidR="00BA0717" w:rsidRPr="00BA0717">
        <w:rPr>
          <w:snapToGrid w:val="0"/>
        </w:rPr>
        <w:lastRenderedPageBreak/>
        <w:t xml:space="preserve">village joined the </w:t>
      </w:r>
      <w:r w:rsidR="00C26164">
        <w:rPr>
          <w:snapToGrid w:val="0"/>
        </w:rPr>
        <w:t>rebels</w:t>
      </w:r>
      <w:r w:rsidR="00BA0717" w:rsidRPr="00BA0717">
        <w:rPr>
          <w:snapToGrid w:val="0"/>
        </w:rPr>
        <w:t xml:space="preserve"> and</w:t>
      </w:r>
      <w:r w:rsidR="00326593">
        <w:rPr>
          <w:snapToGrid w:val="0"/>
        </w:rPr>
        <w:t>,</w:t>
      </w:r>
      <w:r w:rsidR="00BA0717" w:rsidRPr="00BA0717">
        <w:rPr>
          <w:snapToGrid w:val="0"/>
        </w:rPr>
        <w:t xml:space="preserve"> later in the same year, two of his cousins were forcibly conscripted. </w:t>
      </w:r>
    </w:p>
    <w:p w:rsidR="00BA0717" w:rsidRPr="00BA0717" w:rsidRDefault="00BA0717" w:rsidP="00080F69">
      <w:pPr>
        <w:pStyle w:val="SingleTxtG"/>
        <w:rPr>
          <w:snapToGrid w:val="0"/>
        </w:rPr>
      </w:pPr>
      <w:r w:rsidRPr="00BA0717">
        <w:rPr>
          <w:snapToGrid w:val="0"/>
        </w:rPr>
        <w:t>2.</w:t>
      </w:r>
      <w:r>
        <w:rPr>
          <w:snapToGrid w:val="0"/>
        </w:rPr>
        <w:t>2</w:t>
      </w:r>
      <w:r>
        <w:rPr>
          <w:snapToGrid w:val="0"/>
        </w:rPr>
        <w:tab/>
      </w:r>
      <w:r w:rsidR="007548A9">
        <w:rPr>
          <w:snapToGrid w:val="0"/>
        </w:rPr>
        <w:t>I</w:t>
      </w:r>
      <w:r w:rsidRPr="00BA0717">
        <w:rPr>
          <w:snapToGrid w:val="0"/>
        </w:rPr>
        <w:t xml:space="preserve">n </w:t>
      </w:r>
      <w:r w:rsidR="007548A9">
        <w:rPr>
          <w:snapToGrid w:val="0"/>
        </w:rPr>
        <w:t xml:space="preserve">the </w:t>
      </w:r>
      <w:r w:rsidRPr="00BA0717">
        <w:rPr>
          <w:snapToGrid w:val="0"/>
        </w:rPr>
        <w:t xml:space="preserve">summer </w:t>
      </w:r>
      <w:r w:rsidR="007548A9">
        <w:rPr>
          <w:snapToGrid w:val="0"/>
        </w:rPr>
        <w:t xml:space="preserve">of </w:t>
      </w:r>
      <w:r w:rsidRPr="00BA0717">
        <w:rPr>
          <w:snapToGrid w:val="0"/>
        </w:rPr>
        <w:t>2008, the authorities arrested the complainant</w:t>
      </w:r>
      <w:r w:rsidR="00326593">
        <w:rPr>
          <w:snapToGrid w:val="0"/>
        </w:rPr>
        <w:t>, who</w:t>
      </w:r>
      <w:r w:rsidRPr="00BA0717">
        <w:rPr>
          <w:snapToGrid w:val="0"/>
        </w:rPr>
        <w:t xml:space="preserve"> was </w:t>
      </w:r>
      <w:r w:rsidR="00326593">
        <w:rPr>
          <w:snapToGrid w:val="0"/>
        </w:rPr>
        <w:t xml:space="preserve">then </w:t>
      </w:r>
      <w:r w:rsidRPr="00BA0717">
        <w:rPr>
          <w:snapToGrid w:val="0"/>
        </w:rPr>
        <w:t xml:space="preserve">interrogated by </w:t>
      </w:r>
      <w:r w:rsidR="00326593">
        <w:rPr>
          <w:snapToGrid w:val="0"/>
        </w:rPr>
        <w:t xml:space="preserve">officials of </w:t>
      </w:r>
      <w:r w:rsidRPr="00BA0717">
        <w:rPr>
          <w:snapToGrid w:val="0"/>
        </w:rPr>
        <w:t>the Russian security forces. The offic</w:t>
      </w:r>
      <w:r w:rsidR="007548A9">
        <w:rPr>
          <w:snapToGrid w:val="0"/>
        </w:rPr>
        <w:t>ials</w:t>
      </w:r>
      <w:r w:rsidRPr="00BA0717">
        <w:rPr>
          <w:snapToGrid w:val="0"/>
        </w:rPr>
        <w:t xml:space="preserve"> demanded information concerning the villager who had voluntarily joined the </w:t>
      </w:r>
      <w:r w:rsidR="00C26164">
        <w:rPr>
          <w:snapToGrid w:val="0"/>
        </w:rPr>
        <w:t>rebels</w:t>
      </w:r>
      <w:r w:rsidRPr="00BA0717">
        <w:rPr>
          <w:snapToGrid w:val="0"/>
        </w:rPr>
        <w:t xml:space="preserve">, stating that they were aware that </w:t>
      </w:r>
      <w:r w:rsidR="00080F69">
        <w:rPr>
          <w:snapToGrid w:val="0"/>
        </w:rPr>
        <w:t>the complainant</w:t>
      </w:r>
      <w:r w:rsidR="00080F69" w:rsidRPr="00BA0717">
        <w:rPr>
          <w:snapToGrid w:val="0"/>
        </w:rPr>
        <w:t xml:space="preserve"> </w:t>
      </w:r>
      <w:r w:rsidRPr="00BA0717">
        <w:rPr>
          <w:snapToGrid w:val="0"/>
        </w:rPr>
        <w:t>was in contact with him. After several hours</w:t>
      </w:r>
      <w:r>
        <w:rPr>
          <w:snapToGrid w:val="0"/>
        </w:rPr>
        <w:t xml:space="preserve"> of questioning</w:t>
      </w:r>
      <w:r w:rsidRPr="00BA0717">
        <w:rPr>
          <w:snapToGrid w:val="0"/>
        </w:rPr>
        <w:t>, he was released.</w:t>
      </w:r>
    </w:p>
    <w:p w:rsidR="00BA0717" w:rsidRPr="00BA0717" w:rsidRDefault="00BA0717" w:rsidP="00080F69">
      <w:pPr>
        <w:pStyle w:val="SingleTxtG"/>
        <w:rPr>
          <w:snapToGrid w:val="0"/>
        </w:rPr>
      </w:pPr>
      <w:r w:rsidRPr="00BA0717">
        <w:rPr>
          <w:snapToGrid w:val="0"/>
        </w:rPr>
        <w:t>2.</w:t>
      </w:r>
      <w:r>
        <w:rPr>
          <w:snapToGrid w:val="0"/>
        </w:rPr>
        <w:t>3</w:t>
      </w:r>
      <w:r>
        <w:rPr>
          <w:snapToGrid w:val="0"/>
        </w:rPr>
        <w:tab/>
      </w:r>
      <w:r w:rsidRPr="00BA0717">
        <w:rPr>
          <w:snapToGrid w:val="0"/>
        </w:rPr>
        <w:t>After h</w:t>
      </w:r>
      <w:r w:rsidR="00326593">
        <w:rPr>
          <w:snapToGrid w:val="0"/>
        </w:rPr>
        <w:t>e</w:t>
      </w:r>
      <w:r w:rsidRPr="00BA0717">
        <w:rPr>
          <w:snapToGrid w:val="0"/>
        </w:rPr>
        <w:t xml:space="preserve"> marri</w:t>
      </w:r>
      <w:r w:rsidR="00326593">
        <w:rPr>
          <w:snapToGrid w:val="0"/>
        </w:rPr>
        <w:t>ed</w:t>
      </w:r>
      <w:r w:rsidRPr="00BA0717">
        <w:rPr>
          <w:snapToGrid w:val="0"/>
        </w:rPr>
        <w:t>,</w:t>
      </w:r>
      <w:r w:rsidR="00A11AA5">
        <w:rPr>
          <w:rStyle w:val="FootnoteReference"/>
          <w:snapToGrid w:val="0"/>
        </w:rPr>
        <w:footnoteReference w:id="4"/>
      </w:r>
      <w:r w:rsidRPr="00BA0717">
        <w:rPr>
          <w:snapToGrid w:val="0"/>
        </w:rPr>
        <w:t xml:space="preserve"> the complainant moved with his wife to</w:t>
      </w:r>
      <w:r w:rsidR="00E202DF">
        <w:rPr>
          <w:snapToGrid w:val="0"/>
        </w:rPr>
        <w:t xml:space="preserve"> </w:t>
      </w:r>
      <w:r w:rsidRPr="00BA0717">
        <w:rPr>
          <w:snapToGrid w:val="0"/>
        </w:rPr>
        <w:t xml:space="preserve">Grozny. On an unspecified date in 2010, </w:t>
      </w:r>
      <w:r w:rsidR="007548A9">
        <w:rPr>
          <w:snapToGrid w:val="0"/>
        </w:rPr>
        <w:t>his</w:t>
      </w:r>
      <w:r w:rsidRPr="00BA0717">
        <w:rPr>
          <w:snapToGrid w:val="0"/>
        </w:rPr>
        <w:t xml:space="preserve"> wife called him at work and told</w:t>
      </w:r>
      <w:r w:rsidR="00326593">
        <w:rPr>
          <w:snapToGrid w:val="0"/>
        </w:rPr>
        <w:t xml:space="preserve"> him</w:t>
      </w:r>
      <w:r w:rsidRPr="00BA0717">
        <w:rPr>
          <w:snapToGrid w:val="0"/>
        </w:rPr>
        <w:t xml:space="preserve"> that armed men had come to their house and were looking for him. The same happened the next day. Out of fear, the complainant did not return home but stayed at work.</w:t>
      </w:r>
      <w:r w:rsidR="00E202DF">
        <w:rPr>
          <w:snapToGrid w:val="0"/>
        </w:rPr>
        <w:t xml:space="preserve"> </w:t>
      </w:r>
      <w:r w:rsidR="007548A9">
        <w:rPr>
          <w:snapToGrid w:val="0"/>
        </w:rPr>
        <w:t>A</w:t>
      </w:r>
      <w:r w:rsidR="00E202DF">
        <w:rPr>
          <w:snapToGrid w:val="0"/>
        </w:rPr>
        <w:t>t some point after that,</w:t>
      </w:r>
      <w:r w:rsidR="00A11AA5">
        <w:rPr>
          <w:rStyle w:val="FootnoteReference"/>
          <w:snapToGrid w:val="0"/>
        </w:rPr>
        <w:footnoteReference w:id="5"/>
      </w:r>
      <w:r w:rsidRPr="00BA0717">
        <w:rPr>
          <w:snapToGrid w:val="0"/>
        </w:rPr>
        <w:t xml:space="preserve"> at the market in Grozny, he was arrested by </w:t>
      </w:r>
      <w:r w:rsidR="00080F69">
        <w:rPr>
          <w:snapToGrid w:val="0"/>
        </w:rPr>
        <w:t xml:space="preserve">a </w:t>
      </w:r>
      <w:r w:rsidRPr="00BA0717">
        <w:rPr>
          <w:snapToGrid w:val="0"/>
        </w:rPr>
        <w:t xml:space="preserve">policeman in civilian clothes. He was pushed into a car with several military officers. A bag was placed over his head </w:t>
      </w:r>
      <w:r w:rsidR="00E202DF">
        <w:rPr>
          <w:snapToGrid w:val="0"/>
        </w:rPr>
        <w:t>so he could not</w:t>
      </w:r>
      <w:r w:rsidRPr="00BA0717">
        <w:rPr>
          <w:snapToGrid w:val="0"/>
        </w:rPr>
        <w:t xml:space="preserve"> see</w:t>
      </w:r>
      <w:r w:rsidR="00E202DF">
        <w:rPr>
          <w:snapToGrid w:val="0"/>
        </w:rPr>
        <w:t xml:space="preserve"> w</w:t>
      </w:r>
      <w:r w:rsidRPr="00BA0717">
        <w:rPr>
          <w:snapToGrid w:val="0"/>
        </w:rPr>
        <w:t xml:space="preserve">here he was being taken. </w:t>
      </w:r>
      <w:r w:rsidR="00326593">
        <w:rPr>
          <w:snapToGrid w:val="0"/>
        </w:rPr>
        <w:t>H</w:t>
      </w:r>
      <w:r w:rsidRPr="00BA0717">
        <w:rPr>
          <w:snapToGrid w:val="0"/>
        </w:rPr>
        <w:t xml:space="preserve">e </w:t>
      </w:r>
      <w:r w:rsidR="00326593">
        <w:rPr>
          <w:snapToGrid w:val="0"/>
        </w:rPr>
        <w:t xml:space="preserve">later </w:t>
      </w:r>
      <w:r w:rsidRPr="00BA0717">
        <w:rPr>
          <w:snapToGrid w:val="0"/>
        </w:rPr>
        <w:t xml:space="preserve">found out that he </w:t>
      </w:r>
      <w:r w:rsidR="00326593">
        <w:rPr>
          <w:snapToGrid w:val="0"/>
        </w:rPr>
        <w:t>had been</w:t>
      </w:r>
      <w:r w:rsidR="00326593" w:rsidRPr="00BA0717">
        <w:rPr>
          <w:snapToGrid w:val="0"/>
        </w:rPr>
        <w:t xml:space="preserve"> </w:t>
      </w:r>
      <w:r w:rsidRPr="00BA0717">
        <w:rPr>
          <w:snapToGrid w:val="0"/>
        </w:rPr>
        <w:t>taken to</w:t>
      </w:r>
      <w:r w:rsidR="00CA2056">
        <w:rPr>
          <w:snapToGrid w:val="0"/>
        </w:rPr>
        <w:t xml:space="preserve"> </w:t>
      </w:r>
      <w:r w:rsidRPr="00BA0717">
        <w:rPr>
          <w:snapToGrid w:val="0"/>
        </w:rPr>
        <w:t>Shatoy</w:t>
      </w:r>
      <w:r w:rsidR="00CA2056">
        <w:rPr>
          <w:snapToGrid w:val="0"/>
        </w:rPr>
        <w:t xml:space="preserve"> </w:t>
      </w:r>
      <w:r w:rsidR="00C26164">
        <w:rPr>
          <w:snapToGrid w:val="0"/>
        </w:rPr>
        <w:t>district</w:t>
      </w:r>
      <w:r w:rsidRPr="00BA0717">
        <w:rPr>
          <w:snapToGrid w:val="0"/>
        </w:rPr>
        <w:t>.</w:t>
      </w:r>
      <w:r w:rsidR="00A11AA5">
        <w:rPr>
          <w:rStyle w:val="FootnoteReference"/>
          <w:snapToGrid w:val="0"/>
        </w:rPr>
        <w:footnoteReference w:id="6"/>
      </w:r>
    </w:p>
    <w:p w:rsidR="00BA0717" w:rsidRPr="00BA0717" w:rsidRDefault="00BA0717" w:rsidP="00080F69">
      <w:pPr>
        <w:pStyle w:val="SingleTxtG"/>
        <w:rPr>
          <w:snapToGrid w:val="0"/>
        </w:rPr>
      </w:pPr>
      <w:r w:rsidRPr="00BA0717">
        <w:rPr>
          <w:snapToGrid w:val="0"/>
        </w:rPr>
        <w:t>2.</w:t>
      </w:r>
      <w:r w:rsidR="00E202DF">
        <w:rPr>
          <w:snapToGrid w:val="0"/>
        </w:rPr>
        <w:t>4</w:t>
      </w:r>
      <w:r w:rsidR="00E202DF">
        <w:rPr>
          <w:snapToGrid w:val="0"/>
        </w:rPr>
        <w:tab/>
      </w:r>
      <w:r w:rsidRPr="00BA0717">
        <w:rPr>
          <w:snapToGrid w:val="0"/>
        </w:rPr>
        <w:t xml:space="preserve">Upon arrival </w:t>
      </w:r>
      <w:r w:rsidR="00326593">
        <w:rPr>
          <w:snapToGrid w:val="0"/>
        </w:rPr>
        <w:t xml:space="preserve">in </w:t>
      </w:r>
      <w:r w:rsidRPr="00BA0717">
        <w:rPr>
          <w:snapToGrid w:val="0"/>
        </w:rPr>
        <w:t>Shatoy</w:t>
      </w:r>
      <w:r w:rsidR="00CA2056">
        <w:rPr>
          <w:snapToGrid w:val="0"/>
        </w:rPr>
        <w:t xml:space="preserve"> district</w:t>
      </w:r>
      <w:r w:rsidRPr="00BA0717">
        <w:rPr>
          <w:snapToGrid w:val="0"/>
        </w:rPr>
        <w:t>, the complainant was subjected to electr</w:t>
      </w:r>
      <w:r w:rsidR="00CF3C48">
        <w:rPr>
          <w:snapToGrid w:val="0"/>
        </w:rPr>
        <w:t xml:space="preserve">ic shocks </w:t>
      </w:r>
      <w:r w:rsidRPr="00BA0717">
        <w:rPr>
          <w:snapToGrid w:val="0"/>
        </w:rPr>
        <w:t>for</w:t>
      </w:r>
      <w:r w:rsidR="00E202DF">
        <w:rPr>
          <w:snapToGrid w:val="0"/>
        </w:rPr>
        <w:t xml:space="preserve"> approximately</w:t>
      </w:r>
      <w:r w:rsidRPr="00BA0717">
        <w:rPr>
          <w:snapToGrid w:val="0"/>
        </w:rPr>
        <w:t xml:space="preserve"> </w:t>
      </w:r>
      <w:r w:rsidR="00080F69">
        <w:rPr>
          <w:snapToGrid w:val="0"/>
        </w:rPr>
        <w:t>two to three</w:t>
      </w:r>
      <w:r w:rsidRPr="00BA0717">
        <w:rPr>
          <w:snapToGrid w:val="0"/>
        </w:rPr>
        <w:t xml:space="preserve"> hours. During </w:t>
      </w:r>
      <w:r w:rsidR="00E202DF">
        <w:rPr>
          <w:snapToGrid w:val="0"/>
        </w:rPr>
        <w:t>th</w:t>
      </w:r>
      <w:r w:rsidR="00326593">
        <w:rPr>
          <w:snapToGrid w:val="0"/>
        </w:rPr>
        <w:t>at time</w:t>
      </w:r>
      <w:r w:rsidR="00E202DF">
        <w:rPr>
          <w:snapToGrid w:val="0"/>
        </w:rPr>
        <w:t xml:space="preserve">, </w:t>
      </w:r>
      <w:r w:rsidR="00326593">
        <w:rPr>
          <w:snapToGrid w:val="0"/>
        </w:rPr>
        <w:t xml:space="preserve">he was interrogated by </w:t>
      </w:r>
      <w:r w:rsidRPr="00BA0717">
        <w:rPr>
          <w:snapToGrid w:val="0"/>
        </w:rPr>
        <w:t>the officers</w:t>
      </w:r>
      <w:r w:rsidR="00326593">
        <w:rPr>
          <w:snapToGrid w:val="0"/>
        </w:rPr>
        <w:t>, who asked him</w:t>
      </w:r>
      <w:r w:rsidRPr="00BA0717">
        <w:rPr>
          <w:snapToGrid w:val="0"/>
        </w:rPr>
        <w:t xml:space="preserve"> about the villager who had joined the </w:t>
      </w:r>
      <w:r w:rsidR="00C26164">
        <w:rPr>
          <w:snapToGrid w:val="0"/>
        </w:rPr>
        <w:t>rebels</w:t>
      </w:r>
      <w:r w:rsidRPr="00BA0717">
        <w:rPr>
          <w:snapToGrid w:val="0"/>
        </w:rPr>
        <w:t>. He was also kicked and beaten</w:t>
      </w:r>
      <w:r w:rsidR="00A11AA5">
        <w:rPr>
          <w:rStyle w:val="FootnoteReference"/>
          <w:snapToGrid w:val="0"/>
        </w:rPr>
        <w:footnoteReference w:id="7"/>
      </w:r>
      <w:r w:rsidR="00CF3C48">
        <w:rPr>
          <w:snapToGrid w:val="0"/>
        </w:rPr>
        <w:t xml:space="preserve"> to the point </w:t>
      </w:r>
      <w:r w:rsidR="00326593">
        <w:rPr>
          <w:snapToGrid w:val="0"/>
        </w:rPr>
        <w:t xml:space="preserve">of almost </w:t>
      </w:r>
      <w:r w:rsidR="00CF3C48">
        <w:rPr>
          <w:snapToGrid w:val="0"/>
        </w:rPr>
        <w:t>los</w:t>
      </w:r>
      <w:r w:rsidR="00326593">
        <w:rPr>
          <w:snapToGrid w:val="0"/>
        </w:rPr>
        <w:t>ing</w:t>
      </w:r>
      <w:r w:rsidR="00CF3C48">
        <w:rPr>
          <w:snapToGrid w:val="0"/>
        </w:rPr>
        <w:t xml:space="preserve"> </w:t>
      </w:r>
      <w:r w:rsidR="00E202DF">
        <w:rPr>
          <w:snapToGrid w:val="0"/>
        </w:rPr>
        <w:t>consciousness</w:t>
      </w:r>
      <w:r w:rsidR="00326593">
        <w:rPr>
          <w:snapToGrid w:val="0"/>
        </w:rPr>
        <w:t>, then was revived by having</w:t>
      </w:r>
      <w:r w:rsidR="00E202DF">
        <w:rPr>
          <w:snapToGrid w:val="0"/>
        </w:rPr>
        <w:t xml:space="preserve"> cold water </w:t>
      </w:r>
      <w:r w:rsidR="00326593">
        <w:rPr>
          <w:snapToGrid w:val="0"/>
        </w:rPr>
        <w:t xml:space="preserve">poured </w:t>
      </w:r>
      <w:r w:rsidR="00E202DF">
        <w:rPr>
          <w:snapToGrid w:val="0"/>
        </w:rPr>
        <w:t>over his head. After that,</w:t>
      </w:r>
      <w:r w:rsidRPr="00BA0717">
        <w:rPr>
          <w:snapToGrid w:val="0"/>
        </w:rPr>
        <w:t xml:space="preserve"> the complainant was dragged out into the yard and left semi-conscious </w:t>
      </w:r>
      <w:r w:rsidR="00E202DF">
        <w:rPr>
          <w:snapToGrid w:val="0"/>
        </w:rPr>
        <w:t>next to</w:t>
      </w:r>
      <w:r w:rsidRPr="00BA0717">
        <w:rPr>
          <w:snapToGrid w:val="0"/>
        </w:rPr>
        <w:t xml:space="preserve"> a car. </w:t>
      </w:r>
      <w:r w:rsidR="00E202DF">
        <w:rPr>
          <w:snapToGrid w:val="0"/>
        </w:rPr>
        <w:t>H</w:t>
      </w:r>
      <w:r w:rsidRPr="00BA0717">
        <w:rPr>
          <w:snapToGrid w:val="0"/>
        </w:rPr>
        <w:t>e managed to leave the compound and was taken by an acquaintance to his parents. After th</w:t>
      </w:r>
      <w:r w:rsidR="00326593">
        <w:rPr>
          <w:snapToGrid w:val="0"/>
        </w:rPr>
        <w:t>o</w:t>
      </w:r>
      <w:r w:rsidRPr="00BA0717">
        <w:rPr>
          <w:snapToGrid w:val="0"/>
        </w:rPr>
        <w:t xml:space="preserve">se events, the complainant moved to Grozny and lived with his uncle for approximately </w:t>
      </w:r>
      <w:r w:rsidR="00326593">
        <w:rPr>
          <w:snapToGrid w:val="0"/>
        </w:rPr>
        <w:t>one</w:t>
      </w:r>
      <w:r w:rsidRPr="00BA0717">
        <w:rPr>
          <w:snapToGrid w:val="0"/>
        </w:rPr>
        <w:t xml:space="preserve"> year.</w:t>
      </w:r>
    </w:p>
    <w:p w:rsidR="00BA0717" w:rsidRPr="00BA0717" w:rsidRDefault="00BA0717" w:rsidP="00326593">
      <w:pPr>
        <w:pStyle w:val="SingleTxtG"/>
        <w:rPr>
          <w:snapToGrid w:val="0"/>
        </w:rPr>
      </w:pPr>
      <w:r w:rsidRPr="00BA0717">
        <w:rPr>
          <w:snapToGrid w:val="0"/>
        </w:rPr>
        <w:t>2.</w:t>
      </w:r>
      <w:r w:rsidR="00B9551F">
        <w:rPr>
          <w:snapToGrid w:val="0"/>
        </w:rPr>
        <w:t>5</w:t>
      </w:r>
      <w:r w:rsidR="00B9551F">
        <w:rPr>
          <w:snapToGrid w:val="0"/>
        </w:rPr>
        <w:tab/>
      </w:r>
      <w:r w:rsidR="00C15E9F">
        <w:rPr>
          <w:snapToGrid w:val="0"/>
        </w:rPr>
        <w:t>W</w:t>
      </w:r>
      <w:r w:rsidRPr="00BA0717">
        <w:rPr>
          <w:snapToGrid w:val="0"/>
        </w:rPr>
        <w:t xml:space="preserve">hile </w:t>
      </w:r>
      <w:r w:rsidR="00B9551F">
        <w:rPr>
          <w:snapToGrid w:val="0"/>
        </w:rPr>
        <w:t>he</w:t>
      </w:r>
      <w:r w:rsidRPr="00BA0717">
        <w:rPr>
          <w:snapToGrid w:val="0"/>
        </w:rPr>
        <w:t xml:space="preserve"> was living in Grozny, </w:t>
      </w:r>
      <w:r w:rsidR="00CF3C48">
        <w:rPr>
          <w:snapToGrid w:val="0"/>
        </w:rPr>
        <w:t xml:space="preserve">the Russian military visited </w:t>
      </w:r>
      <w:r w:rsidRPr="00BA0717">
        <w:rPr>
          <w:snapToGrid w:val="0"/>
        </w:rPr>
        <w:t>his parents on several occasions. His parents told the officers that the compl</w:t>
      </w:r>
      <w:r w:rsidR="00B9551F">
        <w:rPr>
          <w:snapToGrid w:val="0"/>
        </w:rPr>
        <w:t>ainant had joined the rebels</w:t>
      </w:r>
      <w:r w:rsidRPr="00BA0717">
        <w:rPr>
          <w:snapToGrid w:val="0"/>
        </w:rPr>
        <w:t xml:space="preserve">. </w:t>
      </w:r>
    </w:p>
    <w:p w:rsidR="00BA0717" w:rsidRPr="00BA0717" w:rsidRDefault="00BA0717" w:rsidP="00080F69">
      <w:pPr>
        <w:pStyle w:val="SingleTxtG"/>
        <w:rPr>
          <w:snapToGrid w:val="0"/>
        </w:rPr>
      </w:pPr>
      <w:r w:rsidRPr="00BA0717">
        <w:rPr>
          <w:snapToGrid w:val="0"/>
        </w:rPr>
        <w:t>2.</w:t>
      </w:r>
      <w:r w:rsidR="00B9551F">
        <w:rPr>
          <w:snapToGrid w:val="0"/>
        </w:rPr>
        <w:t>6</w:t>
      </w:r>
      <w:r w:rsidR="00B9551F">
        <w:rPr>
          <w:snapToGrid w:val="0"/>
        </w:rPr>
        <w:tab/>
      </w:r>
      <w:r w:rsidRPr="00BA0717">
        <w:rPr>
          <w:snapToGrid w:val="0"/>
        </w:rPr>
        <w:t>The complainant moved back to his home village</w:t>
      </w:r>
      <w:r w:rsidR="00A11AA5">
        <w:rPr>
          <w:rStyle w:val="FootnoteReference"/>
          <w:snapToGrid w:val="0"/>
        </w:rPr>
        <w:footnoteReference w:id="8"/>
      </w:r>
      <w:r w:rsidRPr="00BA0717">
        <w:rPr>
          <w:snapToGrid w:val="0"/>
        </w:rPr>
        <w:t xml:space="preserve"> and lived with various relatives in order to avoid being arrested again. During th</w:t>
      </w:r>
      <w:r w:rsidR="00326593">
        <w:rPr>
          <w:snapToGrid w:val="0"/>
        </w:rPr>
        <w:t>at</w:t>
      </w:r>
      <w:r w:rsidRPr="00BA0717">
        <w:rPr>
          <w:snapToGrid w:val="0"/>
        </w:rPr>
        <w:t xml:space="preserve"> time</w:t>
      </w:r>
      <w:r w:rsidR="00CF3C48">
        <w:rPr>
          <w:snapToGrid w:val="0"/>
        </w:rPr>
        <w:t>,</w:t>
      </w:r>
      <w:r w:rsidRPr="00BA0717">
        <w:rPr>
          <w:snapToGrid w:val="0"/>
        </w:rPr>
        <w:t xml:space="preserve"> his parents were</w:t>
      </w:r>
      <w:r w:rsidR="00326593" w:rsidRPr="00326593">
        <w:rPr>
          <w:snapToGrid w:val="0"/>
        </w:rPr>
        <w:t xml:space="preserve"> </w:t>
      </w:r>
      <w:r w:rsidR="00326593" w:rsidRPr="00BA0717">
        <w:rPr>
          <w:snapToGrid w:val="0"/>
        </w:rPr>
        <w:t xml:space="preserve">under </w:t>
      </w:r>
      <w:r w:rsidR="00326593">
        <w:rPr>
          <w:snapToGrid w:val="0"/>
        </w:rPr>
        <w:t>surveillance and were</w:t>
      </w:r>
      <w:r w:rsidRPr="00BA0717">
        <w:rPr>
          <w:snapToGrid w:val="0"/>
        </w:rPr>
        <w:t xml:space="preserve"> interrogated several times</w:t>
      </w:r>
      <w:r w:rsidR="00326593">
        <w:rPr>
          <w:snapToGrid w:val="0"/>
        </w:rPr>
        <w:t>, which is why</w:t>
      </w:r>
      <w:r w:rsidRPr="00BA0717">
        <w:rPr>
          <w:snapToGrid w:val="0"/>
        </w:rPr>
        <w:t xml:space="preserve"> the complainant d</w:t>
      </w:r>
      <w:r w:rsidR="00B9551F">
        <w:rPr>
          <w:snapToGrid w:val="0"/>
        </w:rPr>
        <w:t>id</w:t>
      </w:r>
      <w:r w:rsidRPr="00BA0717">
        <w:rPr>
          <w:snapToGrid w:val="0"/>
        </w:rPr>
        <w:t xml:space="preserve"> not maintain contact with </w:t>
      </w:r>
      <w:r w:rsidR="00080F69">
        <w:rPr>
          <w:snapToGrid w:val="0"/>
        </w:rPr>
        <w:t>them.</w:t>
      </w:r>
      <w:r w:rsidRPr="00BA0717">
        <w:rPr>
          <w:snapToGrid w:val="0"/>
        </w:rPr>
        <w:t xml:space="preserve"> </w:t>
      </w:r>
      <w:r w:rsidR="00326593">
        <w:rPr>
          <w:snapToGrid w:val="0"/>
        </w:rPr>
        <w:t>At the time of submitting the complaint,</w:t>
      </w:r>
      <w:r w:rsidR="00B9551F">
        <w:rPr>
          <w:snapToGrid w:val="0"/>
        </w:rPr>
        <w:t xml:space="preserve"> he </w:t>
      </w:r>
      <w:r w:rsidR="00326593">
        <w:rPr>
          <w:snapToGrid w:val="0"/>
        </w:rPr>
        <w:t xml:space="preserve">was </w:t>
      </w:r>
      <w:r w:rsidR="00B9551F">
        <w:rPr>
          <w:snapToGrid w:val="0"/>
        </w:rPr>
        <w:t>not talk</w:t>
      </w:r>
      <w:r w:rsidR="00326593">
        <w:rPr>
          <w:snapToGrid w:val="0"/>
        </w:rPr>
        <w:t>ing</w:t>
      </w:r>
      <w:r w:rsidR="00B9551F">
        <w:rPr>
          <w:snapToGrid w:val="0"/>
        </w:rPr>
        <w:t xml:space="preserve"> to his parents</w:t>
      </w:r>
      <w:r w:rsidR="00326593">
        <w:rPr>
          <w:snapToGrid w:val="0"/>
        </w:rPr>
        <w:t>, nor</w:t>
      </w:r>
      <w:r w:rsidR="00B9551F">
        <w:rPr>
          <w:snapToGrid w:val="0"/>
        </w:rPr>
        <w:t xml:space="preserve"> </w:t>
      </w:r>
      <w:r w:rsidR="00080F69">
        <w:rPr>
          <w:snapToGrid w:val="0"/>
        </w:rPr>
        <w:t xml:space="preserve">did </w:t>
      </w:r>
      <w:r w:rsidR="00B9551F">
        <w:rPr>
          <w:snapToGrid w:val="0"/>
        </w:rPr>
        <w:t>he</w:t>
      </w:r>
      <w:r w:rsidRPr="00BA0717">
        <w:rPr>
          <w:snapToGrid w:val="0"/>
        </w:rPr>
        <w:t xml:space="preserve"> have any contact with his former wife, as she </w:t>
      </w:r>
      <w:r w:rsidR="00326593">
        <w:rPr>
          <w:snapToGrid w:val="0"/>
        </w:rPr>
        <w:t xml:space="preserve">had </w:t>
      </w:r>
      <w:r w:rsidRPr="00BA0717">
        <w:rPr>
          <w:snapToGrid w:val="0"/>
        </w:rPr>
        <w:t xml:space="preserve">left him, unable to bear the pressure and </w:t>
      </w:r>
      <w:r w:rsidR="00326593">
        <w:rPr>
          <w:snapToGrid w:val="0"/>
        </w:rPr>
        <w:t xml:space="preserve">the </w:t>
      </w:r>
      <w:r w:rsidRPr="00BA0717">
        <w:rPr>
          <w:snapToGrid w:val="0"/>
        </w:rPr>
        <w:t>fear.</w:t>
      </w:r>
      <w:r w:rsidR="00B9551F">
        <w:rPr>
          <w:snapToGrid w:val="0"/>
        </w:rPr>
        <w:t xml:space="preserve"> </w:t>
      </w:r>
      <w:r w:rsidR="00326593">
        <w:rPr>
          <w:snapToGrid w:val="0"/>
        </w:rPr>
        <w:t>O</w:t>
      </w:r>
      <w:r w:rsidRPr="00BA0717">
        <w:rPr>
          <w:snapToGrid w:val="0"/>
        </w:rPr>
        <w:t xml:space="preserve">ne of </w:t>
      </w:r>
      <w:r w:rsidR="00326593">
        <w:rPr>
          <w:snapToGrid w:val="0"/>
        </w:rPr>
        <w:t>the complainant’s</w:t>
      </w:r>
      <w:r w:rsidR="00326593" w:rsidRPr="00BA0717">
        <w:rPr>
          <w:snapToGrid w:val="0"/>
        </w:rPr>
        <w:t xml:space="preserve"> </w:t>
      </w:r>
      <w:r w:rsidRPr="00BA0717">
        <w:rPr>
          <w:snapToGrid w:val="0"/>
        </w:rPr>
        <w:t>brothers was arrested in 2009 and sentenced to one year of imprisonment for allegedly assisting the complainant.</w:t>
      </w:r>
    </w:p>
    <w:p w:rsidR="007B7291" w:rsidRPr="00DF23DE" w:rsidRDefault="00BA0717" w:rsidP="00080F69">
      <w:pPr>
        <w:pStyle w:val="SingleTxtG"/>
        <w:rPr>
          <w:snapToGrid w:val="0"/>
        </w:rPr>
      </w:pPr>
      <w:r w:rsidRPr="00BA0717">
        <w:rPr>
          <w:snapToGrid w:val="0"/>
        </w:rPr>
        <w:t>2.</w:t>
      </w:r>
      <w:r w:rsidR="00B9551F">
        <w:rPr>
          <w:snapToGrid w:val="0"/>
        </w:rPr>
        <w:t>7</w:t>
      </w:r>
      <w:r w:rsidR="00B9551F">
        <w:rPr>
          <w:snapToGrid w:val="0"/>
        </w:rPr>
        <w:tab/>
      </w:r>
      <w:r w:rsidRPr="00BA0717">
        <w:rPr>
          <w:snapToGrid w:val="0"/>
        </w:rPr>
        <w:t xml:space="preserve">On an unspecified date, the complainant arrived in Sweden and applied for asylum. On 1 July 2013, the Migration Board dismissed his application. On an unspecified date, the complainant appealed </w:t>
      </w:r>
      <w:r w:rsidR="00B9551F">
        <w:rPr>
          <w:snapToGrid w:val="0"/>
        </w:rPr>
        <w:t>th</w:t>
      </w:r>
      <w:r w:rsidR="00B5000A">
        <w:rPr>
          <w:snapToGrid w:val="0"/>
        </w:rPr>
        <w:t>e</w:t>
      </w:r>
      <w:r w:rsidRPr="00BA0717">
        <w:rPr>
          <w:snapToGrid w:val="0"/>
        </w:rPr>
        <w:t xml:space="preserve"> </w:t>
      </w:r>
      <w:r w:rsidR="00B5000A" w:rsidRPr="00BA0717">
        <w:rPr>
          <w:snapToGrid w:val="0"/>
        </w:rPr>
        <w:t>Boa</w:t>
      </w:r>
      <w:r w:rsidR="00956634">
        <w:rPr>
          <w:snapToGrid w:val="0"/>
        </w:rPr>
        <w:t>r</w:t>
      </w:r>
      <w:r w:rsidR="00B5000A" w:rsidRPr="00BA0717">
        <w:rPr>
          <w:snapToGrid w:val="0"/>
        </w:rPr>
        <w:t>d</w:t>
      </w:r>
      <w:r w:rsidR="00B5000A">
        <w:rPr>
          <w:snapToGrid w:val="0"/>
        </w:rPr>
        <w:t xml:space="preserve">’s </w:t>
      </w:r>
      <w:r w:rsidRPr="00BA0717">
        <w:rPr>
          <w:snapToGrid w:val="0"/>
        </w:rPr>
        <w:t>decision. On 5 November 2013, the Migration Court rejected his appeal. On 14 January 2014, the Migration Court of Appeals denied the complainant’s request for a leave to appeal. The complainant claims to have exhausted all available domestic remedies.</w:t>
      </w:r>
    </w:p>
    <w:p w:rsidR="007821E7" w:rsidRPr="00DF23DE" w:rsidRDefault="007821E7" w:rsidP="007821E7">
      <w:pPr>
        <w:pStyle w:val="H23G"/>
        <w:rPr>
          <w:snapToGrid w:val="0"/>
        </w:rPr>
      </w:pPr>
      <w:r w:rsidRPr="00DF23DE">
        <w:rPr>
          <w:snapToGrid w:val="0"/>
        </w:rPr>
        <w:tab/>
      </w:r>
      <w:r w:rsidRPr="00DF23DE">
        <w:rPr>
          <w:snapToGrid w:val="0"/>
        </w:rPr>
        <w:tab/>
      </w:r>
      <w:r w:rsidR="007F1728" w:rsidRPr="00DF23DE">
        <w:rPr>
          <w:snapToGrid w:val="0"/>
        </w:rPr>
        <w:t>T</w:t>
      </w:r>
      <w:r w:rsidRPr="00DF23DE">
        <w:rPr>
          <w:snapToGrid w:val="0"/>
        </w:rPr>
        <w:t>he complaint</w:t>
      </w:r>
    </w:p>
    <w:p w:rsidR="00147B55" w:rsidRDefault="001F3BCA" w:rsidP="00956634">
      <w:pPr>
        <w:pStyle w:val="SingleTxtG"/>
        <w:rPr>
          <w:snapToGrid w:val="0"/>
        </w:rPr>
      </w:pPr>
      <w:r w:rsidRPr="00DF23DE">
        <w:rPr>
          <w:snapToGrid w:val="0"/>
        </w:rPr>
        <w:t>3.</w:t>
      </w:r>
      <w:r w:rsidR="00A42F87">
        <w:rPr>
          <w:snapToGrid w:val="0"/>
        </w:rPr>
        <w:tab/>
      </w:r>
      <w:r w:rsidR="00A42F87" w:rsidRPr="00A42F87">
        <w:rPr>
          <w:snapToGrid w:val="0"/>
        </w:rPr>
        <w:t>The complainant claims that his deportation to the Russian Federation would violate his rights under article 3 of the Convention because he would be at personal risk of being persecuted, tortured and ill-treated upon return.</w:t>
      </w:r>
    </w:p>
    <w:p w:rsidR="007821E7" w:rsidRPr="00597408" w:rsidRDefault="007821E7" w:rsidP="00597408">
      <w:pPr>
        <w:pStyle w:val="H23G"/>
        <w:rPr>
          <w:snapToGrid w:val="0"/>
        </w:rPr>
      </w:pPr>
      <w:r w:rsidRPr="00DF23DE">
        <w:rPr>
          <w:snapToGrid w:val="0"/>
        </w:rPr>
        <w:lastRenderedPageBreak/>
        <w:tab/>
      </w:r>
      <w:r w:rsidRPr="00DF23DE">
        <w:rPr>
          <w:snapToGrid w:val="0"/>
        </w:rPr>
        <w:tab/>
        <w:t xml:space="preserve">State party’s observations on </w:t>
      </w:r>
      <w:r w:rsidR="006A2B5E" w:rsidRPr="00597408">
        <w:rPr>
          <w:snapToGrid w:val="0"/>
        </w:rPr>
        <w:t>admissibility</w:t>
      </w:r>
      <w:r w:rsidR="00597408" w:rsidRPr="00597408">
        <w:rPr>
          <w:snapToGrid w:val="0"/>
        </w:rPr>
        <w:t xml:space="preserve"> and the merits</w:t>
      </w:r>
    </w:p>
    <w:p w:rsidR="00CA2056" w:rsidRPr="00CA5D72" w:rsidRDefault="007821E7" w:rsidP="00080F69">
      <w:pPr>
        <w:pStyle w:val="SingleTxtG"/>
        <w:rPr>
          <w:rFonts w:eastAsia="SimSun"/>
        </w:rPr>
      </w:pPr>
      <w:r w:rsidRPr="00DF23DE">
        <w:rPr>
          <w:snapToGrid w:val="0"/>
        </w:rPr>
        <w:t>4.1</w:t>
      </w:r>
      <w:r w:rsidRPr="00DF23DE">
        <w:rPr>
          <w:snapToGrid w:val="0"/>
        </w:rPr>
        <w:tab/>
      </w:r>
      <w:r w:rsidR="00CA2056" w:rsidRPr="00CA5D72">
        <w:rPr>
          <w:rStyle w:val="SingleTxtGChar"/>
          <w:rFonts w:eastAsia="SimSun"/>
        </w:rPr>
        <w:t xml:space="preserve">By </w:t>
      </w:r>
      <w:r w:rsidR="00956634">
        <w:rPr>
          <w:rStyle w:val="SingleTxtGChar"/>
          <w:rFonts w:eastAsia="SimSun"/>
        </w:rPr>
        <w:t>a n</w:t>
      </w:r>
      <w:r w:rsidR="00CA2056" w:rsidRPr="00CA5D72">
        <w:rPr>
          <w:rStyle w:val="SingleTxtGChar"/>
          <w:rFonts w:eastAsia="SimSun"/>
        </w:rPr>
        <w:t xml:space="preserve">ote </w:t>
      </w:r>
      <w:r w:rsidR="00956634">
        <w:rPr>
          <w:rStyle w:val="SingleTxtGChar"/>
          <w:rFonts w:eastAsia="SimSun"/>
        </w:rPr>
        <w:t>v</w:t>
      </w:r>
      <w:r w:rsidR="00CA2056" w:rsidRPr="00CA5D72">
        <w:rPr>
          <w:rStyle w:val="SingleTxtGChar"/>
          <w:rFonts w:eastAsia="SimSun"/>
        </w:rPr>
        <w:t xml:space="preserve">erbale </w:t>
      </w:r>
      <w:r w:rsidR="00080F69">
        <w:rPr>
          <w:rStyle w:val="SingleTxtGChar"/>
          <w:rFonts w:eastAsia="SimSun"/>
        </w:rPr>
        <w:t>dated</w:t>
      </w:r>
      <w:r w:rsidR="00080F69" w:rsidRPr="00CA5D72">
        <w:rPr>
          <w:rStyle w:val="SingleTxtGChar"/>
          <w:rFonts w:eastAsia="SimSun"/>
        </w:rPr>
        <w:t xml:space="preserve"> </w:t>
      </w:r>
      <w:r w:rsidR="00CA2056">
        <w:rPr>
          <w:rStyle w:val="SingleTxtGChar"/>
          <w:rFonts w:eastAsia="SimSun"/>
        </w:rPr>
        <w:t>12 December</w:t>
      </w:r>
      <w:r w:rsidR="00CA2056" w:rsidRPr="00CA5D72">
        <w:rPr>
          <w:rStyle w:val="SingleTxtGChar"/>
          <w:rFonts w:eastAsia="SimSun"/>
        </w:rPr>
        <w:t xml:space="preserve"> 2014, the State party submitted its observations on admissibility and the merits. It recalls the facts of the case and also provides excerpts from relevant domestic legislation. The State party submits that the complainant</w:t>
      </w:r>
      <w:r w:rsidR="00E108E8">
        <w:rPr>
          <w:rStyle w:val="SingleTxtGChar"/>
          <w:rFonts w:eastAsia="SimSun"/>
        </w:rPr>
        <w:t>’</w:t>
      </w:r>
      <w:r w:rsidR="00CA2056" w:rsidRPr="00CA5D72">
        <w:rPr>
          <w:rStyle w:val="SingleTxtGChar"/>
          <w:rFonts w:eastAsia="SimSun"/>
        </w:rPr>
        <w:t>s case was assessed under the 2005 Aliens Act. The State party’s authorities, upon examination of the facts of the case,</w:t>
      </w:r>
      <w:r w:rsidR="00E108E8">
        <w:rPr>
          <w:rStyle w:val="SingleTxtGChar"/>
          <w:rFonts w:eastAsia="SimSun"/>
        </w:rPr>
        <w:t xml:space="preserve"> concluded that the complainant “</w:t>
      </w:r>
      <w:r w:rsidR="00CA2056" w:rsidRPr="00CA5D72">
        <w:rPr>
          <w:rStyle w:val="SingleTxtGChar"/>
          <w:rFonts w:eastAsia="SimSun"/>
        </w:rPr>
        <w:t>ha</w:t>
      </w:r>
      <w:r w:rsidR="00E108E8">
        <w:rPr>
          <w:rStyle w:val="SingleTxtGChar"/>
          <w:rFonts w:eastAsia="SimSun"/>
        </w:rPr>
        <w:t>s</w:t>
      </w:r>
      <w:r w:rsidR="00CA2056" w:rsidRPr="00CA5D72">
        <w:rPr>
          <w:rStyle w:val="SingleTxtGChar"/>
          <w:rFonts w:eastAsia="SimSun"/>
        </w:rPr>
        <w:t xml:space="preserve"> not shown that </w:t>
      </w:r>
      <w:r w:rsidR="00E108E8">
        <w:rPr>
          <w:rStyle w:val="SingleTxtGChar"/>
          <w:rFonts w:eastAsia="SimSun"/>
        </w:rPr>
        <w:t>he is</w:t>
      </w:r>
      <w:r w:rsidR="00CA2056" w:rsidRPr="00CA5D72">
        <w:rPr>
          <w:rStyle w:val="SingleTxtGChar"/>
          <w:rFonts w:eastAsia="SimSun"/>
        </w:rPr>
        <w:t xml:space="preserve"> in need of protection”. </w:t>
      </w:r>
    </w:p>
    <w:p w:rsidR="00CA2056" w:rsidRDefault="00147B55" w:rsidP="00956634">
      <w:pPr>
        <w:pStyle w:val="SingleTxtG"/>
        <w:rPr>
          <w:snapToGrid w:val="0"/>
        </w:rPr>
      </w:pPr>
      <w:r>
        <w:rPr>
          <w:snapToGrid w:val="0"/>
        </w:rPr>
        <w:t>4.2</w:t>
      </w:r>
      <w:r>
        <w:rPr>
          <w:snapToGrid w:val="0"/>
        </w:rPr>
        <w:tab/>
      </w:r>
      <w:r w:rsidR="00CA2056">
        <w:rPr>
          <w:snapToGrid w:val="0"/>
        </w:rPr>
        <w:t xml:space="preserve">The State party further submits unofficial translations of the proceedings of the Swedish migration authorities to show the reasoning behind the State party’s decision to expel the complainant. The findings confirm that the complainant is not in need of protection and can be expelled to the Russian Federation. </w:t>
      </w:r>
    </w:p>
    <w:p w:rsidR="007821E7" w:rsidRDefault="00CA2056" w:rsidP="00956634">
      <w:pPr>
        <w:pStyle w:val="SingleTxtG"/>
        <w:rPr>
          <w:snapToGrid w:val="0"/>
        </w:rPr>
      </w:pPr>
      <w:r>
        <w:rPr>
          <w:snapToGrid w:val="0"/>
        </w:rPr>
        <w:t>4.3</w:t>
      </w:r>
      <w:r>
        <w:rPr>
          <w:snapToGrid w:val="0"/>
        </w:rPr>
        <w:tab/>
        <w:t xml:space="preserve">The complainant arrived in Sweden on 25 October 2012 and applied for asylum the following day. </w:t>
      </w:r>
      <w:r w:rsidR="00814ED8">
        <w:rPr>
          <w:snapToGrid w:val="0"/>
        </w:rPr>
        <w:t>The State party’s migration authorities rejected the application and decided</w:t>
      </w:r>
      <w:r w:rsidR="00956634">
        <w:rPr>
          <w:snapToGrid w:val="0"/>
        </w:rPr>
        <w:t>,</w:t>
      </w:r>
      <w:r w:rsidR="00814ED8">
        <w:rPr>
          <w:snapToGrid w:val="0"/>
        </w:rPr>
        <w:t xml:space="preserve"> on 1 July 2013</w:t>
      </w:r>
      <w:r w:rsidR="00956634">
        <w:rPr>
          <w:snapToGrid w:val="0"/>
        </w:rPr>
        <w:t>,</w:t>
      </w:r>
      <w:r w:rsidR="00814ED8">
        <w:rPr>
          <w:snapToGrid w:val="0"/>
        </w:rPr>
        <w:t xml:space="preserve"> to expel the complainant. The decision was appealed, but</w:t>
      </w:r>
      <w:r w:rsidR="00956634" w:rsidRPr="00956634">
        <w:rPr>
          <w:snapToGrid w:val="0"/>
        </w:rPr>
        <w:t xml:space="preserve"> </w:t>
      </w:r>
      <w:r w:rsidR="00956634">
        <w:rPr>
          <w:snapToGrid w:val="0"/>
        </w:rPr>
        <w:t>on 5 November 2013</w:t>
      </w:r>
      <w:r w:rsidR="00814ED8">
        <w:rPr>
          <w:snapToGrid w:val="0"/>
        </w:rPr>
        <w:t xml:space="preserve"> the Migration Court rejected th</w:t>
      </w:r>
      <w:r w:rsidR="00956634">
        <w:rPr>
          <w:snapToGrid w:val="0"/>
        </w:rPr>
        <w:t>e</w:t>
      </w:r>
      <w:r w:rsidR="00814ED8">
        <w:rPr>
          <w:snapToGrid w:val="0"/>
        </w:rPr>
        <w:t xml:space="preserve"> appeal. On 14 January 2014, the Migration Court of Appeal</w:t>
      </w:r>
      <w:r w:rsidR="00956634">
        <w:rPr>
          <w:snapToGrid w:val="0"/>
        </w:rPr>
        <w:t>s</w:t>
      </w:r>
      <w:r w:rsidR="00814ED8">
        <w:rPr>
          <w:snapToGrid w:val="0"/>
        </w:rPr>
        <w:t xml:space="preserve"> refused the complainant</w:t>
      </w:r>
      <w:r w:rsidR="00956634">
        <w:rPr>
          <w:snapToGrid w:val="0"/>
        </w:rPr>
        <w:t>’s</w:t>
      </w:r>
      <w:r w:rsidR="00814ED8">
        <w:rPr>
          <w:snapToGrid w:val="0"/>
        </w:rPr>
        <w:t xml:space="preserve"> request for leave to appeal and the decision to expel </w:t>
      </w:r>
      <w:r w:rsidR="00CF3C48">
        <w:rPr>
          <w:snapToGrid w:val="0"/>
        </w:rPr>
        <w:t xml:space="preserve">him </w:t>
      </w:r>
      <w:r w:rsidR="00814ED8">
        <w:rPr>
          <w:snapToGrid w:val="0"/>
        </w:rPr>
        <w:t xml:space="preserve">became final. </w:t>
      </w:r>
    </w:p>
    <w:p w:rsidR="00814ED8" w:rsidRDefault="00814ED8" w:rsidP="00956634">
      <w:pPr>
        <w:pStyle w:val="SingleTxtG"/>
        <w:rPr>
          <w:rFonts w:eastAsia="SimSun"/>
        </w:rPr>
      </w:pPr>
      <w:r>
        <w:rPr>
          <w:snapToGrid w:val="0"/>
        </w:rPr>
        <w:t>4.4</w:t>
      </w:r>
      <w:r>
        <w:rPr>
          <w:snapToGrid w:val="0"/>
        </w:rPr>
        <w:tab/>
        <w:t xml:space="preserve">On 4 February 2014, the </w:t>
      </w:r>
      <w:r w:rsidRPr="00CA5D72">
        <w:rPr>
          <w:rFonts w:eastAsia="SimSun"/>
        </w:rPr>
        <w:t xml:space="preserve">complainant claimed before the Migration Board that there “were impediments to enforcement of the decision to expel </w:t>
      </w:r>
      <w:r>
        <w:rPr>
          <w:rFonts w:eastAsia="SimSun"/>
        </w:rPr>
        <w:t>him</w:t>
      </w:r>
      <w:r w:rsidRPr="00CA5D72">
        <w:rPr>
          <w:rFonts w:eastAsia="SimSun"/>
        </w:rPr>
        <w:t xml:space="preserve">” and requested </w:t>
      </w:r>
      <w:r w:rsidR="00956634">
        <w:rPr>
          <w:rFonts w:eastAsia="SimSun"/>
        </w:rPr>
        <w:t>a</w:t>
      </w:r>
      <w:r w:rsidR="00956634" w:rsidRPr="00CA5D72">
        <w:rPr>
          <w:rFonts w:eastAsia="SimSun"/>
        </w:rPr>
        <w:t xml:space="preserve"> </w:t>
      </w:r>
      <w:r w:rsidRPr="00CA5D72">
        <w:rPr>
          <w:rFonts w:eastAsia="SimSun"/>
        </w:rPr>
        <w:t xml:space="preserve">re-examination of </w:t>
      </w:r>
      <w:r>
        <w:rPr>
          <w:rFonts w:eastAsia="SimSun"/>
        </w:rPr>
        <w:t>his</w:t>
      </w:r>
      <w:r w:rsidRPr="00CA5D72">
        <w:rPr>
          <w:rFonts w:eastAsia="SimSun"/>
        </w:rPr>
        <w:t xml:space="preserve"> case. Th</w:t>
      </w:r>
      <w:r w:rsidR="00956634">
        <w:rPr>
          <w:rFonts w:eastAsia="SimSun"/>
        </w:rPr>
        <w:t>at</w:t>
      </w:r>
      <w:r w:rsidRPr="00CA5D72">
        <w:rPr>
          <w:rFonts w:eastAsia="SimSun"/>
        </w:rPr>
        <w:t xml:space="preserve"> request was rejected on </w:t>
      </w:r>
      <w:r>
        <w:rPr>
          <w:rFonts w:eastAsia="SimSun"/>
        </w:rPr>
        <w:t xml:space="preserve">18 February 2014 and </w:t>
      </w:r>
      <w:r w:rsidR="00956634">
        <w:rPr>
          <w:rFonts w:eastAsia="SimSun"/>
        </w:rPr>
        <w:t>no</w:t>
      </w:r>
      <w:r>
        <w:rPr>
          <w:rFonts w:eastAsia="SimSun"/>
        </w:rPr>
        <w:t xml:space="preserve"> appeal against</w:t>
      </w:r>
      <w:r w:rsidR="00956634">
        <w:rPr>
          <w:rFonts w:eastAsia="SimSun"/>
        </w:rPr>
        <w:t xml:space="preserve"> that decision was filed</w:t>
      </w:r>
      <w:r w:rsidRPr="00CA5D72">
        <w:rPr>
          <w:rFonts w:eastAsia="SimSun"/>
        </w:rPr>
        <w:t>.</w:t>
      </w:r>
    </w:p>
    <w:p w:rsidR="00E753F1" w:rsidRDefault="00E753F1" w:rsidP="00956634">
      <w:pPr>
        <w:pStyle w:val="SingleTxtG"/>
        <w:rPr>
          <w:rFonts w:eastAsia="SimSun"/>
        </w:rPr>
      </w:pPr>
      <w:r>
        <w:rPr>
          <w:rFonts w:eastAsia="SimSun"/>
        </w:rPr>
        <w:t>4.5</w:t>
      </w:r>
      <w:r>
        <w:rPr>
          <w:rFonts w:eastAsia="SimSun"/>
        </w:rPr>
        <w:tab/>
        <w:t xml:space="preserve">The State party does not contest that all available domestic remedies have been exhausted in the present case. </w:t>
      </w:r>
      <w:r w:rsidR="00CF3C48">
        <w:rPr>
          <w:rFonts w:eastAsia="SimSun"/>
        </w:rPr>
        <w:t xml:space="preserve">It </w:t>
      </w:r>
      <w:r>
        <w:rPr>
          <w:rFonts w:eastAsia="SimSun"/>
        </w:rPr>
        <w:t xml:space="preserve">submits, however, that </w:t>
      </w:r>
      <w:r w:rsidRPr="00CA5D72">
        <w:rPr>
          <w:rFonts w:eastAsia="SimSun"/>
        </w:rPr>
        <w:t xml:space="preserve">the claims </w:t>
      </w:r>
      <w:r>
        <w:rPr>
          <w:rFonts w:eastAsia="SimSun"/>
        </w:rPr>
        <w:t xml:space="preserve">presented by the complainant </w:t>
      </w:r>
      <w:r w:rsidRPr="00CA5D72">
        <w:rPr>
          <w:rFonts w:eastAsia="SimSun"/>
        </w:rPr>
        <w:t>are “manifestly unfounded” and</w:t>
      </w:r>
      <w:r w:rsidR="00956634">
        <w:rPr>
          <w:rFonts w:eastAsia="SimSun"/>
        </w:rPr>
        <w:t>,</w:t>
      </w:r>
      <w:r w:rsidRPr="00CA5D72">
        <w:rPr>
          <w:rFonts w:eastAsia="SimSun"/>
        </w:rPr>
        <w:t xml:space="preserve"> therefore,</w:t>
      </w:r>
      <w:r>
        <w:rPr>
          <w:rFonts w:eastAsia="SimSun"/>
        </w:rPr>
        <w:t xml:space="preserve"> </w:t>
      </w:r>
      <w:r w:rsidR="00956634">
        <w:rPr>
          <w:rFonts w:eastAsia="SimSun"/>
        </w:rPr>
        <w:t xml:space="preserve">that they </w:t>
      </w:r>
      <w:r>
        <w:rPr>
          <w:rFonts w:eastAsia="SimSun"/>
        </w:rPr>
        <w:t>should be considered</w:t>
      </w:r>
      <w:r w:rsidRPr="00CA5D72">
        <w:rPr>
          <w:rFonts w:eastAsia="SimSun"/>
        </w:rPr>
        <w:t xml:space="preserve"> inadmissible under article 22 </w:t>
      </w:r>
      <w:r w:rsidR="00956634">
        <w:rPr>
          <w:rFonts w:eastAsia="SimSun"/>
        </w:rPr>
        <w:t>(</w:t>
      </w:r>
      <w:r w:rsidRPr="00CA5D72">
        <w:rPr>
          <w:rFonts w:eastAsia="SimSun"/>
        </w:rPr>
        <w:t>2</w:t>
      </w:r>
      <w:r w:rsidR="00956634">
        <w:rPr>
          <w:rFonts w:eastAsia="SimSun"/>
        </w:rPr>
        <w:t>)</w:t>
      </w:r>
      <w:r w:rsidRPr="00CA5D72">
        <w:rPr>
          <w:rFonts w:eastAsia="SimSun"/>
        </w:rPr>
        <w:t xml:space="preserve"> of the </w:t>
      </w:r>
      <w:r w:rsidR="00956634">
        <w:rPr>
          <w:rFonts w:eastAsia="SimSun"/>
        </w:rPr>
        <w:t>Convention</w:t>
      </w:r>
      <w:r w:rsidRPr="00CA5D72">
        <w:rPr>
          <w:rFonts w:eastAsia="SimSun"/>
        </w:rPr>
        <w:t xml:space="preserve"> and rule 113 (b) of the Committee’s rules of procedure. </w:t>
      </w:r>
    </w:p>
    <w:p w:rsidR="00E753F1" w:rsidRPr="003671CB" w:rsidRDefault="002F7D8F" w:rsidP="00B56330">
      <w:pPr>
        <w:pStyle w:val="SingleTxtG"/>
      </w:pPr>
      <w:r>
        <w:t>4.</w:t>
      </w:r>
      <w:r w:rsidR="00A170DC">
        <w:t>6</w:t>
      </w:r>
      <w:r>
        <w:tab/>
      </w:r>
      <w:r w:rsidR="00E753F1">
        <w:t>Regarding the merits</w:t>
      </w:r>
      <w:r>
        <w:t xml:space="preserve"> of the communication</w:t>
      </w:r>
      <w:r w:rsidR="00E753F1">
        <w:t xml:space="preserve">, </w:t>
      </w:r>
      <w:r w:rsidR="008C7AB6">
        <w:t>the State party explains that</w:t>
      </w:r>
      <w:r w:rsidR="00B56330">
        <w:t>,</w:t>
      </w:r>
      <w:r w:rsidR="008C7AB6">
        <w:t xml:space="preserve"> </w:t>
      </w:r>
      <w:r w:rsidR="00E753F1">
        <w:t>i</w:t>
      </w:r>
      <w:r w:rsidR="00E753F1" w:rsidRPr="00CA5D72">
        <w:t xml:space="preserve">n considering the present case, </w:t>
      </w:r>
      <w:r w:rsidR="008C7AB6">
        <w:t>it</w:t>
      </w:r>
      <w:r w:rsidR="00E753F1" w:rsidRPr="00CA5D72">
        <w:t xml:space="preserve"> </w:t>
      </w:r>
      <w:r>
        <w:t>e</w:t>
      </w:r>
      <w:r w:rsidR="00E753F1" w:rsidRPr="00CA5D72">
        <w:t xml:space="preserve">xamined the general human rights situation in the Russian Federation and, in particular, the personal risk </w:t>
      </w:r>
      <w:r w:rsidR="00B56330">
        <w:t>to</w:t>
      </w:r>
      <w:r w:rsidR="00E753F1" w:rsidRPr="00CA5D72">
        <w:t xml:space="preserve"> the complainant</w:t>
      </w:r>
      <w:r w:rsidR="00E753F1" w:rsidRPr="00C61CAF">
        <w:t xml:space="preserve"> </w:t>
      </w:r>
      <w:r w:rsidR="00B56330">
        <w:t>of</w:t>
      </w:r>
      <w:r w:rsidR="00E753F1" w:rsidRPr="00C61CAF">
        <w:t xml:space="preserve"> be</w:t>
      </w:r>
      <w:r w:rsidR="00B56330">
        <w:t>ing</w:t>
      </w:r>
      <w:r w:rsidR="00E753F1" w:rsidRPr="00C61CAF">
        <w:t xml:space="preserve"> subjected to torture if returned there. The State party notes that </w:t>
      </w:r>
      <w:r w:rsidR="00E753F1">
        <w:t xml:space="preserve">it </w:t>
      </w:r>
      <w:r w:rsidR="00B56330">
        <w:t>is incumbent on</w:t>
      </w:r>
      <w:r w:rsidR="00E753F1" w:rsidRPr="00C61CAF">
        <w:t xml:space="preserve"> the complainant</w:t>
      </w:r>
      <w:r w:rsidR="008C7AB6">
        <w:t>s</w:t>
      </w:r>
      <w:r w:rsidR="00E753F1" w:rsidRPr="00C61CAF">
        <w:t xml:space="preserve">, who must present an arguable case, to establish that </w:t>
      </w:r>
      <w:r w:rsidR="008C7AB6">
        <w:t>they</w:t>
      </w:r>
      <w:r>
        <w:t xml:space="preserve"> </w:t>
      </w:r>
      <w:r w:rsidR="00E753F1" w:rsidRPr="00C61CAF">
        <w:t>run a foreseeable, real and personal risk of being subjected to torture.</w:t>
      </w:r>
      <w:r w:rsidR="008565F2">
        <w:rPr>
          <w:rStyle w:val="FootnoteReference"/>
        </w:rPr>
        <w:footnoteReference w:id="9"/>
      </w:r>
      <w:r w:rsidR="00E753F1" w:rsidRPr="00C61CAF">
        <w:t xml:space="preserve"> In addition, </w:t>
      </w:r>
      <w:r w:rsidR="00B56330">
        <w:t xml:space="preserve">while </w:t>
      </w:r>
      <w:r w:rsidR="00E753F1" w:rsidRPr="00C61CAF">
        <w:t xml:space="preserve">the risk of torture must be assessed on grounds that go beyond mere theory, </w:t>
      </w:r>
      <w:r w:rsidR="00B56330">
        <w:t>it</w:t>
      </w:r>
      <w:r w:rsidR="00B56330" w:rsidRPr="00C61CAF">
        <w:t xml:space="preserve"> </w:t>
      </w:r>
      <w:r w:rsidR="00E753F1">
        <w:t>does not</w:t>
      </w:r>
      <w:r w:rsidR="00E753F1" w:rsidRPr="00C61CAF">
        <w:t xml:space="preserve"> have to meet the test of being highly probable. </w:t>
      </w:r>
    </w:p>
    <w:p w:rsidR="00E753F1" w:rsidRPr="00C61CAF" w:rsidRDefault="00E753F1" w:rsidP="00FF5CA3">
      <w:pPr>
        <w:pStyle w:val="SingleTxtG"/>
      </w:pPr>
      <w:r w:rsidRPr="00C61CAF">
        <w:t>4.</w:t>
      </w:r>
      <w:r w:rsidR="00A170DC">
        <w:t>7</w:t>
      </w:r>
      <w:r w:rsidRPr="00C61CAF">
        <w:tab/>
        <w:t xml:space="preserve">Regarding the current </w:t>
      </w:r>
      <w:r w:rsidR="00C15E9F">
        <w:t xml:space="preserve">human rights </w:t>
      </w:r>
      <w:r w:rsidRPr="00C61CAF">
        <w:t>situation in the Russian Federation, specifically in the northern Caucasus, the State party notes that recent reports</w:t>
      </w:r>
      <w:r w:rsidRPr="00CC75EE">
        <w:rPr>
          <w:rStyle w:val="FootnoteReference"/>
        </w:rPr>
        <w:footnoteReference w:id="10"/>
      </w:r>
      <w:r w:rsidRPr="00CC75EE">
        <w:rPr>
          <w:rStyle w:val="FootnoteReference"/>
        </w:rPr>
        <w:t xml:space="preserve"> </w:t>
      </w:r>
      <w:r w:rsidRPr="00C61CAF">
        <w:t xml:space="preserve">show that the general levels of violence have </w:t>
      </w:r>
      <w:r>
        <w:t>decreased</w:t>
      </w:r>
      <w:r w:rsidRPr="00C61CAF">
        <w:t xml:space="preserve"> </w:t>
      </w:r>
      <w:r w:rsidR="00B56330">
        <w:t>during the p</w:t>
      </w:r>
      <w:r w:rsidRPr="00C61CAF">
        <w:t xml:space="preserve">ast several years. At the same time, the State party </w:t>
      </w:r>
      <w:r>
        <w:t>does not</w:t>
      </w:r>
      <w:r w:rsidRPr="00C61CAF">
        <w:t xml:space="preserve"> underestimate the concerns regarding the human rights situation, since recent reports still contain information of human rights violations</w:t>
      </w:r>
      <w:r w:rsidR="00C15E9F">
        <w:t xml:space="preserve">, such as </w:t>
      </w:r>
      <w:r w:rsidRPr="00C61CAF">
        <w:t>arbitrary detentions, abductions, torture and extrajudicial killings</w:t>
      </w:r>
      <w:r w:rsidR="00B56330">
        <w:t>,</w:t>
      </w:r>
      <w:r w:rsidR="00B56330" w:rsidRPr="00B56330">
        <w:t xml:space="preserve"> </w:t>
      </w:r>
      <w:r w:rsidR="00B56330" w:rsidRPr="00C61CAF">
        <w:t xml:space="preserve">against </w:t>
      </w:r>
      <w:r w:rsidR="00B56330">
        <w:t xml:space="preserve">the </w:t>
      </w:r>
      <w:r w:rsidR="00B56330" w:rsidRPr="00C61CAF">
        <w:t>civilian population</w:t>
      </w:r>
      <w:r w:rsidRPr="00C61CAF">
        <w:t>.</w:t>
      </w:r>
      <w:r w:rsidR="002F7D8F">
        <w:t xml:space="preserve"> The current situation in Chechnya in itself</w:t>
      </w:r>
      <w:r w:rsidR="00B56330" w:rsidRPr="00B56330">
        <w:t xml:space="preserve"> </w:t>
      </w:r>
      <w:r w:rsidR="00B56330">
        <w:t>does not, however,</w:t>
      </w:r>
      <w:r w:rsidR="002F7D8F">
        <w:t xml:space="preserve"> establish </w:t>
      </w:r>
      <w:r w:rsidR="00B56330">
        <w:t xml:space="preserve">a </w:t>
      </w:r>
      <w:r w:rsidR="002F7D8F">
        <w:t>risk of torture for the complainant</w:t>
      </w:r>
      <w:r w:rsidR="00B56330">
        <w:t xml:space="preserve"> should</w:t>
      </w:r>
      <w:r w:rsidR="002F7D8F">
        <w:t xml:space="preserve"> he </w:t>
      </w:r>
      <w:r w:rsidR="00B56330">
        <w:t>be</w:t>
      </w:r>
      <w:r w:rsidR="002F7D8F">
        <w:t xml:space="preserve"> expelled to his home country.</w:t>
      </w:r>
    </w:p>
    <w:p w:rsidR="00E753F1" w:rsidRDefault="00331B71" w:rsidP="00B56330">
      <w:pPr>
        <w:pStyle w:val="SingleTxtG"/>
      </w:pPr>
      <w:r>
        <w:lastRenderedPageBreak/>
        <w:t>4.</w:t>
      </w:r>
      <w:r w:rsidR="00A170DC">
        <w:t>8</w:t>
      </w:r>
      <w:r w:rsidR="00E753F1" w:rsidRPr="00C61CAF">
        <w:tab/>
        <w:t>The State party submits that several provisions of the Aliens Act reflect the principle</w:t>
      </w:r>
      <w:r w:rsidR="009F184F">
        <w:t>s</w:t>
      </w:r>
      <w:r w:rsidR="00E753F1" w:rsidRPr="00C61CAF">
        <w:t xml:space="preserve"> </w:t>
      </w:r>
      <w:r w:rsidR="00B56330">
        <w:t>contained in</w:t>
      </w:r>
      <w:r w:rsidR="00E753F1" w:rsidRPr="00C61CAF">
        <w:t xml:space="preserve"> article 3 of the Convention and</w:t>
      </w:r>
      <w:r w:rsidR="00E753F1">
        <w:t>,</w:t>
      </w:r>
      <w:r w:rsidR="00E753F1" w:rsidRPr="00C61CAF">
        <w:t xml:space="preserve"> therefore, </w:t>
      </w:r>
      <w:r w:rsidR="00B56330">
        <w:t xml:space="preserve">that </w:t>
      </w:r>
      <w:r w:rsidR="00E753F1" w:rsidRPr="00C61CAF">
        <w:t xml:space="preserve">the State party authorities apply the same kind of test when considering asylum applications. According to </w:t>
      </w:r>
      <w:r w:rsidR="00E753F1" w:rsidRPr="00627183">
        <w:t>sections 1-3</w:t>
      </w:r>
      <w:r w:rsidR="00E753F1">
        <w:t xml:space="preserve"> of chapter 12</w:t>
      </w:r>
      <w:r w:rsidR="00E753F1" w:rsidRPr="00627183">
        <w:t xml:space="preserve"> of the Aliens Act</w:t>
      </w:r>
      <w:r w:rsidR="00E753F1" w:rsidRPr="00C61CAF">
        <w:t>, a</w:t>
      </w:r>
      <w:r w:rsidR="00B56330">
        <w:t xml:space="preserve"> person</w:t>
      </w:r>
      <w:r w:rsidR="00E753F1" w:rsidRPr="00C61CAF">
        <w:t xml:space="preserve"> seek</w:t>
      </w:r>
      <w:r w:rsidR="00B56330">
        <w:t>ing asylum</w:t>
      </w:r>
      <w:r w:rsidR="00E753F1" w:rsidRPr="00C61CAF">
        <w:t xml:space="preserve"> cannot be returned to a country where there are reasonable grounds to assume that </w:t>
      </w:r>
      <w:r w:rsidR="00B56330">
        <w:t>he or she</w:t>
      </w:r>
      <w:r w:rsidR="00E753F1" w:rsidRPr="00C61CAF">
        <w:t xml:space="preserve"> would be in danger of being subjected to </w:t>
      </w:r>
      <w:r w:rsidR="00B56330">
        <w:t xml:space="preserve">the </w:t>
      </w:r>
      <w:r w:rsidR="00E753F1" w:rsidRPr="00C61CAF">
        <w:t xml:space="preserve">death penalty, </w:t>
      </w:r>
      <w:r w:rsidR="00B56330">
        <w:t xml:space="preserve">to </w:t>
      </w:r>
      <w:r w:rsidR="00E753F1" w:rsidRPr="00C61CAF">
        <w:t xml:space="preserve">corporal punishment, </w:t>
      </w:r>
      <w:r w:rsidR="00B56330">
        <w:t xml:space="preserve">to </w:t>
      </w:r>
      <w:r w:rsidR="00E753F1" w:rsidRPr="00C61CAF">
        <w:t xml:space="preserve">torture or </w:t>
      </w:r>
      <w:r w:rsidR="00B56330">
        <w:t xml:space="preserve">to </w:t>
      </w:r>
      <w:r w:rsidR="00E753F1" w:rsidRPr="00C61CAF">
        <w:t xml:space="preserve">other degrading treatment or punishment. </w:t>
      </w:r>
    </w:p>
    <w:p w:rsidR="00574695" w:rsidRDefault="00574695" w:rsidP="005E31EF">
      <w:pPr>
        <w:pStyle w:val="SingleTxtG"/>
      </w:pPr>
      <w:r>
        <w:t>4.</w:t>
      </w:r>
      <w:r w:rsidR="00A170DC">
        <w:t>9</w:t>
      </w:r>
      <w:r>
        <w:tab/>
        <w:t xml:space="preserve">When the complainant applied for asylum, the Migration Board conducted multiple individual interviews with </w:t>
      </w:r>
      <w:r w:rsidR="009F184F">
        <w:t>him</w:t>
      </w:r>
      <w:r>
        <w:t xml:space="preserve"> to </w:t>
      </w:r>
      <w:r w:rsidR="009F184F">
        <w:t xml:space="preserve">enable </w:t>
      </w:r>
      <w:r>
        <w:t>him to submit the reasons for his need for protection and to explain all relevant facts. During th</w:t>
      </w:r>
      <w:r w:rsidR="00B56330">
        <w:t>o</w:t>
      </w:r>
      <w:r>
        <w:t>se interviews, the complainant was represented by counsel. During the initial interview on 28 October 2012, the complainant stated that he was satisfied with his counsel. Moreover, the complainant</w:t>
      </w:r>
      <w:r w:rsidR="005E31EF" w:rsidRPr="005E31EF">
        <w:t xml:space="preserve"> </w:t>
      </w:r>
      <w:r w:rsidR="005E31EF">
        <w:t>was able to submit written briefs</w:t>
      </w:r>
      <w:r>
        <w:t xml:space="preserve"> in addition to oral interviews. The State party therefore suggests that its authorities had enough information </w:t>
      </w:r>
      <w:r w:rsidR="005E31EF">
        <w:t xml:space="preserve">to make </w:t>
      </w:r>
      <w:r>
        <w:t xml:space="preserve">“a well-informed, transparent and reasonable risk assessment” of the complainant’s need for protection. </w:t>
      </w:r>
    </w:p>
    <w:p w:rsidR="00574695" w:rsidRPr="003671CB" w:rsidRDefault="00574695">
      <w:pPr>
        <w:pStyle w:val="SingleTxtG"/>
      </w:pPr>
      <w:r>
        <w:t>4.1</w:t>
      </w:r>
      <w:r w:rsidR="00A170DC">
        <w:t>0</w:t>
      </w:r>
      <w:r>
        <w:tab/>
      </w:r>
      <w:r w:rsidRPr="00C61CAF">
        <w:t xml:space="preserve">The State party refers to the </w:t>
      </w:r>
      <w:r w:rsidRPr="007B02C4">
        <w:t>Committee’s general comment No. 1</w:t>
      </w:r>
      <w:r>
        <w:t xml:space="preserve"> </w:t>
      </w:r>
      <w:r w:rsidRPr="00CB1402">
        <w:t>(1997) on the implementation of article 3 of the Convention</w:t>
      </w:r>
      <w:r w:rsidRPr="00C61CAF">
        <w:t xml:space="preserve">, </w:t>
      </w:r>
      <w:r w:rsidR="005E31EF">
        <w:t xml:space="preserve">in which </w:t>
      </w:r>
      <w:r w:rsidR="005E31EF" w:rsidRPr="00C61CAF">
        <w:t xml:space="preserve">the </w:t>
      </w:r>
      <w:r w:rsidR="005E31EF" w:rsidRPr="007B02C4">
        <w:t>Committee</w:t>
      </w:r>
      <w:r w:rsidR="005E31EF" w:rsidRPr="00C61CAF">
        <w:t xml:space="preserve"> </w:t>
      </w:r>
      <w:r w:rsidRPr="00C61CAF">
        <w:t>stat</w:t>
      </w:r>
      <w:r w:rsidR="005E31EF">
        <w:t>ed</w:t>
      </w:r>
      <w:r w:rsidRPr="00C61CAF">
        <w:t xml:space="preserve"> that</w:t>
      </w:r>
      <w:r w:rsidR="005E31EF">
        <w:t>, in exercising its jurisdiction,</w:t>
      </w:r>
      <w:r w:rsidRPr="00C61CAF">
        <w:t xml:space="preserve"> considerable weight </w:t>
      </w:r>
      <w:r w:rsidR="005E31EF">
        <w:t>would</w:t>
      </w:r>
      <w:r w:rsidR="005E31EF" w:rsidRPr="00C61CAF">
        <w:t xml:space="preserve"> </w:t>
      </w:r>
      <w:r w:rsidRPr="00C61CAF">
        <w:t>be given to findings of facts made by organs of the State party concerned</w:t>
      </w:r>
      <w:r>
        <w:t>.</w:t>
      </w:r>
      <w:r w:rsidR="00472791" w:rsidRPr="00472791">
        <w:t xml:space="preserve"> </w:t>
      </w:r>
      <w:r w:rsidR="00472791">
        <w:t xml:space="preserve">The State party also refers to </w:t>
      </w:r>
      <w:r w:rsidR="00810A94">
        <w:t>the Committee’s</w:t>
      </w:r>
      <w:r w:rsidR="00472791">
        <w:t xml:space="preserve"> jurisprudence.</w:t>
      </w:r>
      <w:r w:rsidRPr="00543A01">
        <w:rPr>
          <w:rStyle w:val="FootnoteReference"/>
        </w:rPr>
        <w:footnoteReference w:id="11"/>
      </w:r>
      <w:r w:rsidRPr="00C61CAF">
        <w:t xml:space="preserve"> The Migration Board and the Migration Court are specialized bodies with particular expertise in the field of asylum law and practice. There is no reason therefore to conclude that the examination by the national authorities was inadequate or </w:t>
      </w:r>
      <w:r w:rsidR="005E31EF">
        <w:t xml:space="preserve">that </w:t>
      </w:r>
      <w:r w:rsidRPr="00C61CAF">
        <w:t xml:space="preserve">the outcome </w:t>
      </w:r>
      <w:r w:rsidR="005E31EF">
        <w:t xml:space="preserve">of the examination </w:t>
      </w:r>
      <w:r w:rsidRPr="00C61CAF">
        <w:t xml:space="preserve">was arbitrary or amounted to </w:t>
      </w:r>
      <w:r w:rsidR="005E31EF">
        <w:t xml:space="preserve">a </w:t>
      </w:r>
      <w:r w:rsidRPr="00C61CAF">
        <w:t xml:space="preserve">denial of justice. </w:t>
      </w:r>
      <w:r w:rsidR="00F9215C">
        <w:t xml:space="preserve">In addition, absent such arbitrariness or denial of justice, </w:t>
      </w:r>
      <w:r w:rsidR="005E31EF">
        <w:t xml:space="preserve">the State party submits that </w:t>
      </w:r>
      <w:r w:rsidR="00F9215C">
        <w:t xml:space="preserve">“great weight must be attached” to the findings of </w:t>
      </w:r>
      <w:r w:rsidR="005E31EF">
        <w:t>its</w:t>
      </w:r>
      <w:r w:rsidR="00F9215C">
        <w:t xml:space="preserve"> authorities. </w:t>
      </w:r>
    </w:p>
    <w:p w:rsidR="00574695" w:rsidRDefault="00574695" w:rsidP="005E31EF">
      <w:pPr>
        <w:pStyle w:val="SingleTxtG"/>
      </w:pPr>
      <w:r>
        <w:t>4.1</w:t>
      </w:r>
      <w:r w:rsidR="00A170DC">
        <w:t>1</w:t>
      </w:r>
      <w:r w:rsidR="00F9215C">
        <w:tab/>
        <w:t xml:space="preserve">The State party also submits that the complainant provided contradictory statements to the migration authorities. For example, to prove his identity, the complainant provided only his driver’s licence, not his passport. The complainant stated that his passport was in </w:t>
      </w:r>
      <w:r w:rsidR="005E31EF">
        <w:t xml:space="preserve">the </w:t>
      </w:r>
      <w:r w:rsidR="00F9215C">
        <w:t>Russia</w:t>
      </w:r>
      <w:r w:rsidR="005E31EF">
        <w:t>n Federation</w:t>
      </w:r>
      <w:r w:rsidR="00F9215C">
        <w:t xml:space="preserve"> and that he could not contact his family to </w:t>
      </w:r>
      <w:r w:rsidR="005E31EF">
        <w:t xml:space="preserve">have it </w:t>
      </w:r>
      <w:r w:rsidR="00F9215C">
        <w:t>deliver</w:t>
      </w:r>
      <w:r w:rsidR="005E31EF">
        <w:t>ed</w:t>
      </w:r>
      <w:r w:rsidR="00F9215C">
        <w:t xml:space="preserve"> to him. The Migration Board, however, consider</w:t>
      </w:r>
      <w:r w:rsidR="005E31EF">
        <w:t>s</w:t>
      </w:r>
      <w:r w:rsidR="00F9215C">
        <w:t xml:space="preserve"> that the complainant </w:t>
      </w:r>
      <w:r w:rsidR="005E31EF">
        <w:t xml:space="preserve">did </w:t>
      </w:r>
      <w:r w:rsidR="00F9215C">
        <w:t>not demonstrate that his “most recent habitual residence” was in Chech</w:t>
      </w:r>
      <w:r w:rsidR="005E31EF">
        <w:t>nya</w:t>
      </w:r>
      <w:r w:rsidR="00F9215C">
        <w:t xml:space="preserve">. </w:t>
      </w:r>
    </w:p>
    <w:p w:rsidR="00F9215C" w:rsidRDefault="00F9215C" w:rsidP="0040719B">
      <w:pPr>
        <w:pStyle w:val="SingleTxtG"/>
      </w:pPr>
      <w:r>
        <w:t>4.1</w:t>
      </w:r>
      <w:r w:rsidR="00A170DC">
        <w:t>2</w:t>
      </w:r>
      <w:r>
        <w:tab/>
        <w:t xml:space="preserve">Furthermore, during the interviews and hearings, the complainant had difficulty remembering exact facts, dates and details. He explained </w:t>
      </w:r>
      <w:r w:rsidR="0040719B">
        <w:t xml:space="preserve">that </w:t>
      </w:r>
      <w:r>
        <w:t>th</w:t>
      </w:r>
      <w:r w:rsidR="0040719B">
        <w:t xml:space="preserve">e difficulty was caused </w:t>
      </w:r>
      <w:r>
        <w:t xml:space="preserve">by </w:t>
      </w:r>
      <w:r w:rsidR="0040719B">
        <w:t xml:space="preserve">the </w:t>
      </w:r>
      <w:r>
        <w:t xml:space="preserve">great anguish </w:t>
      </w:r>
      <w:r w:rsidR="0040719B">
        <w:t xml:space="preserve">he felt </w:t>
      </w:r>
      <w:r>
        <w:t xml:space="preserve">as a result of his injuries. </w:t>
      </w:r>
      <w:r w:rsidR="00B3418E">
        <w:t>Th</w:t>
      </w:r>
      <w:r w:rsidR="0040719B">
        <w:t>at</w:t>
      </w:r>
      <w:r w:rsidR="00B3418E">
        <w:t xml:space="preserve"> explanation d</w:t>
      </w:r>
      <w:r w:rsidR="0040719B">
        <w:t>id</w:t>
      </w:r>
      <w:r w:rsidR="00B3418E">
        <w:t xml:space="preserve"> not seem plausible, however, since the complainant seemed to lack knowledge about major events in his life related to his asylum claim. The migration authorities also found it incredible that the complainant was able to escape from prison because the gate was left unlocked. </w:t>
      </w:r>
    </w:p>
    <w:p w:rsidR="00B3418E" w:rsidRDefault="00B3418E" w:rsidP="005B0138">
      <w:pPr>
        <w:pStyle w:val="SingleTxtG"/>
      </w:pPr>
      <w:r>
        <w:t>4.1</w:t>
      </w:r>
      <w:r w:rsidR="00A170DC">
        <w:t>3</w:t>
      </w:r>
      <w:r>
        <w:tab/>
        <w:t xml:space="preserve">Additionally, the complainant claimed during his first interview that his two cousins were forced to join </w:t>
      </w:r>
      <w:r w:rsidR="0040719B">
        <w:t xml:space="preserve">the </w:t>
      </w:r>
      <w:r>
        <w:t xml:space="preserve">rebels </w:t>
      </w:r>
      <w:r w:rsidR="009E22A5">
        <w:t>but</w:t>
      </w:r>
      <w:r>
        <w:t xml:space="preserve"> during the second interview </w:t>
      </w:r>
      <w:r w:rsidR="009E22A5">
        <w:t xml:space="preserve">stated </w:t>
      </w:r>
      <w:r>
        <w:t>that they joined the rebels voluntarily</w:t>
      </w:r>
      <w:r w:rsidR="00C83969">
        <w:t>.</w:t>
      </w:r>
      <w:r w:rsidR="008565F2">
        <w:rPr>
          <w:rStyle w:val="FootnoteReference"/>
        </w:rPr>
        <w:footnoteReference w:id="12"/>
      </w:r>
      <w:r w:rsidR="00C83969">
        <w:t xml:space="preserve"> The complainant never claimed that he was questioned by the </w:t>
      </w:r>
      <w:r w:rsidR="009E22A5">
        <w:t xml:space="preserve">Russian </w:t>
      </w:r>
      <w:r w:rsidR="00C83969">
        <w:t>authorities specifically regarding th</w:t>
      </w:r>
      <w:r w:rsidR="0040719B">
        <w:t>o</w:t>
      </w:r>
      <w:r w:rsidR="00C83969">
        <w:t>se cousins. In</w:t>
      </w:r>
      <w:r w:rsidR="0040719B">
        <w:t xml:space="preserve"> the</w:t>
      </w:r>
      <w:r w:rsidR="00C83969">
        <w:t xml:space="preserve"> light of these facts, it is not clear why the complainant would be of </w:t>
      </w:r>
      <w:r w:rsidR="0040719B">
        <w:t>m</w:t>
      </w:r>
      <w:r w:rsidR="00C83969">
        <w:t>uch interest to the</w:t>
      </w:r>
      <w:r w:rsidR="0040719B">
        <w:t xml:space="preserve"> Russian</w:t>
      </w:r>
      <w:r w:rsidR="00C83969">
        <w:t xml:space="preserve"> law enforcement authorities. </w:t>
      </w:r>
    </w:p>
    <w:p w:rsidR="00C83969" w:rsidRDefault="00C83969" w:rsidP="00140DFF">
      <w:pPr>
        <w:pStyle w:val="SingleTxtG"/>
      </w:pPr>
      <w:r>
        <w:t>4.1</w:t>
      </w:r>
      <w:r w:rsidR="00A170DC">
        <w:t>4</w:t>
      </w:r>
      <w:r>
        <w:tab/>
        <w:t xml:space="preserve">The complainant </w:t>
      </w:r>
      <w:r w:rsidR="005B0138">
        <w:t>told</w:t>
      </w:r>
      <w:r>
        <w:t xml:space="preserve"> the migration authorities that that after his marriage he and his wife moved to Grozny. </w:t>
      </w:r>
      <w:r w:rsidR="00AC4577">
        <w:t xml:space="preserve">He was then arrested in 2010, at a marketplace in Grozny, and taken </w:t>
      </w:r>
      <w:r w:rsidR="00AC4577">
        <w:lastRenderedPageBreak/>
        <w:t xml:space="preserve">to Shatoy district, where he claims </w:t>
      </w:r>
      <w:r w:rsidR="0040719B">
        <w:t>to have been</w:t>
      </w:r>
      <w:r w:rsidR="00AC4577">
        <w:t xml:space="preserve"> tortured. To the Migration Court, however, the complainant stated that he moved to Grozny in 2008 and </w:t>
      </w:r>
      <w:r w:rsidR="0040719B">
        <w:t xml:space="preserve">that he </w:t>
      </w:r>
      <w:r w:rsidR="00AC4577">
        <w:t>was arrested and tortured several months after that</w:t>
      </w:r>
      <w:r w:rsidR="0040719B">
        <w:t xml:space="preserve"> and then</w:t>
      </w:r>
      <w:r w:rsidR="00AC4577">
        <w:t xml:space="preserve"> managed to escape. Furthermore, he claimed that one of his brothers was arrested in 2009 and that that brother was sentenced to one year of imprisonment for having helped the complainant. The State party finds it remarkable that the complainant was not prosecuted and sentenced on the same basis as his brother. The State party further notes that the complainant did not provide any documentation to prove that his brother </w:t>
      </w:r>
      <w:r w:rsidR="0040719B">
        <w:t xml:space="preserve">had </w:t>
      </w:r>
      <w:r w:rsidR="00AC4577">
        <w:t xml:space="preserve">indeed </w:t>
      </w:r>
      <w:r w:rsidR="0040719B">
        <w:t xml:space="preserve">been </w:t>
      </w:r>
      <w:r w:rsidR="00AC4577">
        <w:t xml:space="preserve">prosecuted and sentenced. </w:t>
      </w:r>
    </w:p>
    <w:p w:rsidR="00AC4577" w:rsidRDefault="00AC4577" w:rsidP="0040719B">
      <w:pPr>
        <w:pStyle w:val="SingleTxtG"/>
      </w:pPr>
      <w:r>
        <w:t>4.1</w:t>
      </w:r>
      <w:r w:rsidR="00A170DC">
        <w:t>5</w:t>
      </w:r>
      <w:r>
        <w:tab/>
        <w:t xml:space="preserve">In conclusion, the State party </w:t>
      </w:r>
      <w:r w:rsidR="00107255">
        <w:t>reiterates</w:t>
      </w:r>
      <w:r>
        <w:t xml:space="preserve"> that the complain</w:t>
      </w:r>
      <w:r w:rsidR="00107255">
        <w:t>ant</w:t>
      </w:r>
      <w:r>
        <w:t xml:space="preserve"> failed to produce proper identification and proof of residence, and provided contradictory statements and facts. The State party therefore considers that the complainant failed to fulfil the requirements that the threat of torture must be foreseeable, real and personal</w:t>
      </w:r>
      <w:r w:rsidR="0040719B">
        <w:t>. C</w:t>
      </w:r>
      <w:r>
        <w:t xml:space="preserve">onsequently, his expulsion to his home country would not constitute a violation of article 3 of the Convention. </w:t>
      </w:r>
    </w:p>
    <w:p w:rsidR="00775D23" w:rsidRPr="00DF23DE" w:rsidRDefault="007821E7" w:rsidP="00E03537">
      <w:pPr>
        <w:pStyle w:val="H23G"/>
        <w:rPr>
          <w:snapToGrid w:val="0"/>
        </w:rPr>
      </w:pPr>
      <w:r w:rsidRPr="00DF23DE">
        <w:rPr>
          <w:snapToGrid w:val="0"/>
        </w:rPr>
        <w:tab/>
      </w:r>
      <w:r w:rsidRPr="00DF23DE">
        <w:rPr>
          <w:snapToGrid w:val="0"/>
        </w:rPr>
        <w:tab/>
      </w:r>
      <w:r w:rsidR="00775D23" w:rsidRPr="00DF23DE">
        <w:rPr>
          <w:snapToGrid w:val="0"/>
        </w:rPr>
        <w:t>Additional information by the complainant</w:t>
      </w:r>
    </w:p>
    <w:p w:rsidR="00250A88" w:rsidRPr="003671CB" w:rsidRDefault="00775D23" w:rsidP="005B0138">
      <w:pPr>
        <w:pStyle w:val="SingleTxtG"/>
        <w:rPr>
          <w:rStyle w:val="SingleTxtGChar"/>
          <w:rFonts w:eastAsia="SimSun"/>
        </w:rPr>
      </w:pPr>
      <w:r w:rsidRPr="00DF23DE">
        <w:rPr>
          <w:snapToGrid w:val="0"/>
        </w:rPr>
        <w:t>5.</w:t>
      </w:r>
      <w:r w:rsidR="0002521B">
        <w:rPr>
          <w:snapToGrid w:val="0"/>
        </w:rPr>
        <w:t>1</w:t>
      </w:r>
      <w:r w:rsidRPr="00DF23DE">
        <w:rPr>
          <w:snapToGrid w:val="0"/>
        </w:rPr>
        <w:tab/>
      </w:r>
      <w:r w:rsidR="00250A88" w:rsidRPr="00C61CAF">
        <w:rPr>
          <w:rStyle w:val="SingleTxtGChar"/>
          <w:rFonts w:eastAsia="SimSun"/>
        </w:rPr>
        <w:t xml:space="preserve">In reply to the State party’s observations, on </w:t>
      </w:r>
      <w:r w:rsidR="00250A88">
        <w:rPr>
          <w:rStyle w:val="SingleTxtGChar"/>
          <w:rFonts w:eastAsia="SimSun"/>
        </w:rPr>
        <w:t>16 January 2016</w:t>
      </w:r>
      <w:r w:rsidR="00250A88" w:rsidRPr="00C61CAF">
        <w:rPr>
          <w:rStyle w:val="SingleTxtGChar"/>
          <w:rFonts w:eastAsia="SimSun"/>
        </w:rPr>
        <w:t xml:space="preserve"> the complainant submit</w:t>
      </w:r>
      <w:r w:rsidR="00250A88">
        <w:rPr>
          <w:rStyle w:val="SingleTxtGChar"/>
          <w:rFonts w:eastAsia="SimSun"/>
        </w:rPr>
        <w:t>s</w:t>
      </w:r>
      <w:r w:rsidR="00250A88" w:rsidRPr="00C61CAF">
        <w:rPr>
          <w:rStyle w:val="SingleTxtGChar"/>
          <w:rFonts w:eastAsia="SimSun"/>
        </w:rPr>
        <w:t xml:space="preserve"> that the human rights</w:t>
      </w:r>
      <w:r w:rsidR="0040719B" w:rsidRPr="0040719B">
        <w:rPr>
          <w:rStyle w:val="SingleTxtGChar"/>
          <w:rFonts w:eastAsia="SimSun"/>
        </w:rPr>
        <w:t xml:space="preserve"> </w:t>
      </w:r>
      <w:r w:rsidR="0040719B" w:rsidRPr="00C61CAF">
        <w:rPr>
          <w:rStyle w:val="SingleTxtGChar"/>
          <w:rFonts w:eastAsia="SimSun"/>
        </w:rPr>
        <w:t>situation</w:t>
      </w:r>
      <w:r w:rsidR="00250A88" w:rsidRPr="00C61CAF">
        <w:rPr>
          <w:rStyle w:val="SingleTxtGChar"/>
          <w:rFonts w:eastAsia="SimSun"/>
        </w:rPr>
        <w:t xml:space="preserve"> in Chechn</w:t>
      </w:r>
      <w:r w:rsidR="00250A88">
        <w:rPr>
          <w:rStyle w:val="SingleTxtGChar"/>
          <w:rFonts w:eastAsia="SimSun"/>
        </w:rPr>
        <w:t>ya</w:t>
      </w:r>
      <w:r w:rsidR="00250A88" w:rsidRPr="00C61CAF">
        <w:rPr>
          <w:rStyle w:val="SingleTxtGChar"/>
          <w:rFonts w:eastAsia="SimSun"/>
        </w:rPr>
        <w:t xml:space="preserve"> is </w:t>
      </w:r>
      <w:r w:rsidR="00250A88">
        <w:rPr>
          <w:rStyle w:val="SingleTxtGChar"/>
          <w:rFonts w:eastAsia="SimSun"/>
        </w:rPr>
        <w:t>very</w:t>
      </w:r>
      <w:r w:rsidR="00250A88" w:rsidRPr="00C61CAF">
        <w:rPr>
          <w:rStyle w:val="SingleTxtGChar"/>
          <w:rFonts w:eastAsia="SimSun"/>
        </w:rPr>
        <w:t xml:space="preserve"> different from th</w:t>
      </w:r>
      <w:r w:rsidR="005B0138">
        <w:rPr>
          <w:rStyle w:val="SingleTxtGChar"/>
          <w:rFonts w:eastAsia="SimSun"/>
        </w:rPr>
        <w:t>at</w:t>
      </w:r>
      <w:r w:rsidR="0040719B">
        <w:rPr>
          <w:rStyle w:val="SingleTxtGChar"/>
          <w:rFonts w:eastAsia="SimSun"/>
        </w:rPr>
        <w:t xml:space="preserve"> described by the</w:t>
      </w:r>
      <w:r w:rsidR="00250A88">
        <w:rPr>
          <w:rStyle w:val="SingleTxtGChar"/>
          <w:rFonts w:eastAsia="SimSun"/>
        </w:rPr>
        <w:t xml:space="preserve"> State party. He</w:t>
      </w:r>
      <w:r w:rsidR="00250A88" w:rsidRPr="00C61CAF">
        <w:rPr>
          <w:rStyle w:val="SingleTxtGChar"/>
          <w:rFonts w:eastAsia="SimSun"/>
        </w:rPr>
        <w:t xml:space="preserve"> refer</w:t>
      </w:r>
      <w:r w:rsidR="00250A88">
        <w:rPr>
          <w:rStyle w:val="SingleTxtGChar"/>
          <w:rFonts w:eastAsia="SimSun"/>
        </w:rPr>
        <w:t>s</w:t>
      </w:r>
      <w:r w:rsidR="00250A88" w:rsidRPr="00C61CAF">
        <w:rPr>
          <w:rStyle w:val="SingleTxtGChar"/>
          <w:rFonts w:eastAsia="SimSun"/>
        </w:rPr>
        <w:t xml:space="preserve"> to </w:t>
      </w:r>
      <w:r w:rsidR="005B0138">
        <w:rPr>
          <w:rStyle w:val="SingleTxtGChar"/>
          <w:rFonts w:eastAsia="SimSun"/>
        </w:rPr>
        <w:t xml:space="preserve">a </w:t>
      </w:r>
      <w:r w:rsidR="00250A88" w:rsidRPr="00C61CAF">
        <w:rPr>
          <w:rStyle w:val="SingleTxtGChar"/>
          <w:rFonts w:eastAsia="SimSun"/>
        </w:rPr>
        <w:t xml:space="preserve">report published by the </w:t>
      </w:r>
      <w:r w:rsidR="00B95D5F">
        <w:rPr>
          <w:rStyle w:val="SingleTxtGChar"/>
          <w:rFonts w:eastAsia="SimSun"/>
        </w:rPr>
        <w:t xml:space="preserve">Ministry for </w:t>
      </w:r>
      <w:r w:rsidR="00250A88" w:rsidRPr="00C61CAF">
        <w:rPr>
          <w:rStyle w:val="SingleTxtGChar"/>
          <w:rFonts w:eastAsia="SimSun"/>
        </w:rPr>
        <w:t xml:space="preserve">Foreign </w:t>
      </w:r>
      <w:r w:rsidR="00B95D5F">
        <w:rPr>
          <w:rStyle w:val="SingleTxtGChar"/>
          <w:rFonts w:eastAsia="SimSun"/>
        </w:rPr>
        <w:t>Affairs of Sweden</w:t>
      </w:r>
      <w:r w:rsidR="00250A88" w:rsidRPr="00C61CAF">
        <w:rPr>
          <w:rStyle w:val="SingleTxtGChar"/>
          <w:rFonts w:eastAsia="SimSun"/>
        </w:rPr>
        <w:t xml:space="preserve"> </w:t>
      </w:r>
      <w:r w:rsidR="00250A88">
        <w:rPr>
          <w:rStyle w:val="SingleTxtGChar"/>
          <w:rFonts w:eastAsia="SimSun"/>
        </w:rPr>
        <w:t>that</w:t>
      </w:r>
      <w:r w:rsidR="00094A40">
        <w:rPr>
          <w:rStyle w:val="SingleTxtGChar"/>
          <w:rFonts w:eastAsia="SimSun"/>
        </w:rPr>
        <w:t xml:space="preserve"> had also been cited by</w:t>
      </w:r>
      <w:r w:rsidR="00250A88">
        <w:rPr>
          <w:rStyle w:val="SingleTxtGChar"/>
          <w:rFonts w:eastAsia="SimSun"/>
        </w:rPr>
        <w:t xml:space="preserve"> the State party</w:t>
      </w:r>
      <w:r w:rsidR="00250A88" w:rsidRPr="00C61CAF">
        <w:rPr>
          <w:rStyle w:val="SingleTxtGChar"/>
          <w:rFonts w:eastAsia="SimSun"/>
        </w:rPr>
        <w:t>.</w:t>
      </w:r>
      <w:r w:rsidR="008565F2">
        <w:rPr>
          <w:rStyle w:val="FootnoteReference"/>
          <w:rFonts w:eastAsia="SimSun"/>
        </w:rPr>
        <w:footnoteReference w:id="13"/>
      </w:r>
      <w:r w:rsidR="00250A88" w:rsidRPr="00C61CAF">
        <w:rPr>
          <w:rStyle w:val="SingleTxtGChar"/>
          <w:rFonts w:eastAsia="SimSun"/>
        </w:rPr>
        <w:t xml:space="preserve"> </w:t>
      </w:r>
      <w:r w:rsidR="00B95D5F">
        <w:rPr>
          <w:rStyle w:val="SingleTxtGChar"/>
          <w:rFonts w:eastAsia="SimSun"/>
        </w:rPr>
        <w:t>In</w:t>
      </w:r>
      <w:r w:rsidR="00250A88" w:rsidRPr="00C61CAF">
        <w:rPr>
          <w:rStyle w:val="SingleTxtGChar"/>
          <w:rFonts w:eastAsia="SimSun"/>
        </w:rPr>
        <w:t xml:space="preserve"> th</w:t>
      </w:r>
      <w:r w:rsidR="00250A88">
        <w:rPr>
          <w:rStyle w:val="SingleTxtGChar"/>
          <w:rFonts w:eastAsia="SimSun"/>
        </w:rPr>
        <w:t>at</w:t>
      </w:r>
      <w:r w:rsidR="00250A88" w:rsidRPr="00C61CAF">
        <w:rPr>
          <w:rStyle w:val="SingleTxtGChar"/>
          <w:rFonts w:eastAsia="SimSun"/>
        </w:rPr>
        <w:t xml:space="preserve"> report</w:t>
      </w:r>
      <w:r w:rsidR="00250A88">
        <w:rPr>
          <w:rStyle w:val="SingleTxtGChar"/>
          <w:rFonts w:eastAsia="SimSun"/>
        </w:rPr>
        <w:t>,</w:t>
      </w:r>
      <w:r w:rsidR="00250A88" w:rsidRPr="00C61CAF">
        <w:rPr>
          <w:rStyle w:val="SingleTxtGChar"/>
          <w:rFonts w:eastAsia="SimSun"/>
        </w:rPr>
        <w:t xml:space="preserve"> the Russian administration is characterized by widespread corruption</w:t>
      </w:r>
      <w:r w:rsidR="00B95D5F">
        <w:rPr>
          <w:rStyle w:val="SingleTxtGChar"/>
          <w:rFonts w:eastAsia="SimSun"/>
        </w:rPr>
        <w:t xml:space="preserve"> and</w:t>
      </w:r>
      <w:r w:rsidR="00250A88" w:rsidRPr="00C61CAF">
        <w:rPr>
          <w:rStyle w:val="SingleTxtGChar"/>
          <w:rFonts w:eastAsia="SimSun"/>
        </w:rPr>
        <w:t xml:space="preserve"> human rights activists, journalist</w:t>
      </w:r>
      <w:r w:rsidR="00250A88">
        <w:rPr>
          <w:rStyle w:val="SingleTxtGChar"/>
          <w:rFonts w:eastAsia="SimSun"/>
        </w:rPr>
        <w:t>s</w:t>
      </w:r>
      <w:r w:rsidR="00250A88" w:rsidRPr="00C61CAF">
        <w:rPr>
          <w:rStyle w:val="SingleTxtGChar"/>
          <w:rFonts w:eastAsia="SimSun"/>
        </w:rPr>
        <w:t xml:space="preserve"> and whistle-blowers are</w:t>
      </w:r>
      <w:r w:rsidR="00B95D5F">
        <w:rPr>
          <w:rStyle w:val="SingleTxtGChar"/>
          <w:rFonts w:eastAsia="SimSun"/>
        </w:rPr>
        <w:t xml:space="preserve"> said to be</w:t>
      </w:r>
      <w:r w:rsidR="00250A88" w:rsidRPr="00C61CAF">
        <w:rPr>
          <w:rStyle w:val="SingleTxtGChar"/>
          <w:rFonts w:eastAsia="SimSun"/>
        </w:rPr>
        <w:t xml:space="preserve"> harassed</w:t>
      </w:r>
      <w:r w:rsidR="00B95D5F">
        <w:rPr>
          <w:rStyle w:val="SingleTxtGChar"/>
          <w:rFonts w:eastAsia="SimSun"/>
        </w:rPr>
        <w:t xml:space="preserve"> and</w:t>
      </w:r>
      <w:r w:rsidR="00250A88" w:rsidRPr="00C61CAF">
        <w:rPr>
          <w:rStyle w:val="SingleTxtGChar"/>
          <w:rFonts w:eastAsia="SimSun"/>
        </w:rPr>
        <w:t xml:space="preserve"> subjected to</w:t>
      </w:r>
      <w:r w:rsidR="00B95D5F">
        <w:rPr>
          <w:rStyle w:val="SingleTxtGChar"/>
          <w:rFonts w:eastAsia="SimSun"/>
        </w:rPr>
        <w:t xml:space="preserve"> violence</w:t>
      </w:r>
      <w:r w:rsidR="00107255">
        <w:rPr>
          <w:rStyle w:val="SingleTxtGChar"/>
          <w:rFonts w:eastAsia="SimSun"/>
        </w:rPr>
        <w:t>,</w:t>
      </w:r>
      <w:r w:rsidR="00250A88" w:rsidRPr="00C61CAF">
        <w:rPr>
          <w:rStyle w:val="SingleTxtGChar"/>
          <w:rFonts w:eastAsia="SimSun"/>
        </w:rPr>
        <w:t xml:space="preserve"> at times </w:t>
      </w:r>
      <w:r w:rsidR="00B95D5F">
        <w:rPr>
          <w:rStyle w:val="SingleTxtGChar"/>
          <w:rFonts w:eastAsia="SimSun"/>
        </w:rPr>
        <w:t xml:space="preserve">so serious as to be </w:t>
      </w:r>
      <w:r w:rsidR="00250A88" w:rsidRPr="00C61CAF">
        <w:rPr>
          <w:rStyle w:val="SingleTxtGChar"/>
          <w:rFonts w:eastAsia="SimSun"/>
        </w:rPr>
        <w:t xml:space="preserve">fatal. According to the report, the most serious violations still occur in the northern Caucasus, where, in the name of fighting terrorism, the civilian population is subjected to torture, arbitrary arrests and kidnappings. </w:t>
      </w:r>
    </w:p>
    <w:p w:rsidR="00250A88" w:rsidRDefault="00250A88" w:rsidP="005B0138">
      <w:pPr>
        <w:pStyle w:val="SingleTxtG"/>
        <w:rPr>
          <w:rStyle w:val="SingleTxtGChar"/>
          <w:rFonts w:eastAsia="SimSun"/>
        </w:rPr>
      </w:pPr>
      <w:r w:rsidRPr="00C61CAF">
        <w:rPr>
          <w:rStyle w:val="SingleTxtGChar"/>
          <w:rFonts w:eastAsia="SimSun"/>
        </w:rPr>
        <w:t>5.2</w:t>
      </w:r>
      <w:r w:rsidRPr="00C61CAF">
        <w:rPr>
          <w:rStyle w:val="SingleTxtGChar"/>
          <w:rFonts w:eastAsia="SimSun"/>
        </w:rPr>
        <w:tab/>
        <w:t>The complainant also refers to “unconfirmed reports about political murders and disappearances” sanctioned by the authorities</w:t>
      </w:r>
      <w:r w:rsidR="00B95D5F">
        <w:rPr>
          <w:rStyle w:val="SingleTxtGChar"/>
          <w:rFonts w:eastAsia="SimSun"/>
        </w:rPr>
        <w:t>, which he submits</w:t>
      </w:r>
      <w:r w:rsidRPr="00C61CAF">
        <w:rPr>
          <w:rStyle w:val="SingleTxtGChar"/>
          <w:rFonts w:eastAsia="SimSun"/>
        </w:rPr>
        <w:t xml:space="preserve"> clearly demonstrate a consistent pattern of gross, flagrant or mass violations of human rights. Various organizations </w:t>
      </w:r>
      <w:r>
        <w:rPr>
          <w:rStyle w:val="SingleTxtGChar"/>
          <w:rFonts w:eastAsia="SimSun"/>
        </w:rPr>
        <w:t xml:space="preserve">have </w:t>
      </w:r>
      <w:r w:rsidRPr="00C61CAF">
        <w:rPr>
          <w:rStyle w:val="SingleTxtGChar"/>
          <w:rFonts w:eastAsia="SimSun"/>
        </w:rPr>
        <w:t>described the situation in Chech</w:t>
      </w:r>
      <w:r>
        <w:rPr>
          <w:rStyle w:val="SingleTxtGChar"/>
          <w:rFonts w:eastAsia="SimSun"/>
        </w:rPr>
        <w:t>nya</w:t>
      </w:r>
      <w:r w:rsidRPr="00C61CAF">
        <w:rPr>
          <w:rStyle w:val="SingleTxtGChar"/>
          <w:rFonts w:eastAsia="SimSun"/>
        </w:rPr>
        <w:t xml:space="preserve"> as</w:t>
      </w:r>
      <w:r w:rsidR="00B95D5F">
        <w:rPr>
          <w:rStyle w:val="SingleTxtGChar"/>
          <w:rFonts w:eastAsia="SimSun"/>
        </w:rPr>
        <w:t xml:space="preserve"> serious, using descriptions such as</w:t>
      </w:r>
      <w:r w:rsidRPr="00C61CAF">
        <w:rPr>
          <w:rStyle w:val="SingleTxtGChar"/>
          <w:rFonts w:eastAsia="SimSun"/>
        </w:rPr>
        <w:t xml:space="preserve"> an </w:t>
      </w:r>
      <w:r w:rsidR="00B95D5F">
        <w:rPr>
          <w:rStyle w:val="SingleTxtGChar"/>
          <w:rFonts w:eastAsia="SimSun"/>
        </w:rPr>
        <w:t>“</w:t>
      </w:r>
      <w:r w:rsidRPr="00C61CAF">
        <w:rPr>
          <w:rStyle w:val="SingleTxtGChar"/>
          <w:rFonts w:eastAsia="SimSun"/>
        </w:rPr>
        <w:t>atmosphere of terror”</w:t>
      </w:r>
      <w:r w:rsidR="00B95D5F">
        <w:rPr>
          <w:rStyle w:val="SingleTxtGChar"/>
          <w:rFonts w:eastAsia="SimSun"/>
        </w:rPr>
        <w:t xml:space="preserve"> and</w:t>
      </w:r>
      <w:r w:rsidRPr="00C61CAF">
        <w:rPr>
          <w:rStyle w:val="SingleTxtGChar"/>
          <w:rFonts w:eastAsia="SimSun"/>
        </w:rPr>
        <w:t xml:space="preserve"> a “climate of pervading fear”. The U</w:t>
      </w:r>
      <w:r>
        <w:rPr>
          <w:rStyle w:val="SingleTxtGChar"/>
          <w:rFonts w:eastAsia="SimSun"/>
        </w:rPr>
        <w:t xml:space="preserve">nited </w:t>
      </w:r>
      <w:r w:rsidRPr="00C61CAF">
        <w:rPr>
          <w:rStyle w:val="SingleTxtGChar"/>
          <w:rFonts w:eastAsia="SimSun"/>
        </w:rPr>
        <w:t>N</w:t>
      </w:r>
      <w:r>
        <w:rPr>
          <w:rStyle w:val="SingleTxtGChar"/>
          <w:rFonts w:eastAsia="SimSun"/>
        </w:rPr>
        <w:t>ations</w:t>
      </w:r>
      <w:r w:rsidRPr="00C61CAF">
        <w:rPr>
          <w:rStyle w:val="SingleTxtGChar"/>
          <w:rFonts w:eastAsia="SimSun"/>
        </w:rPr>
        <w:t xml:space="preserve"> High Commissioner for Human Rights has called for accountability for murder</w:t>
      </w:r>
      <w:r>
        <w:rPr>
          <w:rStyle w:val="SingleTxtGChar"/>
          <w:rFonts w:eastAsia="SimSun"/>
        </w:rPr>
        <w:t>s, intimidation and harassment. Similarly, Human Rights Watch</w:t>
      </w:r>
      <w:r w:rsidR="00B95D5F">
        <w:rPr>
          <w:rStyle w:val="SingleTxtGChar"/>
          <w:rFonts w:eastAsia="SimSun"/>
        </w:rPr>
        <w:t xml:space="preserve">, in </w:t>
      </w:r>
      <w:r w:rsidR="00FF5CA3">
        <w:rPr>
          <w:rStyle w:val="SingleTxtGChar"/>
          <w:rFonts w:eastAsia="SimSun"/>
        </w:rPr>
        <w:t>“</w:t>
      </w:r>
      <w:r w:rsidR="00B95D5F" w:rsidRPr="00352A13">
        <w:rPr>
          <w:rStyle w:val="SingleTxtGChar"/>
          <w:rFonts w:eastAsia="SimSun"/>
        </w:rPr>
        <w:t xml:space="preserve">World </w:t>
      </w:r>
      <w:r w:rsidR="00FF5CA3" w:rsidRPr="00352A13">
        <w:rPr>
          <w:rStyle w:val="SingleTxtGChar"/>
          <w:rFonts w:eastAsia="SimSun"/>
        </w:rPr>
        <w:t>r</w:t>
      </w:r>
      <w:r w:rsidR="00B95D5F" w:rsidRPr="00352A13">
        <w:rPr>
          <w:rStyle w:val="SingleTxtGChar"/>
          <w:rFonts w:eastAsia="SimSun"/>
        </w:rPr>
        <w:t xml:space="preserve">eport 2014: </w:t>
      </w:r>
      <w:r w:rsidRPr="00FF5CA3">
        <w:rPr>
          <w:rStyle w:val="SingleTxtGChar"/>
          <w:rFonts w:eastAsia="SimSun"/>
        </w:rPr>
        <w:t>Russia</w:t>
      </w:r>
      <w:r w:rsidR="00FF5CA3" w:rsidRPr="00352A13">
        <w:rPr>
          <w:rStyle w:val="SingleTxtGChar"/>
          <w:rFonts w:eastAsia="SimSun"/>
        </w:rPr>
        <w:t>”</w:t>
      </w:r>
      <w:r w:rsidR="00B95D5F">
        <w:rPr>
          <w:rStyle w:val="SingleTxtGChar"/>
          <w:rFonts w:eastAsia="SimSun"/>
        </w:rPr>
        <w:t>,</w:t>
      </w:r>
      <w:r>
        <w:rPr>
          <w:rStyle w:val="SingleTxtGChar"/>
          <w:rFonts w:eastAsia="SimSun"/>
        </w:rPr>
        <w:t xml:space="preserve"> </w:t>
      </w:r>
      <w:r w:rsidR="00EE2222">
        <w:rPr>
          <w:rStyle w:val="SingleTxtGChar"/>
          <w:rFonts w:eastAsia="SimSun"/>
        </w:rPr>
        <w:t xml:space="preserve">in addition to </w:t>
      </w:r>
      <w:r>
        <w:rPr>
          <w:rStyle w:val="SingleTxtGChar"/>
          <w:rFonts w:eastAsia="SimSun"/>
        </w:rPr>
        <w:t>list</w:t>
      </w:r>
      <w:r w:rsidR="00EE2222">
        <w:rPr>
          <w:rStyle w:val="SingleTxtGChar"/>
          <w:rFonts w:eastAsia="SimSun"/>
        </w:rPr>
        <w:t>ing</w:t>
      </w:r>
      <w:r>
        <w:rPr>
          <w:rStyle w:val="SingleTxtGChar"/>
          <w:rFonts w:eastAsia="SimSun"/>
        </w:rPr>
        <w:t xml:space="preserve"> a similar litany of abuses, </w:t>
      </w:r>
      <w:r w:rsidR="00EE2222">
        <w:rPr>
          <w:rStyle w:val="SingleTxtGChar"/>
          <w:rFonts w:eastAsia="SimSun"/>
        </w:rPr>
        <w:t xml:space="preserve">mentions </w:t>
      </w:r>
      <w:r w:rsidR="0002521B">
        <w:rPr>
          <w:rStyle w:val="SingleTxtGChar"/>
          <w:rFonts w:eastAsia="SimSun"/>
        </w:rPr>
        <w:t xml:space="preserve">sentencing to compulsory psychiatric treatment. </w:t>
      </w:r>
    </w:p>
    <w:p w:rsidR="0002521B" w:rsidRPr="00C61CAF" w:rsidRDefault="0002521B" w:rsidP="00E03537">
      <w:pPr>
        <w:pStyle w:val="SingleTxtG"/>
        <w:rPr>
          <w:rStyle w:val="SingleTxtGChar"/>
          <w:rFonts w:eastAsia="SimSun"/>
        </w:rPr>
      </w:pPr>
      <w:r>
        <w:rPr>
          <w:rStyle w:val="SingleTxtGChar"/>
          <w:rFonts w:eastAsia="SimSun"/>
        </w:rPr>
        <w:t>5.3</w:t>
      </w:r>
      <w:r>
        <w:rPr>
          <w:rStyle w:val="SingleTxtGChar"/>
          <w:rFonts w:eastAsia="SimSun"/>
        </w:rPr>
        <w:tab/>
        <w:t>The complainant submits that the internal guidelines of the Migration Board call for an expert</w:t>
      </w:r>
      <w:r w:rsidR="00EE2222">
        <w:rPr>
          <w:rStyle w:val="SingleTxtGChar"/>
          <w:rFonts w:eastAsia="SimSun"/>
        </w:rPr>
        <w:t xml:space="preserve"> or </w:t>
      </w:r>
      <w:r>
        <w:rPr>
          <w:rStyle w:val="SingleTxtGChar"/>
          <w:rFonts w:eastAsia="SimSun"/>
        </w:rPr>
        <w:t>specialist in forensic medicine to be appointed to examine applicant</w:t>
      </w:r>
      <w:r w:rsidR="00107255">
        <w:rPr>
          <w:rStyle w:val="SingleTxtGChar"/>
          <w:rFonts w:eastAsia="SimSun"/>
        </w:rPr>
        <w:t>s</w:t>
      </w:r>
      <w:r>
        <w:rPr>
          <w:rStyle w:val="SingleTxtGChar"/>
          <w:rFonts w:eastAsia="SimSun"/>
        </w:rPr>
        <w:t xml:space="preserve"> who claim</w:t>
      </w:r>
      <w:r w:rsidR="00EE2222">
        <w:rPr>
          <w:rStyle w:val="SingleTxtGChar"/>
          <w:rFonts w:eastAsia="SimSun"/>
        </w:rPr>
        <w:t xml:space="preserve"> to have been subjected to</w:t>
      </w:r>
      <w:r>
        <w:rPr>
          <w:rStyle w:val="SingleTxtGChar"/>
          <w:rFonts w:eastAsia="SimSun"/>
        </w:rPr>
        <w:t xml:space="preserve"> torture in the past, </w:t>
      </w:r>
      <w:r w:rsidR="00107255">
        <w:rPr>
          <w:rStyle w:val="SingleTxtGChar"/>
          <w:rFonts w:eastAsia="SimSun"/>
        </w:rPr>
        <w:t xml:space="preserve">with </w:t>
      </w:r>
      <w:r>
        <w:rPr>
          <w:rStyle w:val="SingleTxtGChar"/>
          <w:rFonts w:eastAsia="SimSun"/>
        </w:rPr>
        <w:t xml:space="preserve">the costs of such examination </w:t>
      </w:r>
      <w:r w:rsidR="00E03537">
        <w:rPr>
          <w:rStyle w:val="SingleTxtGChar"/>
          <w:rFonts w:eastAsia="SimSun"/>
        </w:rPr>
        <w:t xml:space="preserve">to be </w:t>
      </w:r>
      <w:r w:rsidR="00107255">
        <w:rPr>
          <w:rStyle w:val="SingleTxtGChar"/>
          <w:rFonts w:eastAsia="SimSun"/>
        </w:rPr>
        <w:t>covered</w:t>
      </w:r>
      <w:r>
        <w:rPr>
          <w:rStyle w:val="SingleTxtGChar"/>
          <w:rFonts w:eastAsia="SimSun"/>
        </w:rPr>
        <w:t xml:space="preserve"> by the State party. The Migration </w:t>
      </w:r>
      <w:r w:rsidR="00710A93">
        <w:rPr>
          <w:rStyle w:val="SingleTxtGChar"/>
          <w:rFonts w:eastAsia="SimSun"/>
        </w:rPr>
        <w:t>Board</w:t>
      </w:r>
      <w:r>
        <w:rPr>
          <w:rStyle w:val="SingleTxtGChar"/>
          <w:rFonts w:eastAsia="SimSun"/>
        </w:rPr>
        <w:t xml:space="preserve"> and the Migration Court chose to ignore their own guidelines, which indeed should be construed as </w:t>
      </w:r>
      <w:r w:rsidR="00E03537">
        <w:rPr>
          <w:rStyle w:val="SingleTxtGChar"/>
          <w:rFonts w:eastAsia="SimSun"/>
        </w:rPr>
        <w:t xml:space="preserve">a </w:t>
      </w:r>
      <w:r>
        <w:rPr>
          <w:rStyle w:val="SingleTxtGChar"/>
          <w:rFonts w:eastAsia="SimSun"/>
        </w:rPr>
        <w:t xml:space="preserve">denial of justice. </w:t>
      </w:r>
    </w:p>
    <w:p w:rsidR="008265E3" w:rsidRPr="00F45C16" w:rsidRDefault="00046D6C" w:rsidP="00352A13">
      <w:pPr>
        <w:pStyle w:val="H23G"/>
        <w:rPr>
          <w:snapToGrid w:val="0"/>
        </w:rPr>
      </w:pPr>
      <w:r>
        <w:rPr>
          <w:snapToGrid w:val="0"/>
        </w:rPr>
        <w:tab/>
      </w:r>
      <w:r>
        <w:rPr>
          <w:snapToGrid w:val="0"/>
        </w:rPr>
        <w:tab/>
      </w:r>
      <w:r w:rsidR="008265E3" w:rsidRPr="00F45C16">
        <w:rPr>
          <w:snapToGrid w:val="0"/>
        </w:rPr>
        <w:t>Additional information by the State party</w:t>
      </w:r>
    </w:p>
    <w:p w:rsidR="001C4B27" w:rsidRPr="003671CB" w:rsidRDefault="008265E3" w:rsidP="004F57D8">
      <w:pPr>
        <w:pStyle w:val="SingleTxtG"/>
        <w:rPr>
          <w:rStyle w:val="SingleTxtGChar"/>
          <w:rFonts w:eastAsia="SimSun"/>
        </w:rPr>
      </w:pPr>
      <w:r w:rsidRPr="00DF23DE">
        <w:rPr>
          <w:snapToGrid w:val="0"/>
        </w:rPr>
        <w:t>6.</w:t>
      </w:r>
      <w:r w:rsidR="00910707" w:rsidRPr="00DF23DE">
        <w:rPr>
          <w:snapToGrid w:val="0"/>
        </w:rPr>
        <w:t>1</w:t>
      </w:r>
      <w:r w:rsidR="003F4589" w:rsidRPr="00DF23DE">
        <w:rPr>
          <w:snapToGrid w:val="0"/>
        </w:rPr>
        <w:tab/>
      </w:r>
      <w:r w:rsidR="00E03537">
        <w:rPr>
          <w:snapToGrid w:val="0"/>
        </w:rPr>
        <w:t>In its response of</w:t>
      </w:r>
      <w:r w:rsidR="001C4B27">
        <w:rPr>
          <w:rStyle w:val="SingleTxtGChar"/>
          <w:rFonts w:eastAsia="SimSun"/>
        </w:rPr>
        <w:t xml:space="preserve"> 29 April 2016</w:t>
      </w:r>
      <w:r w:rsidR="00E03537" w:rsidRPr="00E03537">
        <w:rPr>
          <w:rStyle w:val="SingleTxtGChar"/>
          <w:rFonts w:eastAsia="SimSun"/>
        </w:rPr>
        <w:t xml:space="preserve"> </w:t>
      </w:r>
      <w:r w:rsidR="00E03537">
        <w:rPr>
          <w:rStyle w:val="SingleTxtGChar"/>
          <w:rFonts w:eastAsia="SimSun"/>
        </w:rPr>
        <w:t>to the counsel’s comments</w:t>
      </w:r>
      <w:r w:rsidR="001C4B27">
        <w:rPr>
          <w:rStyle w:val="SingleTxtGChar"/>
          <w:rFonts w:eastAsia="SimSun"/>
        </w:rPr>
        <w:t>, the State party reiterates its position that</w:t>
      </w:r>
      <w:r w:rsidR="00E03537">
        <w:rPr>
          <w:rStyle w:val="SingleTxtGChar"/>
          <w:rFonts w:eastAsia="SimSun"/>
        </w:rPr>
        <w:t>,</w:t>
      </w:r>
      <w:r w:rsidR="001C4B27">
        <w:rPr>
          <w:rStyle w:val="SingleTxtGChar"/>
          <w:rFonts w:eastAsia="SimSun"/>
        </w:rPr>
        <w:t xml:space="preserve"> while it does not wish to underestimate the concerns regarding the current human rights situation in the Russian Federation and especially in the north</w:t>
      </w:r>
      <w:r w:rsidR="00E03537">
        <w:rPr>
          <w:rStyle w:val="SingleTxtGChar"/>
          <w:rFonts w:eastAsia="SimSun"/>
        </w:rPr>
        <w:t>ern</w:t>
      </w:r>
      <w:r w:rsidR="001C4B27">
        <w:rPr>
          <w:rStyle w:val="SingleTxtGChar"/>
          <w:rFonts w:eastAsia="SimSun"/>
        </w:rPr>
        <w:t xml:space="preserve"> Caucasus, the situation in itself does not establish </w:t>
      </w:r>
      <w:r w:rsidR="00F73BB8">
        <w:rPr>
          <w:rStyle w:val="SingleTxtGChar"/>
          <w:rFonts w:eastAsia="SimSun"/>
        </w:rPr>
        <w:t xml:space="preserve">the risk of </w:t>
      </w:r>
      <w:r w:rsidR="001C4B27">
        <w:rPr>
          <w:rStyle w:val="SingleTxtGChar"/>
          <w:rFonts w:eastAsia="SimSun"/>
        </w:rPr>
        <w:t xml:space="preserve">a violation of article 3 of the Convention. The complainant’s return to the Russian Federation would entail a breach if he could show that he is personally at risk of being subjected to treatment contrary to article 3. </w:t>
      </w:r>
    </w:p>
    <w:p w:rsidR="00910707" w:rsidRDefault="00147B55" w:rsidP="002E38E2">
      <w:pPr>
        <w:pStyle w:val="SingleTxtG"/>
        <w:rPr>
          <w:snapToGrid w:val="0"/>
        </w:rPr>
      </w:pPr>
      <w:r>
        <w:rPr>
          <w:snapToGrid w:val="0"/>
        </w:rPr>
        <w:lastRenderedPageBreak/>
        <w:t>6.2</w:t>
      </w:r>
      <w:r>
        <w:rPr>
          <w:snapToGrid w:val="0"/>
        </w:rPr>
        <w:tab/>
      </w:r>
      <w:r w:rsidR="001C4B27">
        <w:rPr>
          <w:snapToGrid w:val="0"/>
        </w:rPr>
        <w:t xml:space="preserve">The State party </w:t>
      </w:r>
      <w:r w:rsidR="00107255">
        <w:rPr>
          <w:snapToGrid w:val="0"/>
        </w:rPr>
        <w:t>adds</w:t>
      </w:r>
      <w:r w:rsidR="001C4B27">
        <w:rPr>
          <w:snapToGrid w:val="0"/>
        </w:rPr>
        <w:t xml:space="preserve"> that it considers the discrepancies and contradictions in the complainant’s statements to the Migration Board, the Migration Court and the Committee to be serious enough to </w:t>
      </w:r>
      <w:r w:rsidR="00107255">
        <w:rPr>
          <w:snapToGrid w:val="0"/>
        </w:rPr>
        <w:t xml:space="preserve">cast </w:t>
      </w:r>
      <w:r w:rsidR="001C4B27">
        <w:rPr>
          <w:snapToGrid w:val="0"/>
        </w:rPr>
        <w:t>doubt</w:t>
      </w:r>
      <w:r w:rsidR="00107255">
        <w:rPr>
          <w:snapToGrid w:val="0"/>
        </w:rPr>
        <w:t>s</w:t>
      </w:r>
      <w:r w:rsidR="001C4B27">
        <w:rPr>
          <w:snapToGrid w:val="0"/>
        </w:rPr>
        <w:t xml:space="preserve"> </w:t>
      </w:r>
      <w:r w:rsidR="00107255">
        <w:rPr>
          <w:snapToGrid w:val="0"/>
        </w:rPr>
        <w:t xml:space="preserve">on </w:t>
      </w:r>
      <w:r w:rsidR="001C4B27">
        <w:rPr>
          <w:snapToGrid w:val="0"/>
        </w:rPr>
        <w:t xml:space="preserve">the veracity of all </w:t>
      </w:r>
      <w:r w:rsidR="00107255">
        <w:rPr>
          <w:snapToGrid w:val="0"/>
        </w:rPr>
        <w:t xml:space="preserve">his </w:t>
      </w:r>
      <w:r w:rsidR="001C4B27">
        <w:rPr>
          <w:snapToGrid w:val="0"/>
        </w:rPr>
        <w:t>statements. The complainant submitted conflicting details about very important part</w:t>
      </w:r>
      <w:r w:rsidR="004F57D8">
        <w:rPr>
          <w:snapToGrid w:val="0"/>
        </w:rPr>
        <w:t>s</w:t>
      </w:r>
      <w:r w:rsidR="001C4B27">
        <w:rPr>
          <w:snapToGrid w:val="0"/>
        </w:rPr>
        <w:t xml:space="preserve"> of his account of the facts. </w:t>
      </w:r>
    </w:p>
    <w:p w:rsidR="001C4B27" w:rsidRDefault="001C4B27" w:rsidP="004F57D8">
      <w:pPr>
        <w:pStyle w:val="SingleTxtG"/>
        <w:rPr>
          <w:rStyle w:val="SingleTxtGChar"/>
          <w:rFonts w:eastAsia="SimSun"/>
        </w:rPr>
      </w:pPr>
      <w:r>
        <w:rPr>
          <w:snapToGrid w:val="0"/>
        </w:rPr>
        <w:t>6.3</w:t>
      </w:r>
      <w:r>
        <w:rPr>
          <w:snapToGrid w:val="0"/>
        </w:rPr>
        <w:tab/>
      </w:r>
      <w:r>
        <w:rPr>
          <w:rStyle w:val="SingleTxtGChar"/>
          <w:rFonts w:eastAsia="SimSun"/>
        </w:rPr>
        <w:t xml:space="preserve">Regarding the complainant’s contention that the migration authorities of the State party were obliged to further examine whether he had been tortured, the State party submits that the responsibility lies with the complainant to </w:t>
      </w:r>
      <w:r w:rsidR="004F57D8">
        <w:rPr>
          <w:rStyle w:val="SingleTxtGChar"/>
          <w:rFonts w:eastAsia="SimSun"/>
        </w:rPr>
        <w:t xml:space="preserve">present </w:t>
      </w:r>
      <w:r>
        <w:rPr>
          <w:rStyle w:val="SingleTxtGChar"/>
          <w:rFonts w:eastAsia="SimSun"/>
        </w:rPr>
        <w:t xml:space="preserve">evidence </w:t>
      </w:r>
      <w:r w:rsidR="004F57D8">
        <w:rPr>
          <w:rStyle w:val="SingleTxtGChar"/>
          <w:rFonts w:eastAsia="SimSun"/>
        </w:rPr>
        <w:t>that will</w:t>
      </w:r>
      <w:r>
        <w:rPr>
          <w:rStyle w:val="SingleTxtGChar"/>
          <w:rFonts w:eastAsia="SimSun"/>
        </w:rPr>
        <w:t xml:space="preserve"> substantiate the risk of being exposed to treatment contrary to article 3 of the Convention. Where such evidence is cited, it is for the State party to dispel any doubts about such evidence. The State party reiterates that there is reason to question the veracity of the complainant’s claims. The State party therefore submits that the migration authorities were not obliged to further </w:t>
      </w:r>
      <w:r w:rsidR="00A0413C">
        <w:rPr>
          <w:rStyle w:val="SingleTxtGChar"/>
          <w:rFonts w:eastAsia="SimSun"/>
        </w:rPr>
        <w:t>examine whether the complainant</w:t>
      </w:r>
      <w:r>
        <w:rPr>
          <w:rStyle w:val="SingleTxtGChar"/>
          <w:rFonts w:eastAsia="SimSun"/>
        </w:rPr>
        <w:t xml:space="preserve"> had been tortured in the past. </w:t>
      </w:r>
    </w:p>
    <w:p w:rsidR="00CB6AEA" w:rsidRPr="00DF23DE" w:rsidRDefault="007821E7" w:rsidP="00240CD4">
      <w:pPr>
        <w:pStyle w:val="H23G"/>
        <w:rPr>
          <w:rFonts w:eastAsia="Cambria"/>
          <w:snapToGrid w:val="0"/>
        </w:rPr>
      </w:pPr>
      <w:r w:rsidRPr="00DF23DE">
        <w:rPr>
          <w:snapToGrid w:val="0"/>
        </w:rPr>
        <w:tab/>
      </w:r>
      <w:r w:rsidRPr="00DF23DE">
        <w:rPr>
          <w:snapToGrid w:val="0"/>
        </w:rPr>
        <w:tab/>
      </w:r>
      <w:r w:rsidR="00CB6AEA" w:rsidRPr="00DF23DE">
        <w:rPr>
          <w:rFonts w:eastAsia="Cambria"/>
          <w:snapToGrid w:val="0"/>
        </w:rPr>
        <w:t>Issues and proceedings before the Committee</w:t>
      </w:r>
    </w:p>
    <w:p w:rsidR="00C31926" w:rsidRPr="00DF23DE" w:rsidRDefault="00D91B02" w:rsidP="00240CD4">
      <w:pPr>
        <w:pStyle w:val="H4G"/>
        <w:rPr>
          <w:rFonts w:eastAsia="Cambria"/>
          <w:snapToGrid w:val="0"/>
        </w:rPr>
      </w:pPr>
      <w:r w:rsidRPr="00DF23DE">
        <w:tab/>
      </w:r>
      <w:r w:rsidR="002E38E2">
        <w:tab/>
      </w:r>
      <w:r w:rsidR="00C31926" w:rsidRPr="00DF23DE">
        <w:rPr>
          <w:rFonts w:eastAsia="Calibri"/>
          <w:kern w:val="3"/>
          <w:lang w:eastAsia="zh-CN"/>
        </w:rPr>
        <w:t>Consideration of admissibility</w:t>
      </w:r>
      <w:r w:rsidR="00C31926" w:rsidRPr="00DF23DE">
        <w:rPr>
          <w:rFonts w:eastAsia="Cambria"/>
          <w:snapToGrid w:val="0"/>
        </w:rPr>
        <w:t xml:space="preserve"> </w:t>
      </w:r>
    </w:p>
    <w:p w:rsidR="00BF13C2" w:rsidRPr="00C61CAF" w:rsidRDefault="00BF13C2" w:rsidP="00BF13C2">
      <w:pPr>
        <w:pStyle w:val="SingleTxtG"/>
      </w:pPr>
      <w:r w:rsidRPr="00222DD5">
        <w:t>7</w:t>
      </w:r>
      <w:r w:rsidRPr="00C61CAF">
        <w:t>.1</w:t>
      </w:r>
      <w:r w:rsidRPr="00C61CAF">
        <w:tab/>
        <w:t xml:space="preserve">Before considering a claim contained in a communication, the Committee must decide whether it is admissible under article 22 of the Convention. The Committee has ascertained, as it is required to do under article 22 </w:t>
      </w:r>
      <w:r>
        <w:t>(</w:t>
      </w:r>
      <w:r w:rsidRPr="00C61CAF">
        <w:t>5</w:t>
      </w:r>
      <w:r>
        <w:t>)</w:t>
      </w:r>
      <w:r w:rsidRPr="00C61CAF">
        <w:t xml:space="preserve"> (a) of the Convention, that the same matter has not been and is not being examined under another procedure of international investigation or settlement.</w:t>
      </w:r>
    </w:p>
    <w:p w:rsidR="00BF13C2" w:rsidRPr="00C61CAF" w:rsidRDefault="00BF13C2" w:rsidP="004F57D8">
      <w:pPr>
        <w:pStyle w:val="SingleTxtG"/>
      </w:pPr>
      <w:r w:rsidRPr="00222DD5">
        <w:t>7.</w:t>
      </w:r>
      <w:r w:rsidRPr="00C61CAF">
        <w:t>2</w:t>
      </w:r>
      <w:r w:rsidRPr="00C61CAF">
        <w:tab/>
        <w:t xml:space="preserve">The Committee recalls that, in accordance with article 22 </w:t>
      </w:r>
      <w:r>
        <w:t>(</w:t>
      </w:r>
      <w:r w:rsidRPr="00C61CAF">
        <w:t>5</w:t>
      </w:r>
      <w:r>
        <w:t>)</w:t>
      </w:r>
      <w:r w:rsidRPr="00C61CAF">
        <w:t xml:space="preserve"> (b) of the Convention, it shall not consider any communication from an individual unless it has ascertained that the individual has exhausted all available domestic remedies. It notes that</w:t>
      </w:r>
      <w:r w:rsidR="004F57D8">
        <w:t>,</w:t>
      </w:r>
      <w:r w:rsidRPr="00C61CAF">
        <w:t xml:space="preserve"> in the present case, the State party has recognized that the complainant ha</w:t>
      </w:r>
      <w:r>
        <w:t>s</w:t>
      </w:r>
      <w:r w:rsidRPr="00C61CAF">
        <w:t xml:space="preserve"> exhausted all available domestic remedies. Accordingly, the Committee finds no obstacles to admissibility; it declares the communication admissible </w:t>
      </w:r>
      <w:r w:rsidR="0097653D" w:rsidRPr="00C61CAF">
        <w:t>as far as the complainant</w:t>
      </w:r>
      <w:r w:rsidR="0097653D">
        <w:t>’</w:t>
      </w:r>
      <w:r w:rsidR="0097653D" w:rsidRPr="00C61CAF">
        <w:t xml:space="preserve">s claim under article 3 of the Convention is concerned </w:t>
      </w:r>
      <w:r w:rsidRPr="00C61CAF">
        <w:t xml:space="preserve">and proceeds with </w:t>
      </w:r>
      <w:r w:rsidR="004F57D8">
        <w:t>the</w:t>
      </w:r>
      <w:r w:rsidR="004F57D8" w:rsidRPr="00C61CAF">
        <w:t xml:space="preserve"> </w:t>
      </w:r>
      <w:r w:rsidRPr="00C61CAF">
        <w:t>examination o</w:t>
      </w:r>
      <w:r w:rsidR="004F57D8">
        <w:t>f</w:t>
      </w:r>
      <w:r w:rsidRPr="00C61CAF">
        <w:t xml:space="preserve"> the merits.</w:t>
      </w:r>
    </w:p>
    <w:p w:rsidR="00CB6AEA" w:rsidRPr="005E4862" w:rsidRDefault="009227F4" w:rsidP="005E4862">
      <w:pPr>
        <w:pStyle w:val="H4G"/>
        <w:rPr>
          <w:rFonts w:eastAsia="Cambria"/>
        </w:rPr>
      </w:pPr>
      <w:r w:rsidRPr="00DF23DE">
        <w:rPr>
          <w:rFonts w:eastAsia="Cambria"/>
          <w:snapToGrid w:val="0"/>
        </w:rPr>
        <w:tab/>
      </w:r>
      <w:r w:rsidRPr="00DF23DE">
        <w:rPr>
          <w:rFonts w:eastAsia="Cambria"/>
          <w:snapToGrid w:val="0"/>
        </w:rPr>
        <w:tab/>
      </w:r>
      <w:r w:rsidR="00CB6AEA" w:rsidRPr="00DF23DE">
        <w:rPr>
          <w:rFonts w:eastAsia="Cambria"/>
          <w:snapToGrid w:val="0"/>
        </w:rPr>
        <w:t>Consideration of the merits</w:t>
      </w:r>
    </w:p>
    <w:p w:rsidR="00BF13C2" w:rsidRPr="00C61CAF" w:rsidRDefault="00BF13C2" w:rsidP="00BF13C2">
      <w:pPr>
        <w:pStyle w:val="SingleTxtG"/>
      </w:pPr>
      <w:r w:rsidRPr="00C61CAF">
        <w:t>8.1</w:t>
      </w:r>
      <w:r w:rsidRPr="00C61CAF">
        <w:tab/>
        <w:t xml:space="preserve">The Committee has considered the communication in the light of all the information made available to it by the parties concerned, in accordance with article 22 </w:t>
      </w:r>
      <w:r>
        <w:t>(</w:t>
      </w:r>
      <w:r w:rsidRPr="00C61CAF">
        <w:t>4</w:t>
      </w:r>
      <w:r>
        <w:t>)</w:t>
      </w:r>
      <w:r w:rsidRPr="00C61CAF">
        <w:t xml:space="preserve"> of the Convention.</w:t>
      </w:r>
    </w:p>
    <w:p w:rsidR="00BF13C2" w:rsidRPr="00C61CAF" w:rsidRDefault="00BF13C2" w:rsidP="00352A13">
      <w:pPr>
        <w:pStyle w:val="SingleTxtG"/>
      </w:pPr>
      <w:r w:rsidRPr="00C61CAF">
        <w:t>8.2</w:t>
      </w:r>
      <w:r w:rsidRPr="00C61CAF">
        <w:tab/>
        <w:t>The Committee must determine whether the deportation</w:t>
      </w:r>
      <w:r w:rsidRPr="00222DD5">
        <w:t xml:space="preserve"> </w:t>
      </w:r>
      <w:r w:rsidRPr="00C61CAF">
        <w:t xml:space="preserve">of the complainant to the Russian Federation would violate the State party’s obligations under article 3 </w:t>
      </w:r>
      <w:r>
        <w:t>(</w:t>
      </w:r>
      <w:r w:rsidRPr="00C61CAF">
        <w:t>1</w:t>
      </w:r>
      <w:r>
        <w:t>)</w:t>
      </w:r>
      <w:r w:rsidRPr="00C61CAF">
        <w:t xml:space="preserve"> of the Convention not to expel or return (</w:t>
      </w:r>
      <w:r w:rsidRPr="00C61CAF">
        <w:rPr>
          <w:i/>
        </w:rPr>
        <w:t>refouler</w:t>
      </w:r>
      <w:r w:rsidRPr="00C61CAF">
        <w:t xml:space="preserve">) a person to another State where there are substantial grounds for believing that he </w:t>
      </w:r>
      <w:r w:rsidR="004F57D8">
        <w:t xml:space="preserve">or she </w:t>
      </w:r>
      <w:r w:rsidRPr="00C61CAF">
        <w:t>would be in danger of being subjected to torture</w:t>
      </w:r>
      <w:r w:rsidRPr="00222DD5">
        <w:t xml:space="preserve"> </w:t>
      </w:r>
      <w:r w:rsidRPr="00C61CAF">
        <w:t>there. The Committee recalls that the existence in a country of gross, flagrant or mass violations of human rights is not in itself sufficient ground for believing that an individual would be subjected to torture.</w:t>
      </w:r>
      <w:r>
        <w:rPr>
          <w:rStyle w:val="FootnoteReference"/>
        </w:rPr>
        <w:footnoteReference w:id="14"/>
      </w:r>
      <w:r w:rsidR="00352A13">
        <w:t xml:space="preserve"> </w:t>
      </w:r>
      <w:r w:rsidRPr="00C61CAF">
        <w:t>Conversely, the absence of a consistent pattern of flagrant violations of human rights does not mean that an individual might not be subjected to torture.</w:t>
      </w:r>
    </w:p>
    <w:p w:rsidR="00BF13C2" w:rsidRPr="00C61CAF" w:rsidRDefault="00BF13C2" w:rsidP="00352A13">
      <w:pPr>
        <w:pStyle w:val="SingleTxtG"/>
      </w:pPr>
      <w:r w:rsidRPr="00C61CAF">
        <w:t>8.3</w:t>
      </w:r>
      <w:r w:rsidRPr="00C61CAF">
        <w:tab/>
        <w:t xml:space="preserve">Recalling its general comment No. 1, the Committee reaffirms that the risk of torture must be assessed on grounds that go beyond mere theory or suspicion. However, the risk </w:t>
      </w:r>
      <w:r w:rsidRPr="00C61CAF">
        <w:lastRenderedPageBreak/>
        <w:t>does not have to meet the test of being highly probable, but it must be personal, present, foreseeable and real</w:t>
      </w:r>
      <w:r>
        <w:t>.</w:t>
      </w:r>
      <w:r>
        <w:rPr>
          <w:rStyle w:val="FootnoteReference"/>
        </w:rPr>
        <w:footnoteReference w:id="15"/>
      </w:r>
    </w:p>
    <w:p w:rsidR="00BF13C2" w:rsidRPr="00C61CAF" w:rsidRDefault="00BF13C2" w:rsidP="004F57D8">
      <w:pPr>
        <w:pStyle w:val="SingleTxtG"/>
      </w:pPr>
      <w:r w:rsidRPr="00C61CAF">
        <w:t>8.4</w:t>
      </w:r>
      <w:r w:rsidRPr="00C61CAF">
        <w:tab/>
        <w:t>The Committee takes note of the claim that the complainant</w:t>
      </w:r>
      <w:r>
        <w:t xml:space="preserve"> was twice arrested and tortured</w:t>
      </w:r>
      <w:r w:rsidRPr="00C61CAF">
        <w:t>. The Committee notes that, according to the complainant, the Migration Board and</w:t>
      </w:r>
      <w:r w:rsidR="004F57D8">
        <w:t>,</w:t>
      </w:r>
      <w:r w:rsidRPr="00C61CAF">
        <w:t xml:space="preserve"> subsequently, the Migration Court both failed to take into consideration this information.</w:t>
      </w:r>
    </w:p>
    <w:p w:rsidR="00BF13C2" w:rsidRPr="00CA5D72" w:rsidRDefault="00BF13C2">
      <w:pPr>
        <w:pStyle w:val="SingleTxtG"/>
        <w:rPr>
          <w:bCs/>
          <w:lang w:eastAsia="en-GB"/>
        </w:rPr>
      </w:pPr>
      <w:r w:rsidRPr="00C61CAF">
        <w:t>8.5</w:t>
      </w:r>
      <w:r w:rsidRPr="00C61CAF">
        <w:tab/>
        <w:t xml:space="preserve">The Committee </w:t>
      </w:r>
      <w:r w:rsidR="004F57D8">
        <w:t xml:space="preserve">also </w:t>
      </w:r>
      <w:r w:rsidRPr="00CA5D72">
        <w:t>notes that, even if it were to accept the claim that the complainant w</w:t>
      </w:r>
      <w:r w:rsidR="00BD17E1">
        <w:t>as</w:t>
      </w:r>
      <w:r w:rsidRPr="00CA5D72">
        <w:t xml:space="preserve"> subjected to torture or ill-treatment in the past, the question is whether </w:t>
      </w:r>
      <w:r w:rsidR="00BD17E1">
        <w:t>he</w:t>
      </w:r>
      <w:r w:rsidRPr="00CA5D72">
        <w:t xml:space="preserve"> remain</w:t>
      </w:r>
      <w:r w:rsidR="00BD17E1">
        <w:t>s</w:t>
      </w:r>
      <w:r w:rsidRPr="00CA5D72">
        <w:t>, at present, at risk of torture in the Russian Federation. The Committee notes that the current human rights situation in the Russian Federation remains a matter of concern in several aspects, in particular in the northern Caucasus. The Committee recalls that</w:t>
      </w:r>
      <w:r w:rsidR="00C621F5">
        <w:t>,</w:t>
      </w:r>
      <w:r w:rsidRPr="00CA5D72">
        <w:t xml:space="preserve"> in its concluding observations </w:t>
      </w:r>
      <w:r w:rsidR="00C621F5">
        <w:t>on</w:t>
      </w:r>
      <w:r w:rsidR="00C621F5" w:rsidRPr="00CA5D72">
        <w:t xml:space="preserve"> </w:t>
      </w:r>
      <w:r w:rsidRPr="00CA5D72">
        <w:t>the fifth periodic report of the Russian Federation</w:t>
      </w:r>
      <w:r w:rsidR="00C621F5">
        <w:t>,</w:t>
      </w:r>
      <w:r w:rsidRPr="00CA5D72">
        <w:t xml:space="preserve"> in 2012,</w:t>
      </w:r>
      <w:r w:rsidR="00C621F5" w:rsidRPr="00C621F5">
        <w:t xml:space="preserve"> </w:t>
      </w:r>
      <w:r w:rsidR="00C621F5" w:rsidRPr="00CA5D72">
        <w:t>it expressed concern</w:t>
      </w:r>
      <w:r w:rsidR="00C621F5">
        <w:t xml:space="preserve"> at the</w:t>
      </w:r>
      <w:r w:rsidRPr="00CA5D72">
        <w:t xml:space="preserve"> numerous, ongoing and consistent</w:t>
      </w:r>
      <w:r w:rsidRPr="00CA5D72" w:rsidDel="00687976">
        <w:t xml:space="preserve"> </w:t>
      </w:r>
      <w:r w:rsidRPr="00CA5D72">
        <w:t>reports of serious human rights abuses inflicted by or at the instigation or with the consent or acquiescence of public officials or other persons acting in official capacities in the northern Caucasus, including Chech</w:t>
      </w:r>
      <w:r w:rsidR="00C621F5">
        <w:t>nya</w:t>
      </w:r>
      <w:r w:rsidRPr="00CA5D72">
        <w:rPr>
          <w:bCs/>
          <w:lang w:eastAsia="en-GB"/>
        </w:rPr>
        <w:t>, including torture and ill-treatment, abductions, enforced disappearances and extrajudicial killings</w:t>
      </w:r>
      <w:r w:rsidR="00C621F5">
        <w:t xml:space="preserve"> (see CAT/C/RUS/CO/5, para. 13)</w:t>
      </w:r>
      <w:r w:rsidRPr="00CA5D72">
        <w:t xml:space="preserve">. </w:t>
      </w:r>
    </w:p>
    <w:p w:rsidR="002B6B95" w:rsidRDefault="00BF13C2" w:rsidP="00762392">
      <w:pPr>
        <w:pStyle w:val="SingleTxtG"/>
      </w:pPr>
      <w:r w:rsidRPr="00CA5D72">
        <w:t>8.6</w:t>
      </w:r>
      <w:r w:rsidRPr="00CA5D72">
        <w:tab/>
        <w:t>The Committee notes that the State party has drawn attention to inconsistencies and contradictions in the complainant</w:t>
      </w:r>
      <w:r w:rsidR="00BD17E1">
        <w:t>’</w:t>
      </w:r>
      <w:r w:rsidRPr="00CA5D72">
        <w:t>s accounts and submissions</w:t>
      </w:r>
      <w:r w:rsidR="00762392">
        <w:t>,</w:t>
      </w:r>
      <w:r w:rsidRPr="00CA5D72">
        <w:t xml:space="preserve"> which cast doubts regarding </w:t>
      </w:r>
      <w:r w:rsidR="00BD17E1">
        <w:t>his</w:t>
      </w:r>
      <w:r w:rsidRPr="00CA5D72">
        <w:t xml:space="preserve"> general credibility and the veracity of </w:t>
      </w:r>
      <w:r w:rsidR="00BD17E1">
        <w:t>his</w:t>
      </w:r>
      <w:r w:rsidRPr="00CA5D72">
        <w:t xml:space="preserve"> claims. </w:t>
      </w:r>
      <w:r w:rsidR="00213EB5">
        <w:t>The Committee notes, i</w:t>
      </w:r>
      <w:r w:rsidRPr="00CA5D72">
        <w:t>n particular,</w:t>
      </w:r>
      <w:r w:rsidR="00213EB5">
        <w:t xml:space="preserve"> that</w:t>
      </w:r>
      <w:r w:rsidRPr="00CA5D72">
        <w:t xml:space="preserve"> the complainant</w:t>
      </w:r>
      <w:r w:rsidR="002B6B95">
        <w:t xml:space="preserve"> could not definitively verify that his habitual and permanent place of residence was in Chech</w:t>
      </w:r>
      <w:r w:rsidR="00762392">
        <w:t>nya</w:t>
      </w:r>
      <w:r w:rsidR="002B6B95">
        <w:t>, nor was he able to show any evidence that his brother and other family member</w:t>
      </w:r>
      <w:r w:rsidR="0097653D">
        <w:t>s</w:t>
      </w:r>
      <w:r w:rsidR="002B6B95">
        <w:t xml:space="preserve"> </w:t>
      </w:r>
      <w:r w:rsidR="00762392">
        <w:t xml:space="preserve">had been </w:t>
      </w:r>
      <w:r w:rsidR="002B6B95">
        <w:t xml:space="preserve">persecuted for their connections to the complainant. The complainant further failed to provide exact dates, </w:t>
      </w:r>
      <w:r w:rsidR="00762392">
        <w:t xml:space="preserve">information on </w:t>
      </w:r>
      <w:r w:rsidR="002B6B95">
        <w:t>location</w:t>
      </w:r>
      <w:r w:rsidR="00762392">
        <w:t>s</w:t>
      </w:r>
      <w:r w:rsidR="002B6B95">
        <w:t xml:space="preserve"> and </w:t>
      </w:r>
      <w:r w:rsidR="00762392">
        <w:t xml:space="preserve">the </w:t>
      </w:r>
      <w:r w:rsidR="002B6B95">
        <w:t xml:space="preserve">names </w:t>
      </w:r>
      <w:r w:rsidR="0097653D">
        <w:t xml:space="preserve">of </w:t>
      </w:r>
      <w:r w:rsidR="002B6B95">
        <w:t>persons involved in the events central to his claim for protection</w:t>
      </w:r>
      <w:r w:rsidR="00762392">
        <w:t>; specifically, he was unable to provide</w:t>
      </w:r>
      <w:r w:rsidR="002B6B95">
        <w:t xml:space="preserve"> details and description</w:t>
      </w:r>
      <w:r w:rsidR="00762392">
        <w:t>s</w:t>
      </w:r>
      <w:r w:rsidR="002B6B95">
        <w:t xml:space="preserve"> regarding his places of residence</w:t>
      </w:r>
      <w:r w:rsidR="00762392">
        <w:t xml:space="preserve"> and</w:t>
      </w:r>
      <w:r w:rsidR="002B6B95">
        <w:t xml:space="preserve"> his alleged arrests and instances of torture suffered </w:t>
      </w:r>
      <w:r w:rsidR="00762392">
        <w:t>at</w:t>
      </w:r>
      <w:r w:rsidR="002B6B95">
        <w:t xml:space="preserve"> the hands of the Russian authorities. </w:t>
      </w:r>
    </w:p>
    <w:p w:rsidR="00BF13C2" w:rsidRPr="00CA5D72" w:rsidRDefault="00BF13C2" w:rsidP="00762392">
      <w:pPr>
        <w:pStyle w:val="SingleTxtG"/>
      </w:pPr>
      <w:r w:rsidRPr="00CA5D72">
        <w:t>8.7</w:t>
      </w:r>
      <w:r w:rsidRPr="00CA5D72">
        <w:tab/>
        <w:t>The Committee furthe</w:t>
      </w:r>
      <w:r w:rsidR="002B6B95">
        <w:t>r observes that the complainant</w:t>
      </w:r>
      <w:r w:rsidRPr="00CA5D72">
        <w:t xml:space="preserve"> merely stated before the </w:t>
      </w:r>
      <w:r w:rsidRPr="00222DD5">
        <w:t xml:space="preserve">Migration </w:t>
      </w:r>
      <w:r w:rsidRPr="00CA5D72">
        <w:t>Board</w:t>
      </w:r>
      <w:r w:rsidRPr="00222DD5">
        <w:t xml:space="preserve"> and the Migration Court</w:t>
      </w:r>
      <w:r w:rsidRPr="00CA5D72">
        <w:t xml:space="preserve"> that </w:t>
      </w:r>
      <w:r w:rsidR="002B6B95">
        <w:t>he</w:t>
      </w:r>
      <w:r w:rsidRPr="00CA5D72">
        <w:t xml:space="preserve"> feared being subjected to torture if returned to the Russian Federation, claiming that</w:t>
      </w:r>
      <w:r w:rsidR="002B6B95">
        <w:t xml:space="preserve"> he</w:t>
      </w:r>
      <w:r w:rsidRPr="00CA5D72">
        <w:t xml:space="preserve"> ha</w:t>
      </w:r>
      <w:r w:rsidR="00762392">
        <w:t>d</w:t>
      </w:r>
      <w:r w:rsidRPr="00CA5D72">
        <w:t xml:space="preserve"> been tortured in the past, and that </w:t>
      </w:r>
      <w:r w:rsidR="002B6B95">
        <w:t>he</w:t>
      </w:r>
      <w:r w:rsidRPr="00CA5D72">
        <w:t xml:space="preserve"> would be targeted again. The Committee notes</w:t>
      </w:r>
      <w:r w:rsidR="00762392" w:rsidRPr="00CA5D72">
        <w:t>, however</w:t>
      </w:r>
      <w:r w:rsidR="00762392">
        <w:t>,</w:t>
      </w:r>
      <w:r w:rsidRPr="00CA5D72">
        <w:t xml:space="preserve"> that the complainant d</w:t>
      </w:r>
      <w:r w:rsidR="00762392">
        <w:t>id</w:t>
      </w:r>
      <w:r w:rsidRPr="00CA5D72">
        <w:t xml:space="preserve"> not put forward any evidence </w:t>
      </w:r>
      <w:r w:rsidR="00762392">
        <w:t xml:space="preserve">indicating </w:t>
      </w:r>
      <w:r w:rsidRPr="00CA5D72">
        <w:t xml:space="preserve">that the Russian authorities would target </w:t>
      </w:r>
      <w:r w:rsidR="002B6B95">
        <w:t>him</w:t>
      </w:r>
      <w:r w:rsidRPr="00CA5D72">
        <w:t xml:space="preserve"> </w:t>
      </w:r>
      <w:r w:rsidR="00762392">
        <w:t>should</w:t>
      </w:r>
      <w:r w:rsidR="00762392" w:rsidRPr="00CA5D72">
        <w:t xml:space="preserve"> </w:t>
      </w:r>
      <w:r w:rsidR="002B6B95">
        <w:t xml:space="preserve">he </w:t>
      </w:r>
      <w:r w:rsidR="00762392">
        <w:t>be</w:t>
      </w:r>
      <w:r w:rsidRPr="00CA5D72">
        <w:t xml:space="preserve"> returned. </w:t>
      </w:r>
      <w:r w:rsidRPr="00CB1402">
        <w:t>The Committee</w:t>
      </w:r>
      <w:r>
        <w:t xml:space="preserve"> recalls that, in its</w:t>
      </w:r>
      <w:r w:rsidRPr="00CB1402">
        <w:t xml:space="preserve"> general comment No. 1</w:t>
      </w:r>
      <w:r>
        <w:t>,</w:t>
      </w:r>
      <w:r w:rsidRPr="00CB1402">
        <w:t xml:space="preserve"> </w:t>
      </w:r>
      <w:r>
        <w:t xml:space="preserve">it stated </w:t>
      </w:r>
      <w:r w:rsidRPr="00CB1402">
        <w:t xml:space="preserve">that </w:t>
      </w:r>
      <w:r>
        <w:t>it</w:t>
      </w:r>
      <w:r w:rsidRPr="00CB1402">
        <w:t xml:space="preserve"> </w:t>
      </w:r>
      <w:r w:rsidR="00762392">
        <w:t>w</w:t>
      </w:r>
      <w:r w:rsidRPr="00CB1402">
        <w:t xml:space="preserve">ould give considerable weight to findings of fact made by the State party concerned. </w:t>
      </w:r>
      <w:r w:rsidRPr="00CA5D72">
        <w:t xml:space="preserve">The Committee </w:t>
      </w:r>
      <w:r>
        <w:t xml:space="preserve">considers </w:t>
      </w:r>
      <w:r w:rsidRPr="00CA5D72">
        <w:t>that</w:t>
      </w:r>
      <w:r>
        <w:t>, in the specific circumstances of th</w:t>
      </w:r>
      <w:r w:rsidR="00762392">
        <w:t>e</w:t>
      </w:r>
      <w:r>
        <w:t xml:space="preserve"> </w:t>
      </w:r>
      <w:r w:rsidR="00762392">
        <w:t xml:space="preserve">present </w:t>
      </w:r>
      <w:r>
        <w:t xml:space="preserve">case, it is not necessary to challenge </w:t>
      </w:r>
      <w:r w:rsidRPr="00CA5D72">
        <w:t xml:space="preserve">the State party’s </w:t>
      </w:r>
      <w:r>
        <w:t>evaluation of</w:t>
      </w:r>
      <w:r w:rsidRPr="00CA5D72">
        <w:t xml:space="preserve"> the evidence presented by the complainant.</w:t>
      </w:r>
    </w:p>
    <w:p w:rsidR="00BF13C2" w:rsidRPr="00CA5D72" w:rsidRDefault="00BF13C2" w:rsidP="00762392">
      <w:pPr>
        <w:pStyle w:val="SingleTxtG"/>
      </w:pPr>
      <w:r w:rsidRPr="00CA5D72">
        <w:t>8.8</w:t>
      </w:r>
      <w:r w:rsidRPr="00CA5D72">
        <w:tab/>
        <w:t xml:space="preserve">The Committee recalls </w:t>
      </w:r>
      <w:r w:rsidR="0097653D">
        <w:t xml:space="preserve">that </w:t>
      </w:r>
      <w:r w:rsidRPr="00CA5D72">
        <w:t>the risk of torture must be assessed on grounds that go beyond mere theory and that it is generally for the complainant to present an arguable case.</w:t>
      </w:r>
      <w:r>
        <w:rPr>
          <w:rStyle w:val="FootnoteReference"/>
        </w:rPr>
        <w:footnoteReference w:id="16"/>
      </w:r>
      <w:r w:rsidR="002B6B95">
        <w:t xml:space="preserve"> </w:t>
      </w:r>
      <w:r>
        <w:t>In that regard, the Committee</w:t>
      </w:r>
      <w:r w:rsidR="00762392">
        <w:t xml:space="preserve"> notes</w:t>
      </w:r>
      <w:r>
        <w:t xml:space="preserve">, in addition to the lack of information about the alleged instances of torture, </w:t>
      </w:r>
      <w:r w:rsidR="00762392">
        <w:t xml:space="preserve">also </w:t>
      </w:r>
      <w:r>
        <w:t>the discrepancies described</w:t>
      </w:r>
      <w:r w:rsidR="002B6B95">
        <w:t xml:space="preserve"> by the State party</w:t>
      </w:r>
      <w:r w:rsidR="00762392">
        <w:t>.</w:t>
      </w:r>
      <w:r w:rsidR="00213EB5">
        <w:rPr>
          <w:rStyle w:val="FootnoteReference"/>
        </w:rPr>
        <w:footnoteReference w:id="17"/>
      </w:r>
      <w:r>
        <w:t xml:space="preserve"> </w:t>
      </w:r>
      <w:r w:rsidRPr="00CA5D72">
        <w:t>In</w:t>
      </w:r>
      <w:r>
        <w:t xml:space="preserve"> the</w:t>
      </w:r>
      <w:r w:rsidRPr="00CA5D72">
        <w:t xml:space="preserve"> light of the</w:t>
      </w:r>
      <w:r w:rsidR="002A49B6">
        <w:t>se</w:t>
      </w:r>
      <w:r w:rsidRPr="00CA5D72">
        <w:t xml:space="preserve"> considerations and on the basis of all the information submitted by the </w:t>
      </w:r>
      <w:r w:rsidRPr="00CA5D72">
        <w:lastRenderedPageBreak/>
        <w:t>complainant, including on the general situation of human rights in the Russian Federation, the Committee considers that the complainant ha</w:t>
      </w:r>
      <w:r w:rsidR="00E108E8">
        <w:t>s</w:t>
      </w:r>
      <w:r w:rsidRPr="00CA5D72">
        <w:t xml:space="preserve"> not provided sufficient evidence to enable it to conclude that </w:t>
      </w:r>
      <w:r w:rsidR="002B6B95">
        <w:t>his</w:t>
      </w:r>
      <w:r w:rsidRPr="00CA5D72">
        <w:t xml:space="preserve"> forcible removal to </w:t>
      </w:r>
      <w:r w:rsidR="002B6B95">
        <w:t>his</w:t>
      </w:r>
      <w:r w:rsidRPr="00CA5D72">
        <w:t xml:space="preserve"> country of origin would expose </w:t>
      </w:r>
      <w:r w:rsidR="002B6B95">
        <w:t xml:space="preserve">him </w:t>
      </w:r>
      <w:r w:rsidRPr="00CA5D72">
        <w:t>to a foreseeable, real and personal risk of torture within the meaning of article 3 of the Convention.</w:t>
      </w:r>
    </w:p>
    <w:p w:rsidR="00BF13C2" w:rsidRDefault="00BF13C2" w:rsidP="00BF13C2">
      <w:pPr>
        <w:pStyle w:val="SingleTxtG"/>
      </w:pPr>
      <w:r w:rsidRPr="00CA5D72">
        <w:t>9.</w:t>
      </w:r>
      <w:r w:rsidRPr="00CA5D72">
        <w:tab/>
        <w:t xml:space="preserve">The Committee, acting under article 22 </w:t>
      </w:r>
      <w:r>
        <w:t>(</w:t>
      </w:r>
      <w:r w:rsidRPr="00CA5D72">
        <w:t>7</w:t>
      </w:r>
      <w:r>
        <w:t>)</w:t>
      </w:r>
      <w:r w:rsidRPr="00CA5D72">
        <w:t xml:space="preserve"> of the Convention, therefore concludes that the complainant</w:t>
      </w:r>
      <w:r w:rsidR="00E108E8">
        <w:t>’</w:t>
      </w:r>
      <w:r w:rsidRPr="00CA5D72">
        <w:t xml:space="preserve">s </w:t>
      </w:r>
      <w:r w:rsidR="00E108E8">
        <w:t>expulsion</w:t>
      </w:r>
      <w:r w:rsidRPr="00CA5D72">
        <w:t xml:space="preserve"> to the Russian Federation would not constitute a breach of article 3 of the Convention.</w:t>
      </w:r>
    </w:p>
    <w:p w:rsidR="007821E7" w:rsidRPr="001F723C" w:rsidRDefault="001F723C" w:rsidP="001F723C">
      <w:pPr>
        <w:spacing w:before="240"/>
        <w:ind w:left="1134" w:right="1134"/>
        <w:jc w:val="center"/>
        <w:rPr>
          <w:u w:val="single"/>
        </w:rPr>
      </w:pPr>
      <w:r>
        <w:rPr>
          <w:u w:val="single"/>
        </w:rPr>
        <w:tab/>
      </w:r>
      <w:r>
        <w:rPr>
          <w:u w:val="single"/>
        </w:rPr>
        <w:tab/>
      </w:r>
      <w:r>
        <w:rPr>
          <w:u w:val="single"/>
        </w:rPr>
        <w:tab/>
      </w:r>
    </w:p>
    <w:sectPr w:rsidR="007821E7" w:rsidRPr="001F723C" w:rsidSect="005269E4">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9D" w:rsidRDefault="00FE429D"/>
  </w:endnote>
  <w:endnote w:type="continuationSeparator" w:id="0">
    <w:p w:rsidR="00FE429D" w:rsidRDefault="00FE429D"/>
  </w:endnote>
  <w:endnote w:type="continuationNotice" w:id="1">
    <w:p w:rsidR="00FE429D" w:rsidRDefault="00FE4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39T30Lfz">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C5" w:rsidRPr="00785A61" w:rsidRDefault="00C81DC5" w:rsidP="00785A61">
    <w:pPr>
      <w:pStyle w:val="Footer"/>
      <w:tabs>
        <w:tab w:val="right" w:pos="9638"/>
      </w:tabs>
    </w:pPr>
    <w:r w:rsidRPr="00785A61">
      <w:rPr>
        <w:b/>
        <w:sz w:val="18"/>
      </w:rPr>
      <w:fldChar w:fldCharType="begin"/>
    </w:r>
    <w:r w:rsidRPr="00785A61">
      <w:rPr>
        <w:b/>
        <w:sz w:val="18"/>
      </w:rPr>
      <w:instrText xml:space="preserve"> PAGE  \* MERGEFORMAT </w:instrText>
    </w:r>
    <w:r w:rsidRPr="00785A61">
      <w:rPr>
        <w:b/>
        <w:sz w:val="18"/>
      </w:rPr>
      <w:fldChar w:fldCharType="separate"/>
    </w:r>
    <w:r w:rsidR="009F67DE">
      <w:rPr>
        <w:b/>
        <w:noProof/>
        <w:sz w:val="18"/>
      </w:rPr>
      <w:t>2</w:t>
    </w:r>
    <w:r w:rsidRPr="00785A6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C5" w:rsidRPr="00785A61" w:rsidRDefault="00C81DC5" w:rsidP="00785A61">
    <w:pPr>
      <w:pStyle w:val="Footer"/>
      <w:tabs>
        <w:tab w:val="right" w:pos="9638"/>
      </w:tabs>
      <w:rPr>
        <w:b/>
        <w:sz w:val="18"/>
      </w:rPr>
    </w:pPr>
    <w:r>
      <w:tab/>
    </w:r>
    <w:r w:rsidRPr="00785A61">
      <w:rPr>
        <w:b/>
        <w:sz w:val="18"/>
      </w:rPr>
      <w:fldChar w:fldCharType="begin"/>
    </w:r>
    <w:r w:rsidRPr="00785A61">
      <w:rPr>
        <w:b/>
        <w:sz w:val="18"/>
      </w:rPr>
      <w:instrText xml:space="preserve"> PAGE  \* MERGEFORMAT </w:instrText>
    </w:r>
    <w:r w:rsidRPr="00785A61">
      <w:rPr>
        <w:b/>
        <w:sz w:val="18"/>
      </w:rPr>
      <w:fldChar w:fldCharType="separate"/>
    </w:r>
    <w:r w:rsidR="009F67DE">
      <w:rPr>
        <w:b/>
        <w:noProof/>
        <w:sz w:val="18"/>
      </w:rPr>
      <w:t>3</w:t>
    </w:r>
    <w:r w:rsidRPr="00785A6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C5" w:rsidRDefault="002A3280" w:rsidP="002A3280">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2A3280" w:rsidRDefault="002A3280" w:rsidP="002A3280">
    <w:pPr>
      <w:pStyle w:val="Footer"/>
      <w:ind w:right="1134"/>
      <w:rPr>
        <w:sz w:val="20"/>
      </w:rPr>
    </w:pPr>
    <w:r>
      <w:rPr>
        <w:sz w:val="20"/>
      </w:rPr>
      <w:t>GE.16-16126(E)</w:t>
    </w:r>
  </w:p>
  <w:p w:rsidR="002A3280" w:rsidRPr="002A3280" w:rsidRDefault="002A3280" w:rsidP="002A328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0080" cy="640080"/>
          <wp:effectExtent l="0" t="0" r="7620" b="7620"/>
          <wp:wrapNone/>
          <wp:docPr id="1" name="Picture 1" descr="http://undocs.org/m2/QRCode.ashx?DS=CAT/C/58/D/616/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8/D/616/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9D" w:rsidRPr="000B175B" w:rsidRDefault="00FE429D" w:rsidP="000B175B">
      <w:pPr>
        <w:tabs>
          <w:tab w:val="right" w:pos="2155"/>
        </w:tabs>
        <w:spacing w:after="80"/>
        <w:ind w:left="680"/>
        <w:rPr>
          <w:u w:val="single"/>
        </w:rPr>
      </w:pPr>
      <w:r>
        <w:rPr>
          <w:u w:val="single"/>
        </w:rPr>
        <w:tab/>
      </w:r>
    </w:p>
  </w:footnote>
  <w:footnote w:type="continuationSeparator" w:id="0">
    <w:p w:rsidR="00FE429D" w:rsidRPr="00FC68B7" w:rsidRDefault="00FE429D" w:rsidP="00FC68B7">
      <w:pPr>
        <w:tabs>
          <w:tab w:val="left" w:pos="2155"/>
        </w:tabs>
        <w:spacing w:after="80"/>
        <w:ind w:left="680"/>
        <w:rPr>
          <w:u w:val="single"/>
        </w:rPr>
      </w:pPr>
      <w:r>
        <w:rPr>
          <w:u w:val="single"/>
        </w:rPr>
        <w:tab/>
      </w:r>
    </w:p>
  </w:footnote>
  <w:footnote w:type="continuationNotice" w:id="1">
    <w:p w:rsidR="00FE429D" w:rsidRDefault="00FE429D"/>
  </w:footnote>
  <w:footnote w:id="2">
    <w:p w:rsidR="00C81DC5" w:rsidRPr="00352A13" w:rsidRDefault="00C81DC5" w:rsidP="0018196A">
      <w:pPr>
        <w:pStyle w:val="FootnoteText"/>
        <w:rPr>
          <w:szCs w:val="18"/>
        </w:rPr>
      </w:pPr>
      <w:r w:rsidRPr="00352A13">
        <w:rPr>
          <w:rStyle w:val="FootnoteReference"/>
          <w:sz w:val="20"/>
        </w:rPr>
        <w:tab/>
      </w:r>
      <w:r w:rsidRPr="00352A13">
        <w:rPr>
          <w:rStyle w:val="FootnoteReference"/>
          <w:sz w:val="20"/>
          <w:vertAlign w:val="baseline"/>
        </w:rPr>
        <w:t>*</w:t>
      </w:r>
      <w:r>
        <w:rPr>
          <w:rStyle w:val="FootnoteReference"/>
          <w:sz w:val="20"/>
          <w:vertAlign w:val="baseline"/>
        </w:rPr>
        <w:tab/>
      </w:r>
      <w:r w:rsidRPr="00352A13">
        <w:rPr>
          <w:szCs w:val="18"/>
        </w:rPr>
        <w:t>Adopted by the Committee at its fifty-eighth session (25 July-12 August 2016).</w:t>
      </w:r>
    </w:p>
  </w:footnote>
  <w:footnote w:id="3">
    <w:p w:rsidR="00C81DC5" w:rsidRPr="00352A13" w:rsidRDefault="00C81DC5" w:rsidP="00140DFF">
      <w:pPr>
        <w:pStyle w:val="FootnoteText"/>
        <w:rPr>
          <w:szCs w:val="18"/>
        </w:rPr>
      </w:pPr>
      <w:r w:rsidRPr="00352A13">
        <w:rPr>
          <w:rStyle w:val="FootnoteReference"/>
          <w:sz w:val="20"/>
        </w:rPr>
        <w:tab/>
      </w:r>
      <w:r w:rsidRPr="00352A13">
        <w:rPr>
          <w:rStyle w:val="FootnoteReference"/>
          <w:sz w:val="20"/>
          <w:vertAlign w:val="baseline"/>
        </w:rPr>
        <w:t>**</w:t>
      </w:r>
      <w:r w:rsidRPr="00352A13">
        <w:rPr>
          <w:rStyle w:val="FootnoteReference"/>
          <w:szCs w:val="18"/>
          <w:vertAlign w:val="baseline"/>
        </w:rPr>
        <w:tab/>
      </w:r>
      <w:r w:rsidRPr="00352A13">
        <w:rPr>
          <w:szCs w:val="18"/>
        </w:rPr>
        <w:t xml:space="preserve">The following members of the Committee participated in the consideration of the communication: </w:t>
      </w:r>
      <w:r w:rsidRPr="00140DFF">
        <w:rPr>
          <w:szCs w:val="18"/>
        </w:rPr>
        <w:t xml:space="preserve">Essadia Belmir, Alessio Bruni, Felice Gaer, </w:t>
      </w:r>
      <w:r w:rsidRPr="00140DFF">
        <w:rPr>
          <w:color w:val="000000"/>
          <w:szCs w:val="18"/>
          <w:lang w:eastAsia="en-GB"/>
        </w:rPr>
        <w:t xml:space="preserve">Abdelwahab Hani, </w:t>
      </w:r>
      <w:r w:rsidRPr="00352A13">
        <w:rPr>
          <w:color w:val="000000"/>
          <w:szCs w:val="18"/>
          <w:lang w:eastAsia="en-GB"/>
        </w:rPr>
        <w:t xml:space="preserve">Claude Heller Rouassant, </w:t>
      </w:r>
      <w:r w:rsidRPr="00352A13">
        <w:rPr>
          <w:bCs/>
          <w:szCs w:val="18"/>
        </w:rPr>
        <w:t>Jens</w:t>
      </w:r>
      <w:r w:rsidR="0018196A">
        <w:rPr>
          <w:bCs/>
          <w:szCs w:val="18"/>
        </w:rPr>
        <w:t> </w:t>
      </w:r>
      <w:r w:rsidRPr="00140DFF">
        <w:rPr>
          <w:bCs/>
          <w:szCs w:val="18"/>
        </w:rPr>
        <w:t>Modvig</w:t>
      </w:r>
      <w:r w:rsidRPr="00352A13">
        <w:rPr>
          <w:bCs/>
          <w:szCs w:val="18"/>
        </w:rPr>
        <w:t>,</w:t>
      </w:r>
      <w:r w:rsidRPr="00352A13">
        <w:rPr>
          <w:color w:val="000000"/>
          <w:szCs w:val="18"/>
          <w:lang w:eastAsia="en-GB"/>
        </w:rPr>
        <w:t xml:space="preserve"> Ana Racu and Sébastien Touzé</w:t>
      </w:r>
      <w:r w:rsidRPr="00352A13">
        <w:rPr>
          <w:szCs w:val="18"/>
        </w:rPr>
        <w:t>.</w:t>
      </w:r>
    </w:p>
  </w:footnote>
  <w:footnote w:id="4">
    <w:p w:rsidR="00C81DC5" w:rsidRPr="00352A13" w:rsidRDefault="00C81DC5" w:rsidP="00140DFF">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t>No specific date is provided for the event.</w:t>
      </w:r>
    </w:p>
  </w:footnote>
  <w:footnote w:id="5">
    <w:p w:rsidR="00C81DC5" w:rsidRPr="00352A13" w:rsidRDefault="00C81DC5" w:rsidP="00352A13">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t>No specific dates are provided.</w:t>
      </w:r>
    </w:p>
  </w:footnote>
  <w:footnote w:id="6">
    <w:p w:rsidR="00C81DC5" w:rsidRPr="00352A13" w:rsidRDefault="00C81DC5" w:rsidP="00352A13">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t>No details or dates are provided.</w:t>
      </w:r>
    </w:p>
  </w:footnote>
  <w:footnote w:id="7">
    <w:p w:rsidR="00C81DC5" w:rsidRPr="00352A13" w:rsidRDefault="00C81DC5" w:rsidP="00352A13">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t>The complainant does not provide additional details regarding the alleged beatings.</w:t>
      </w:r>
    </w:p>
  </w:footnote>
  <w:footnote w:id="8">
    <w:p w:rsidR="00C81DC5" w:rsidRPr="00352A13" w:rsidRDefault="00C81DC5" w:rsidP="00352A13">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t>No dates are specified.</w:t>
      </w:r>
    </w:p>
  </w:footnote>
  <w:footnote w:id="9">
    <w:p w:rsidR="00C81DC5" w:rsidRPr="00352A13" w:rsidRDefault="00C81DC5" w:rsidP="00352A13">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t xml:space="preserve">The State party refers, </w:t>
      </w:r>
      <w:r w:rsidRPr="00352A13">
        <w:rPr>
          <w:iCs/>
          <w:szCs w:val="18"/>
        </w:rPr>
        <w:t>inter alia</w:t>
      </w:r>
      <w:r w:rsidRPr="00352A13">
        <w:rPr>
          <w:szCs w:val="18"/>
        </w:rPr>
        <w:t xml:space="preserve">, to communication No. 178/2001, </w:t>
      </w:r>
      <w:r w:rsidRPr="00352A13">
        <w:rPr>
          <w:i/>
          <w:szCs w:val="18"/>
        </w:rPr>
        <w:t>H.O. v. Sweden</w:t>
      </w:r>
      <w:r w:rsidRPr="00352A13">
        <w:rPr>
          <w:szCs w:val="18"/>
        </w:rPr>
        <w:t xml:space="preserve">. </w:t>
      </w:r>
    </w:p>
  </w:footnote>
  <w:footnote w:id="10">
    <w:p w:rsidR="00C81DC5" w:rsidRPr="00352A13" w:rsidRDefault="00C81DC5" w:rsidP="00352A13">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t>Reference</w:t>
      </w:r>
      <w:r w:rsidR="00094A40" w:rsidRPr="00352A13">
        <w:rPr>
          <w:szCs w:val="18"/>
        </w:rPr>
        <w:t xml:space="preserve"> is</w:t>
      </w:r>
      <w:r w:rsidRPr="00352A13">
        <w:rPr>
          <w:szCs w:val="18"/>
        </w:rPr>
        <w:t xml:space="preserve"> made to the following</w:t>
      </w:r>
      <w:r w:rsidR="00094A40" w:rsidRPr="00352A13">
        <w:rPr>
          <w:szCs w:val="18"/>
        </w:rPr>
        <w:t>, among others</w:t>
      </w:r>
      <w:r w:rsidRPr="00352A13">
        <w:rPr>
          <w:szCs w:val="18"/>
        </w:rPr>
        <w:t xml:space="preserve">: United States of America, Department of State, “Russia 2013 human rights report”; Amnesty International, </w:t>
      </w:r>
      <w:r w:rsidR="00FF5CA3" w:rsidRPr="00352A13">
        <w:rPr>
          <w:szCs w:val="18"/>
        </w:rPr>
        <w:t>“</w:t>
      </w:r>
      <w:r w:rsidRPr="00352A13">
        <w:rPr>
          <w:szCs w:val="18"/>
        </w:rPr>
        <w:t xml:space="preserve">Annual </w:t>
      </w:r>
      <w:r w:rsidR="00FF5CA3" w:rsidRPr="00352A13">
        <w:rPr>
          <w:szCs w:val="18"/>
        </w:rPr>
        <w:t>r</w:t>
      </w:r>
      <w:r w:rsidRPr="00352A13">
        <w:rPr>
          <w:szCs w:val="18"/>
        </w:rPr>
        <w:t>eport: Russian Federation 2013</w:t>
      </w:r>
      <w:r w:rsidR="00FF5CA3" w:rsidRPr="00352A13">
        <w:rPr>
          <w:szCs w:val="18"/>
        </w:rPr>
        <w:t>”</w:t>
      </w:r>
      <w:r w:rsidRPr="00352A13">
        <w:rPr>
          <w:szCs w:val="18"/>
        </w:rPr>
        <w:t xml:space="preserve">; Human Rights Watch, </w:t>
      </w:r>
      <w:r w:rsidR="00FF5CA3" w:rsidRPr="00352A13">
        <w:rPr>
          <w:szCs w:val="18"/>
        </w:rPr>
        <w:t>“</w:t>
      </w:r>
      <w:r w:rsidRPr="00352A13">
        <w:rPr>
          <w:szCs w:val="18"/>
        </w:rPr>
        <w:t xml:space="preserve">World </w:t>
      </w:r>
      <w:r w:rsidR="00FF5CA3" w:rsidRPr="00352A13">
        <w:rPr>
          <w:szCs w:val="18"/>
        </w:rPr>
        <w:t>r</w:t>
      </w:r>
      <w:r w:rsidRPr="00352A13">
        <w:rPr>
          <w:szCs w:val="18"/>
        </w:rPr>
        <w:t>eport 2014: Russia</w:t>
      </w:r>
      <w:r w:rsidR="00FF5CA3" w:rsidRPr="00352A13">
        <w:rPr>
          <w:szCs w:val="18"/>
        </w:rPr>
        <w:t>”</w:t>
      </w:r>
      <w:r w:rsidRPr="00352A13">
        <w:rPr>
          <w:szCs w:val="18"/>
        </w:rPr>
        <w:t xml:space="preserve">; </w:t>
      </w:r>
      <w:r w:rsidR="00094A40" w:rsidRPr="00352A13">
        <w:rPr>
          <w:szCs w:val="18"/>
        </w:rPr>
        <w:t xml:space="preserve">and </w:t>
      </w:r>
      <w:r w:rsidR="004B5F65" w:rsidRPr="00352A13">
        <w:rPr>
          <w:szCs w:val="18"/>
        </w:rPr>
        <w:t>a 2011 country profile on the Russian Federation of the</w:t>
      </w:r>
      <w:r w:rsidRPr="00352A13">
        <w:rPr>
          <w:szCs w:val="18"/>
        </w:rPr>
        <w:t xml:space="preserve"> Swedish Migration Board</w:t>
      </w:r>
      <w:r w:rsidR="004B5F65" w:rsidRPr="00352A13">
        <w:rPr>
          <w:szCs w:val="18"/>
        </w:rPr>
        <w:t>.</w:t>
      </w:r>
    </w:p>
  </w:footnote>
  <w:footnote w:id="11">
    <w:p w:rsidR="00C81DC5" w:rsidRPr="00352A13" w:rsidRDefault="00C81DC5" w:rsidP="00352A13">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r>
      <w:r w:rsidR="00472791" w:rsidRPr="00352A13">
        <w:rPr>
          <w:szCs w:val="18"/>
        </w:rPr>
        <w:t xml:space="preserve">See </w:t>
      </w:r>
      <w:r w:rsidRPr="00352A13">
        <w:rPr>
          <w:szCs w:val="18"/>
        </w:rPr>
        <w:t xml:space="preserve">communication No. 277/2005, </w:t>
      </w:r>
      <w:r w:rsidRPr="00352A13">
        <w:rPr>
          <w:i/>
          <w:iCs/>
          <w:szCs w:val="18"/>
        </w:rPr>
        <w:t>N.Z.S. v. Sweden</w:t>
      </w:r>
      <w:r w:rsidRPr="00352A13">
        <w:rPr>
          <w:szCs w:val="18"/>
        </w:rPr>
        <w:t>, decision adopted on 22 November 2006, para.</w:t>
      </w:r>
      <w:r w:rsidR="00046D6C">
        <w:rPr>
          <w:szCs w:val="18"/>
        </w:rPr>
        <w:t> </w:t>
      </w:r>
      <w:r w:rsidRPr="00352A13">
        <w:rPr>
          <w:szCs w:val="18"/>
        </w:rPr>
        <w:t xml:space="preserve">8.6. </w:t>
      </w:r>
    </w:p>
  </w:footnote>
  <w:footnote w:id="12">
    <w:p w:rsidR="00C81DC5" w:rsidRPr="00352A13" w:rsidRDefault="00C81DC5" w:rsidP="00352A13">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t>In his submission to the Committee, the complainant again states that his cousins were forced to join the rebels.</w:t>
      </w:r>
    </w:p>
  </w:footnote>
  <w:footnote w:id="13">
    <w:p w:rsidR="00C81DC5" w:rsidRPr="00352A13" w:rsidRDefault="00C81DC5" w:rsidP="00352A13">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t>Available only in Swedish.</w:t>
      </w:r>
    </w:p>
  </w:footnote>
  <w:footnote w:id="14">
    <w:p w:rsidR="00C81DC5" w:rsidRPr="00352A13" w:rsidRDefault="00C81DC5" w:rsidP="00352A13">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t xml:space="preserve">See communication No. 428/2010, </w:t>
      </w:r>
      <w:r w:rsidRPr="00352A13">
        <w:rPr>
          <w:i/>
          <w:szCs w:val="18"/>
        </w:rPr>
        <w:t>Kalinichenko v. Morocco</w:t>
      </w:r>
      <w:r w:rsidRPr="00352A13">
        <w:rPr>
          <w:szCs w:val="18"/>
        </w:rPr>
        <w:t xml:space="preserve">, decision adopted on 25 November 2011, para. 15.3. </w:t>
      </w:r>
    </w:p>
  </w:footnote>
  <w:footnote w:id="15">
    <w:p w:rsidR="00C81DC5" w:rsidRPr="00352A13" w:rsidRDefault="00C81DC5" w:rsidP="00352A13">
      <w:pPr>
        <w:pStyle w:val="FootnoteText"/>
        <w:widowControl w:val="0"/>
        <w:tabs>
          <w:tab w:val="clear" w:pos="1021"/>
          <w:tab w:val="right" w:pos="1020"/>
        </w:tabs>
        <w:rPr>
          <w:szCs w:val="18"/>
        </w:rPr>
      </w:pPr>
      <w:r w:rsidRPr="00352A13">
        <w:rPr>
          <w:szCs w:val="18"/>
        </w:rPr>
        <w:tab/>
      </w:r>
      <w:r w:rsidRPr="00352A13">
        <w:rPr>
          <w:rStyle w:val="FootnoteReference"/>
          <w:szCs w:val="18"/>
        </w:rPr>
        <w:footnoteRef/>
      </w:r>
      <w:r w:rsidRPr="00352A13">
        <w:rPr>
          <w:szCs w:val="18"/>
        </w:rPr>
        <w:tab/>
        <w:t xml:space="preserve">See, inter alia, communications No. 203/2002, </w:t>
      </w:r>
      <w:r w:rsidRPr="00352A13">
        <w:rPr>
          <w:i/>
          <w:iCs/>
          <w:szCs w:val="18"/>
        </w:rPr>
        <w:t>A.R.</w:t>
      </w:r>
      <w:r w:rsidRPr="00352A13">
        <w:rPr>
          <w:szCs w:val="18"/>
        </w:rPr>
        <w:t xml:space="preserve"> </w:t>
      </w:r>
      <w:r w:rsidRPr="00352A13">
        <w:rPr>
          <w:i/>
          <w:iCs/>
          <w:szCs w:val="18"/>
        </w:rPr>
        <w:t>v.</w:t>
      </w:r>
      <w:r w:rsidRPr="00352A13">
        <w:rPr>
          <w:szCs w:val="18"/>
        </w:rPr>
        <w:t xml:space="preserve"> </w:t>
      </w:r>
      <w:r w:rsidRPr="00352A13">
        <w:rPr>
          <w:i/>
          <w:iCs/>
          <w:szCs w:val="18"/>
        </w:rPr>
        <w:t>Netherlands</w:t>
      </w:r>
      <w:r w:rsidRPr="00352A13">
        <w:rPr>
          <w:szCs w:val="18"/>
        </w:rPr>
        <w:t xml:space="preserve">, decision adopted on 14 November 2003; and </w:t>
      </w:r>
      <w:r w:rsidRPr="00352A13">
        <w:rPr>
          <w:rStyle w:val="FootnoteReference"/>
          <w:szCs w:val="18"/>
          <w:vertAlign w:val="baseline"/>
        </w:rPr>
        <w:t xml:space="preserve">No. 258/2004, </w:t>
      </w:r>
      <w:r w:rsidRPr="00352A13">
        <w:rPr>
          <w:rStyle w:val="FootnoteReference"/>
          <w:i/>
          <w:szCs w:val="18"/>
          <w:vertAlign w:val="baseline"/>
        </w:rPr>
        <w:t>Dadar</w:t>
      </w:r>
      <w:r w:rsidRPr="00352A13">
        <w:rPr>
          <w:rStyle w:val="FootnoteReference"/>
          <w:szCs w:val="18"/>
          <w:vertAlign w:val="baseline"/>
        </w:rPr>
        <w:t xml:space="preserve"> </w:t>
      </w:r>
      <w:r w:rsidRPr="00352A13">
        <w:rPr>
          <w:rStyle w:val="FootnoteReference"/>
          <w:i/>
          <w:iCs/>
          <w:szCs w:val="18"/>
          <w:vertAlign w:val="baseline"/>
        </w:rPr>
        <w:t>v.</w:t>
      </w:r>
      <w:r w:rsidRPr="00352A13">
        <w:rPr>
          <w:rStyle w:val="FootnoteReference"/>
          <w:i/>
          <w:szCs w:val="18"/>
          <w:vertAlign w:val="baseline"/>
        </w:rPr>
        <w:t xml:space="preserve"> Canada</w:t>
      </w:r>
      <w:r w:rsidRPr="00352A13">
        <w:rPr>
          <w:rStyle w:val="FootnoteReference"/>
          <w:szCs w:val="18"/>
          <w:vertAlign w:val="baseline"/>
        </w:rPr>
        <w:t>, decision adopted on 23 November 2005</w:t>
      </w:r>
      <w:r w:rsidRPr="00352A13">
        <w:rPr>
          <w:szCs w:val="18"/>
        </w:rPr>
        <w:t xml:space="preserve">. </w:t>
      </w:r>
    </w:p>
  </w:footnote>
  <w:footnote w:id="16">
    <w:p w:rsidR="00C81DC5" w:rsidRPr="00352A13" w:rsidRDefault="00C81DC5" w:rsidP="00352A13">
      <w:pPr>
        <w:pStyle w:val="FootnoteText"/>
        <w:widowControl w:val="0"/>
        <w:tabs>
          <w:tab w:val="clear" w:pos="1021"/>
          <w:tab w:val="right" w:pos="1020"/>
        </w:tabs>
        <w:rPr>
          <w:szCs w:val="18"/>
          <w:lang w:val="fr-CH"/>
        </w:rPr>
      </w:pPr>
      <w:r w:rsidRPr="00352A13">
        <w:rPr>
          <w:szCs w:val="18"/>
        </w:rPr>
        <w:tab/>
      </w:r>
      <w:r w:rsidRPr="00352A13">
        <w:rPr>
          <w:rStyle w:val="FootnoteReference"/>
          <w:szCs w:val="18"/>
        </w:rPr>
        <w:footnoteRef/>
      </w:r>
      <w:r w:rsidRPr="00352A13">
        <w:rPr>
          <w:szCs w:val="18"/>
        </w:rPr>
        <w:tab/>
        <w:t xml:space="preserve">See, inter alia, communications No. 298/2006, </w:t>
      </w:r>
      <w:r w:rsidRPr="00352A13">
        <w:rPr>
          <w:i/>
          <w:szCs w:val="18"/>
        </w:rPr>
        <w:t>C.A.R.M. and others v. Canada</w:t>
      </w:r>
      <w:r w:rsidRPr="00352A13">
        <w:rPr>
          <w:szCs w:val="18"/>
        </w:rPr>
        <w:t xml:space="preserve">, decision adopted on 18 May 2007, para. 8.10; No. 256/2004, </w:t>
      </w:r>
      <w:r w:rsidRPr="00352A13">
        <w:rPr>
          <w:i/>
          <w:szCs w:val="18"/>
        </w:rPr>
        <w:t>M.Z. v. Sweden</w:t>
      </w:r>
      <w:r w:rsidRPr="00352A13">
        <w:rPr>
          <w:szCs w:val="18"/>
        </w:rPr>
        <w:t xml:space="preserve">, decision adopted on 12 May 2006, para. 9.3; No. 214/2002, </w:t>
      </w:r>
      <w:r w:rsidRPr="00352A13">
        <w:rPr>
          <w:i/>
          <w:szCs w:val="18"/>
        </w:rPr>
        <w:t>M.A.K. v. Germany</w:t>
      </w:r>
      <w:r w:rsidRPr="00352A13">
        <w:rPr>
          <w:szCs w:val="18"/>
        </w:rPr>
        <w:t xml:space="preserve">, decision adopted on 12 May 2004, para. 13.5; No. 150/1999, </w:t>
      </w:r>
      <w:r w:rsidRPr="00352A13">
        <w:rPr>
          <w:i/>
          <w:szCs w:val="18"/>
        </w:rPr>
        <w:t>S.L. v. Sweden</w:t>
      </w:r>
      <w:r w:rsidRPr="00352A13">
        <w:rPr>
          <w:szCs w:val="18"/>
        </w:rPr>
        <w:t xml:space="preserve">, para. 6.3; and No. 347/2008, </w:t>
      </w:r>
      <w:r w:rsidRPr="00352A13">
        <w:rPr>
          <w:i/>
          <w:szCs w:val="18"/>
        </w:rPr>
        <w:t>N.B.-M. v. Switzerland</w:t>
      </w:r>
      <w:r w:rsidRPr="00352A13">
        <w:rPr>
          <w:szCs w:val="18"/>
        </w:rPr>
        <w:t>, decision adopted on 14 November 2011, para. 9.9.</w:t>
      </w:r>
    </w:p>
  </w:footnote>
  <w:footnote w:id="17">
    <w:p w:rsidR="00C81DC5" w:rsidRPr="00352A13" w:rsidRDefault="00046D6C" w:rsidP="00352A13">
      <w:pPr>
        <w:pStyle w:val="FootnoteText"/>
        <w:widowControl w:val="0"/>
        <w:rPr>
          <w:szCs w:val="18"/>
        </w:rPr>
      </w:pPr>
      <w:r>
        <w:rPr>
          <w:szCs w:val="18"/>
        </w:rPr>
        <w:tab/>
      </w:r>
      <w:r w:rsidR="00C81DC5" w:rsidRPr="00352A13">
        <w:rPr>
          <w:rStyle w:val="FootnoteReference"/>
          <w:szCs w:val="18"/>
        </w:rPr>
        <w:footnoteRef/>
      </w:r>
      <w:r>
        <w:rPr>
          <w:szCs w:val="18"/>
        </w:rPr>
        <w:tab/>
      </w:r>
      <w:r w:rsidR="00C81DC5" w:rsidRPr="00352A13">
        <w:rPr>
          <w:szCs w:val="18"/>
        </w:rPr>
        <w:t>See, in particular, para</w:t>
      </w:r>
      <w:r w:rsidR="002126F1" w:rsidRPr="00352A13">
        <w:rPr>
          <w:szCs w:val="18"/>
        </w:rPr>
        <w:t>s.</w:t>
      </w:r>
      <w:r w:rsidR="00C81DC5" w:rsidRPr="00352A13">
        <w:rPr>
          <w:szCs w:val="18"/>
        </w:rPr>
        <w:t xml:space="preserve"> 4.12</w:t>
      </w:r>
      <w:r w:rsidR="002126F1" w:rsidRPr="00352A13">
        <w:rPr>
          <w:szCs w:val="18"/>
        </w:rPr>
        <w:t>-</w:t>
      </w:r>
      <w:r w:rsidR="00C81DC5" w:rsidRPr="00352A13">
        <w:rPr>
          <w:szCs w:val="18"/>
        </w:rPr>
        <w:t>4.14</w:t>
      </w:r>
      <w:r w:rsidR="002126F1" w:rsidRPr="00352A13">
        <w:rPr>
          <w:szCs w:val="18"/>
        </w:rPr>
        <w:t xml:space="preserve"> above</w:t>
      </w:r>
      <w:r w:rsidR="00C81DC5" w:rsidRPr="00352A13">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C5" w:rsidRPr="00785A61" w:rsidRDefault="00C81DC5" w:rsidP="0018196A">
    <w:pPr>
      <w:pStyle w:val="Header"/>
    </w:pPr>
    <w:r>
      <w:t>CAT/C/58/D/616/2014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C5" w:rsidRPr="00785A61" w:rsidRDefault="00C81DC5" w:rsidP="001814FB">
    <w:pPr>
      <w:pStyle w:val="Header"/>
      <w:jc w:val="right"/>
    </w:pPr>
    <w:r>
      <w:t>CAT/C/</w:t>
    </w:r>
    <w:r w:rsidRPr="00E202DF">
      <w:t>5</w:t>
    </w:r>
    <w:r>
      <w:t>8</w:t>
    </w:r>
    <w:r w:rsidRPr="00E202DF">
      <w:t>/D/616/2014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A20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94656"/>
    <w:multiLevelType w:val="hybridMultilevel"/>
    <w:tmpl w:val="1A7434C8"/>
    <w:lvl w:ilvl="0" w:tplc="E304B26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A022CEC"/>
    <w:multiLevelType w:val="hybridMultilevel"/>
    <w:tmpl w:val="84DA21FE"/>
    <w:lvl w:ilvl="0" w:tplc="58BA48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5F47709D"/>
    <w:multiLevelType w:val="hybridMultilevel"/>
    <w:tmpl w:val="0C3485CC"/>
    <w:lvl w:ilvl="0" w:tplc="2852405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38"/>
    <w:rsid w:val="000006A4"/>
    <w:rsid w:val="0000248A"/>
    <w:rsid w:val="000077B8"/>
    <w:rsid w:val="00010311"/>
    <w:rsid w:val="00012013"/>
    <w:rsid w:val="0001492C"/>
    <w:rsid w:val="00016464"/>
    <w:rsid w:val="00016673"/>
    <w:rsid w:val="000218EA"/>
    <w:rsid w:val="000218FE"/>
    <w:rsid w:val="0002205D"/>
    <w:rsid w:val="0002521B"/>
    <w:rsid w:val="00025F8E"/>
    <w:rsid w:val="00026A50"/>
    <w:rsid w:val="00030A80"/>
    <w:rsid w:val="0003225A"/>
    <w:rsid w:val="0003276C"/>
    <w:rsid w:val="0003386B"/>
    <w:rsid w:val="000360C6"/>
    <w:rsid w:val="00037536"/>
    <w:rsid w:val="00040296"/>
    <w:rsid w:val="000404CF"/>
    <w:rsid w:val="000407ED"/>
    <w:rsid w:val="000425A8"/>
    <w:rsid w:val="000431A6"/>
    <w:rsid w:val="00044076"/>
    <w:rsid w:val="000440EF"/>
    <w:rsid w:val="00045224"/>
    <w:rsid w:val="000465D1"/>
    <w:rsid w:val="00046D6C"/>
    <w:rsid w:val="00050F6B"/>
    <w:rsid w:val="00051496"/>
    <w:rsid w:val="0005248B"/>
    <w:rsid w:val="00055D93"/>
    <w:rsid w:val="00057E97"/>
    <w:rsid w:val="00061F70"/>
    <w:rsid w:val="000620B7"/>
    <w:rsid w:val="000653B2"/>
    <w:rsid w:val="00067E27"/>
    <w:rsid w:val="000707C1"/>
    <w:rsid w:val="00072C8C"/>
    <w:rsid w:val="000732DE"/>
    <w:rsid w:val="000733B5"/>
    <w:rsid w:val="00076017"/>
    <w:rsid w:val="00076C0B"/>
    <w:rsid w:val="00080555"/>
    <w:rsid w:val="00080F69"/>
    <w:rsid w:val="00081815"/>
    <w:rsid w:val="00084A20"/>
    <w:rsid w:val="000926FA"/>
    <w:rsid w:val="000931C0"/>
    <w:rsid w:val="00094A40"/>
    <w:rsid w:val="00094A47"/>
    <w:rsid w:val="00094B47"/>
    <w:rsid w:val="00095FA9"/>
    <w:rsid w:val="00096278"/>
    <w:rsid w:val="000964F6"/>
    <w:rsid w:val="0009681D"/>
    <w:rsid w:val="000B0916"/>
    <w:rsid w:val="000B175B"/>
    <w:rsid w:val="000B3672"/>
    <w:rsid w:val="000B3A0F"/>
    <w:rsid w:val="000B3C2B"/>
    <w:rsid w:val="000B4AA7"/>
    <w:rsid w:val="000B4EF7"/>
    <w:rsid w:val="000C28B7"/>
    <w:rsid w:val="000C2C03"/>
    <w:rsid w:val="000C2C07"/>
    <w:rsid w:val="000C2D2E"/>
    <w:rsid w:val="000C37A8"/>
    <w:rsid w:val="000C4331"/>
    <w:rsid w:val="000C705B"/>
    <w:rsid w:val="000D020F"/>
    <w:rsid w:val="000D1025"/>
    <w:rsid w:val="000D342F"/>
    <w:rsid w:val="000D6A51"/>
    <w:rsid w:val="000D6CFD"/>
    <w:rsid w:val="000E01F5"/>
    <w:rsid w:val="000E0415"/>
    <w:rsid w:val="000E210C"/>
    <w:rsid w:val="000E5354"/>
    <w:rsid w:val="000E7C3D"/>
    <w:rsid w:val="000E7CA0"/>
    <w:rsid w:val="000F2318"/>
    <w:rsid w:val="000F41E7"/>
    <w:rsid w:val="000F4619"/>
    <w:rsid w:val="000F5257"/>
    <w:rsid w:val="000F6D48"/>
    <w:rsid w:val="0010113D"/>
    <w:rsid w:val="001051BF"/>
    <w:rsid w:val="00107255"/>
    <w:rsid w:val="001103AA"/>
    <w:rsid w:val="001119BE"/>
    <w:rsid w:val="00114FA0"/>
    <w:rsid w:val="00115DA8"/>
    <w:rsid w:val="00115E3A"/>
    <w:rsid w:val="001162D4"/>
    <w:rsid w:val="00117576"/>
    <w:rsid w:val="001203E5"/>
    <w:rsid w:val="00120B2E"/>
    <w:rsid w:val="00122EBE"/>
    <w:rsid w:val="00124A72"/>
    <w:rsid w:val="001255FA"/>
    <w:rsid w:val="00125AB0"/>
    <w:rsid w:val="00126520"/>
    <w:rsid w:val="001275E2"/>
    <w:rsid w:val="00127DE9"/>
    <w:rsid w:val="00131211"/>
    <w:rsid w:val="00131E66"/>
    <w:rsid w:val="00132792"/>
    <w:rsid w:val="00133158"/>
    <w:rsid w:val="001360DB"/>
    <w:rsid w:val="00140DFF"/>
    <w:rsid w:val="00141919"/>
    <w:rsid w:val="00143907"/>
    <w:rsid w:val="001450BD"/>
    <w:rsid w:val="00147B55"/>
    <w:rsid w:val="001516F0"/>
    <w:rsid w:val="00153179"/>
    <w:rsid w:val="00153E70"/>
    <w:rsid w:val="001541A1"/>
    <w:rsid w:val="00161D69"/>
    <w:rsid w:val="00164501"/>
    <w:rsid w:val="00165F3A"/>
    <w:rsid w:val="00170096"/>
    <w:rsid w:val="00173B00"/>
    <w:rsid w:val="001774E9"/>
    <w:rsid w:val="00177F76"/>
    <w:rsid w:val="001814FB"/>
    <w:rsid w:val="001818E0"/>
    <w:rsid w:val="0018196A"/>
    <w:rsid w:val="00181B4D"/>
    <w:rsid w:val="00182B7C"/>
    <w:rsid w:val="00183227"/>
    <w:rsid w:val="00185FC6"/>
    <w:rsid w:val="00191C9C"/>
    <w:rsid w:val="0019432A"/>
    <w:rsid w:val="0019442B"/>
    <w:rsid w:val="001978A6"/>
    <w:rsid w:val="0019793D"/>
    <w:rsid w:val="00197B02"/>
    <w:rsid w:val="001A03E6"/>
    <w:rsid w:val="001A20C4"/>
    <w:rsid w:val="001A3AB7"/>
    <w:rsid w:val="001A3D74"/>
    <w:rsid w:val="001A7E38"/>
    <w:rsid w:val="001A7F19"/>
    <w:rsid w:val="001A7FDB"/>
    <w:rsid w:val="001B14E9"/>
    <w:rsid w:val="001B1858"/>
    <w:rsid w:val="001B1AE4"/>
    <w:rsid w:val="001B1BD3"/>
    <w:rsid w:val="001B1FE3"/>
    <w:rsid w:val="001B28F6"/>
    <w:rsid w:val="001B3C5D"/>
    <w:rsid w:val="001B4B04"/>
    <w:rsid w:val="001B51BE"/>
    <w:rsid w:val="001B63F8"/>
    <w:rsid w:val="001C1CD1"/>
    <w:rsid w:val="001C1D4E"/>
    <w:rsid w:val="001C3527"/>
    <w:rsid w:val="001C4B27"/>
    <w:rsid w:val="001C5F3F"/>
    <w:rsid w:val="001C6663"/>
    <w:rsid w:val="001C7895"/>
    <w:rsid w:val="001D0C8C"/>
    <w:rsid w:val="001D26DF"/>
    <w:rsid w:val="001D31C5"/>
    <w:rsid w:val="001D3A03"/>
    <w:rsid w:val="001D602B"/>
    <w:rsid w:val="001E1188"/>
    <w:rsid w:val="001E2856"/>
    <w:rsid w:val="001E2B6D"/>
    <w:rsid w:val="001E350B"/>
    <w:rsid w:val="001E414E"/>
    <w:rsid w:val="001F0F0B"/>
    <w:rsid w:val="001F0F61"/>
    <w:rsid w:val="001F17D1"/>
    <w:rsid w:val="001F19C1"/>
    <w:rsid w:val="001F3BCA"/>
    <w:rsid w:val="001F4BD8"/>
    <w:rsid w:val="001F6885"/>
    <w:rsid w:val="001F723C"/>
    <w:rsid w:val="00201120"/>
    <w:rsid w:val="00202DA8"/>
    <w:rsid w:val="00202F3D"/>
    <w:rsid w:val="0020302F"/>
    <w:rsid w:val="00205AD1"/>
    <w:rsid w:val="002117B3"/>
    <w:rsid w:val="00211E0B"/>
    <w:rsid w:val="002126F1"/>
    <w:rsid w:val="00213695"/>
    <w:rsid w:val="00213EB5"/>
    <w:rsid w:val="00214161"/>
    <w:rsid w:val="002149B4"/>
    <w:rsid w:val="002178F2"/>
    <w:rsid w:val="00220622"/>
    <w:rsid w:val="00222B37"/>
    <w:rsid w:val="002238A1"/>
    <w:rsid w:val="0022571C"/>
    <w:rsid w:val="00226752"/>
    <w:rsid w:val="00227C62"/>
    <w:rsid w:val="00231149"/>
    <w:rsid w:val="00231394"/>
    <w:rsid w:val="00233349"/>
    <w:rsid w:val="00233774"/>
    <w:rsid w:val="00233D4D"/>
    <w:rsid w:val="00234705"/>
    <w:rsid w:val="00237410"/>
    <w:rsid w:val="00240CD4"/>
    <w:rsid w:val="00241811"/>
    <w:rsid w:val="00244166"/>
    <w:rsid w:val="00247D22"/>
    <w:rsid w:val="00247E03"/>
    <w:rsid w:val="00250A88"/>
    <w:rsid w:val="00251186"/>
    <w:rsid w:val="00251D69"/>
    <w:rsid w:val="002554DD"/>
    <w:rsid w:val="002564D6"/>
    <w:rsid w:val="00256C5E"/>
    <w:rsid w:val="00257ECF"/>
    <w:rsid w:val="0026218D"/>
    <w:rsid w:val="00263103"/>
    <w:rsid w:val="00264EB1"/>
    <w:rsid w:val="00265340"/>
    <w:rsid w:val="00267CF0"/>
    <w:rsid w:val="00267F5F"/>
    <w:rsid w:val="00275BB9"/>
    <w:rsid w:val="002762A4"/>
    <w:rsid w:val="002771DB"/>
    <w:rsid w:val="0027730D"/>
    <w:rsid w:val="002809C5"/>
    <w:rsid w:val="002834B6"/>
    <w:rsid w:val="00283EDD"/>
    <w:rsid w:val="00285580"/>
    <w:rsid w:val="0028582C"/>
    <w:rsid w:val="0028626B"/>
    <w:rsid w:val="00286B4D"/>
    <w:rsid w:val="00286C54"/>
    <w:rsid w:val="0028771D"/>
    <w:rsid w:val="00291663"/>
    <w:rsid w:val="002955D6"/>
    <w:rsid w:val="00297799"/>
    <w:rsid w:val="002978A7"/>
    <w:rsid w:val="002A004D"/>
    <w:rsid w:val="002A3280"/>
    <w:rsid w:val="002A45E1"/>
    <w:rsid w:val="002A49B6"/>
    <w:rsid w:val="002A54E3"/>
    <w:rsid w:val="002A683C"/>
    <w:rsid w:val="002B3C39"/>
    <w:rsid w:val="002B466B"/>
    <w:rsid w:val="002B6B95"/>
    <w:rsid w:val="002B71F7"/>
    <w:rsid w:val="002C2857"/>
    <w:rsid w:val="002C3239"/>
    <w:rsid w:val="002D05C2"/>
    <w:rsid w:val="002D0A13"/>
    <w:rsid w:val="002D0C17"/>
    <w:rsid w:val="002D3031"/>
    <w:rsid w:val="002D45D8"/>
    <w:rsid w:val="002D511C"/>
    <w:rsid w:val="002D5515"/>
    <w:rsid w:val="002D7846"/>
    <w:rsid w:val="002E38E2"/>
    <w:rsid w:val="002F0D9F"/>
    <w:rsid w:val="002F1546"/>
    <w:rsid w:val="002F175C"/>
    <w:rsid w:val="002F1A00"/>
    <w:rsid w:val="002F3EAB"/>
    <w:rsid w:val="002F4A6E"/>
    <w:rsid w:val="002F55B4"/>
    <w:rsid w:val="002F6F0F"/>
    <w:rsid w:val="002F7D8F"/>
    <w:rsid w:val="00303FC2"/>
    <w:rsid w:val="003046C1"/>
    <w:rsid w:val="00305210"/>
    <w:rsid w:val="00307A89"/>
    <w:rsid w:val="0031435D"/>
    <w:rsid w:val="00314AEE"/>
    <w:rsid w:val="00314F7A"/>
    <w:rsid w:val="003165BD"/>
    <w:rsid w:val="00317152"/>
    <w:rsid w:val="003202D5"/>
    <w:rsid w:val="00320E27"/>
    <w:rsid w:val="003229D8"/>
    <w:rsid w:val="00323B6C"/>
    <w:rsid w:val="0032453D"/>
    <w:rsid w:val="00326593"/>
    <w:rsid w:val="003279E5"/>
    <w:rsid w:val="00331B71"/>
    <w:rsid w:val="00331BDA"/>
    <w:rsid w:val="003331F6"/>
    <w:rsid w:val="00334863"/>
    <w:rsid w:val="003351BF"/>
    <w:rsid w:val="003370D9"/>
    <w:rsid w:val="0033745E"/>
    <w:rsid w:val="00337473"/>
    <w:rsid w:val="00337E17"/>
    <w:rsid w:val="00340548"/>
    <w:rsid w:val="00341118"/>
    <w:rsid w:val="0034254A"/>
    <w:rsid w:val="0034364D"/>
    <w:rsid w:val="0034428F"/>
    <w:rsid w:val="00346358"/>
    <w:rsid w:val="00347C0E"/>
    <w:rsid w:val="003521DC"/>
    <w:rsid w:val="00352709"/>
    <w:rsid w:val="00352A13"/>
    <w:rsid w:val="00353D26"/>
    <w:rsid w:val="00354302"/>
    <w:rsid w:val="00357D7C"/>
    <w:rsid w:val="0036586F"/>
    <w:rsid w:val="003659C5"/>
    <w:rsid w:val="003710E7"/>
    <w:rsid w:val="00371178"/>
    <w:rsid w:val="0037556C"/>
    <w:rsid w:val="00375E9B"/>
    <w:rsid w:val="00376654"/>
    <w:rsid w:val="00381A41"/>
    <w:rsid w:val="00383364"/>
    <w:rsid w:val="003850DF"/>
    <w:rsid w:val="00390DD6"/>
    <w:rsid w:val="00390E97"/>
    <w:rsid w:val="00395F31"/>
    <w:rsid w:val="00396BAC"/>
    <w:rsid w:val="003A0945"/>
    <w:rsid w:val="003A1E6E"/>
    <w:rsid w:val="003A408F"/>
    <w:rsid w:val="003A48CB"/>
    <w:rsid w:val="003A552B"/>
    <w:rsid w:val="003A6810"/>
    <w:rsid w:val="003A701B"/>
    <w:rsid w:val="003B022C"/>
    <w:rsid w:val="003B1D53"/>
    <w:rsid w:val="003B20D4"/>
    <w:rsid w:val="003B4314"/>
    <w:rsid w:val="003C002F"/>
    <w:rsid w:val="003C1586"/>
    <w:rsid w:val="003C2CC4"/>
    <w:rsid w:val="003C3975"/>
    <w:rsid w:val="003C3F5A"/>
    <w:rsid w:val="003C6111"/>
    <w:rsid w:val="003D1F3E"/>
    <w:rsid w:val="003D2FFD"/>
    <w:rsid w:val="003D4253"/>
    <w:rsid w:val="003D4B23"/>
    <w:rsid w:val="003D4DE7"/>
    <w:rsid w:val="003D79A9"/>
    <w:rsid w:val="003E2F9B"/>
    <w:rsid w:val="003E4BE2"/>
    <w:rsid w:val="003F18E2"/>
    <w:rsid w:val="003F3814"/>
    <w:rsid w:val="003F4553"/>
    <w:rsid w:val="003F4589"/>
    <w:rsid w:val="003F7618"/>
    <w:rsid w:val="003F7DFF"/>
    <w:rsid w:val="00401949"/>
    <w:rsid w:val="00406B87"/>
    <w:rsid w:val="0040719B"/>
    <w:rsid w:val="00407B05"/>
    <w:rsid w:val="004109C5"/>
    <w:rsid w:val="00410C89"/>
    <w:rsid w:val="00413CEC"/>
    <w:rsid w:val="00414771"/>
    <w:rsid w:val="00416EAF"/>
    <w:rsid w:val="004221D4"/>
    <w:rsid w:val="0042438D"/>
    <w:rsid w:val="00426B9B"/>
    <w:rsid w:val="004309A3"/>
    <w:rsid w:val="00431C6E"/>
    <w:rsid w:val="00431E72"/>
    <w:rsid w:val="0043207E"/>
    <w:rsid w:val="004325CB"/>
    <w:rsid w:val="0043276D"/>
    <w:rsid w:val="00432822"/>
    <w:rsid w:val="00436114"/>
    <w:rsid w:val="00437047"/>
    <w:rsid w:val="00442A83"/>
    <w:rsid w:val="004437F2"/>
    <w:rsid w:val="00444E73"/>
    <w:rsid w:val="00444FDE"/>
    <w:rsid w:val="0045018F"/>
    <w:rsid w:val="00451C9B"/>
    <w:rsid w:val="00452CAF"/>
    <w:rsid w:val="0045495B"/>
    <w:rsid w:val="004559F9"/>
    <w:rsid w:val="00456837"/>
    <w:rsid w:val="004605BC"/>
    <w:rsid w:val="00461F0D"/>
    <w:rsid w:val="0046348A"/>
    <w:rsid w:val="00467A4C"/>
    <w:rsid w:val="004711D9"/>
    <w:rsid w:val="00472791"/>
    <w:rsid w:val="00472839"/>
    <w:rsid w:val="004735BD"/>
    <w:rsid w:val="0047366A"/>
    <w:rsid w:val="0047398D"/>
    <w:rsid w:val="00475072"/>
    <w:rsid w:val="0048541D"/>
    <w:rsid w:val="00485DF1"/>
    <w:rsid w:val="0048765F"/>
    <w:rsid w:val="00494E19"/>
    <w:rsid w:val="00497A6A"/>
    <w:rsid w:val="004A39F6"/>
    <w:rsid w:val="004A4699"/>
    <w:rsid w:val="004A57F0"/>
    <w:rsid w:val="004A57F8"/>
    <w:rsid w:val="004A63C3"/>
    <w:rsid w:val="004B07D8"/>
    <w:rsid w:val="004B2B84"/>
    <w:rsid w:val="004B473F"/>
    <w:rsid w:val="004B4C23"/>
    <w:rsid w:val="004B4E89"/>
    <w:rsid w:val="004B5A15"/>
    <w:rsid w:val="004B5F65"/>
    <w:rsid w:val="004B6683"/>
    <w:rsid w:val="004B7802"/>
    <w:rsid w:val="004C0DF7"/>
    <w:rsid w:val="004C1E30"/>
    <w:rsid w:val="004C6343"/>
    <w:rsid w:val="004C7ED7"/>
    <w:rsid w:val="004D0D0F"/>
    <w:rsid w:val="004D37F4"/>
    <w:rsid w:val="004D4F87"/>
    <w:rsid w:val="004E0A2D"/>
    <w:rsid w:val="004E3783"/>
    <w:rsid w:val="004E4810"/>
    <w:rsid w:val="004E5846"/>
    <w:rsid w:val="004E5D93"/>
    <w:rsid w:val="004E6B36"/>
    <w:rsid w:val="004F4E52"/>
    <w:rsid w:val="004F57D8"/>
    <w:rsid w:val="00500924"/>
    <w:rsid w:val="00503A46"/>
    <w:rsid w:val="005045AB"/>
    <w:rsid w:val="00505919"/>
    <w:rsid w:val="0051042E"/>
    <w:rsid w:val="00510ECA"/>
    <w:rsid w:val="005119FD"/>
    <w:rsid w:val="00516043"/>
    <w:rsid w:val="00516EBF"/>
    <w:rsid w:val="0052136D"/>
    <w:rsid w:val="005214F6"/>
    <w:rsid w:val="00522740"/>
    <w:rsid w:val="00522E7C"/>
    <w:rsid w:val="00523C5D"/>
    <w:rsid w:val="00526898"/>
    <w:rsid w:val="005269E4"/>
    <w:rsid w:val="0052775E"/>
    <w:rsid w:val="005307A0"/>
    <w:rsid w:val="00533F55"/>
    <w:rsid w:val="0053422B"/>
    <w:rsid w:val="005356F4"/>
    <w:rsid w:val="00536EAF"/>
    <w:rsid w:val="00540EFE"/>
    <w:rsid w:val="005420F2"/>
    <w:rsid w:val="00545389"/>
    <w:rsid w:val="00545A68"/>
    <w:rsid w:val="00545C95"/>
    <w:rsid w:val="00545EEB"/>
    <w:rsid w:val="00551027"/>
    <w:rsid w:val="005556BF"/>
    <w:rsid w:val="0056249B"/>
    <w:rsid w:val="005628B6"/>
    <w:rsid w:val="005636C7"/>
    <w:rsid w:val="00564F50"/>
    <w:rsid w:val="00565CEE"/>
    <w:rsid w:val="005668D9"/>
    <w:rsid w:val="00566B76"/>
    <w:rsid w:val="00567E09"/>
    <w:rsid w:val="00570419"/>
    <w:rsid w:val="00571184"/>
    <w:rsid w:val="005715BB"/>
    <w:rsid w:val="00574695"/>
    <w:rsid w:val="00576268"/>
    <w:rsid w:val="00586664"/>
    <w:rsid w:val="00586B44"/>
    <w:rsid w:val="005875F6"/>
    <w:rsid w:val="00590CD4"/>
    <w:rsid w:val="00591835"/>
    <w:rsid w:val="00591EEF"/>
    <w:rsid w:val="005923C0"/>
    <w:rsid w:val="0059347A"/>
    <w:rsid w:val="00594A73"/>
    <w:rsid w:val="00594B48"/>
    <w:rsid w:val="0059567B"/>
    <w:rsid w:val="00597408"/>
    <w:rsid w:val="005A06DC"/>
    <w:rsid w:val="005A1975"/>
    <w:rsid w:val="005A3A05"/>
    <w:rsid w:val="005A43C9"/>
    <w:rsid w:val="005B0138"/>
    <w:rsid w:val="005B1388"/>
    <w:rsid w:val="005B3DB3"/>
    <w:rsid w:val="005B57F4"/>
    <w:rsid w:val="005C185C"/>
    <w:rsid w:val="005C3812"/>
    <w:rsid w:val="005C45E3"/>
    <w:rsid w:val="005D0FDF"/>
    <w:rsid w:val="005D21E5"/>
    <w:rsid w:val="005D2FD3"/>
    <w:rsid w:val="005D5AC7"/>
    <w:rsid w:val="005D63C2"/>
    <w:rsid w:val="005D6D06"/>
    <w:rsid w:val="005E0F10"/>
    <w:rsid w:val="005E11C1"/>
    <w:rsid w:val="005E31EF"/>
    <w:rsid w:val="005E4862"/>
    <w:rsid w:val="005E6B99"/>
    <w:rsid w:val="005E70DE"/>
    <w:rsid w:val="005E7AC6"/>
    <w:rsid w:val="005F3D09"/>
    <w:rsid w:val="005F63F2"/>
    <w:rsid w:val="005F7B75"/>
    <w:rsid w:val="005F7BCE"/>
    <w:rsid w:val="006001EE"/>
    <w:rsid w:val="00604051"/>
    <w:rsid w:val="00605042"/>
    <w:rsid w:val="00606C59"/>
    <w:rsid w:val="00607063"/>
    <w:rsid w:val="0060742F"/>
    <w:rsid w:val="00607B2D"/>
    <w:rsid w:val="00610918"/>
    <w:rsid w:val="00611960"/>
    <w:rsid w:val="00611FC4"/>
    <w:rsid w:val="00612984"/>
    <w:rsid w:val="00617666"/>
    <w:rsid w:val="006176FB"/>
    <w:rsid w:val="00617729"/>
    <w:rsid w:val="00617744"/>
    <w:rsid w:val="006241A2"/>
    <w:rsid w:val="00630255"/>
    <w:rsid w:val="00630551"/>
    <w:rsid w:val="00630D71"/>
    <w:rsid w:val="006327A9"/>
    <w:rsid w:val="006368EB"/>
    <w:rsid w:val="00640123"/>
    <w:rsid w:val="00640B26"/>
    <w:rsid w:val="00642F32"/>
    <w:rsid w:val="00646B5B"/>
    <w:rsid w:val="00647EB5"/>
    <w:rsid w:val="00651AFE"/>
    <w:rsid w:val="00652D0A"/>
    <w:rsid w:val="00655A09"/>
    <w:rsid w:val="006561EC"/>
    <w:rsid w:val="0065674C"/>
    <w:rsid w:val="006570AA"/>
    <w:rsid w:val="00660479"/>
    <w:rsid w:val="00662BB6"/>
    <w:rsid w:val="006632E2"/>
    <w:rsid w:val="00663AC6"/>
    <w:rsid w:val="006642B1"/>
    <w:rsid w:val="00665519"/>
    <w:rsid w:val="00665B89"/>
    <w:rsid w:val="00667C89"/>
    <w:rsid w:val="00670A6F"/>
    <w:rsid w:val="006721BA"/>
    <w:rsid w:val="00673C52"/>
    <w:rsid w:val="00684C21"/>
    <w:rsid w:val="006850DE"/>
    <w:rsid w:val="00687553"/>
    <w:rsid w:val="006879A4"/>
    <w:rsid w:val="00687E46"/>
    <w:rsid w:val="006938D7"/>
    <w:rsid w:val="006945DC"/>
    <w:rsid w:val="00694F01"/>
    <w:rsid w:val="00695491"/>
    <w:rsid w:val="006970AD"/>
    <w:rsid w:val="006A2B5E"/>
    <w:rsid w:val="006A4445"/>
    <w:rsid w:val="006A4EA3"/>
    <w:rsid w:val="006A57E6"/>
    <w:rsid w:val="006B2584"/>
    <w:rsid w:val="006B2B77"/>
    <w:rsid w:val="006B4766"/>
    <w:rsid w:val="006B60F3"/>
    <w:rsid w:val="006B6695"/>
    <w:rsid w:val="006B7360"/>
    <w:rsid w:val="006B7805"/>
    <w:rsid w:val="006C044D"/>
    <w:rsid w:val="006C19AB"/>
    <w:rsid w:val="006C3521"/>
    <w:rsid w:val="006C386B"/>
    <w:rsid w:val="006C40E8"/>
    <w:rsid w:val="006C5D61"/>
    <w:rsid w:val="006D37AF"/>
    <w:rsid w:val="006D3DD8"/>
    <w:rsid w:val="006D47B4"/>
    <w:rsid w:val="006D49CE"/>
    <w:rsid w:val="006D4AB3"/>
    <w:rsid w:val="006D51D0"/>
    <w:rsid w:val="006D6D8B"/>
    <w:rsid w:val="006E3202"/>
    <w:rsid w:val="006E564B"/>
    <w:rsid w:val="006E7191"/>
    <w:rsid w:val="006F5689"/>
    <w:rsid w:val="006F63A7"/>
    <w:rsid w:val="006F7096"/>
    <w:rsid w:val="00700431"/>
    <w:rsid w:val="007019E5"/>
    <w:rsid w:val="00703577"/>
    <w:rsid w:val="00703E95"/>
    <w:rsid w:val="00707420"/>
    <w:rsid w:val="0070769A"/>
    <w:rsid w:val="00710A7E"/>
    <w:rsid w:val="00710A93"/>
    <w:rsid w:val="0071573F"/>
    <w:rsid w:val="00716846"/>
    <w:rsid w:val="00717B83"/>
    <w:rsid w:val="00723D2B"/>
    <w:rsid w:val="0072632A"/>
    <w:rsid w:val="007304C9"/>
    <w:rsid w:val="007327D5"/>
    <w:rsid w:val="00733D14"/>
    <w:rsid w:val="00734376"/>
    <w:rsid w:val="0073586F"/>
    <w:rsid w:val="00741DBD"/>
    <w:rsid w:val="00742DE3"/>
    <w:rsid w:val="00746A6B"/>
    <w:rsid w:val="0075141A"/>
    <w:rsid w:val="007548A9"/>
    <w:rsid w:val="00762392"/>
    <w:rsid w:val="007629C8"/>
    <w:rsid w:val="00764D3F"/>
    <w:rsid w:val="007669C7"/>
    <w:rsid w:val="007733FD"/>
    <w:rsid w:val="00774F88"/>
    <w:rsid w:val="00775D23"/>
    <w:rsid w:val="00776D09"/>
    <w:rsid w:val="007821E7"/>
    <w:rsid w:val="0078413D"/>
    <w:rsid w:val="00785A61"/>
    <w:rsid w:val="00790862"/>
    <w:rsid w:val="0079139D"/>
    <w:rsid w:val="00795724"/>
    <w:rsid w:val="007A0EEE"/>
    <w:rsid w:val="007A3539"/>
    <w:rsid w:val="007A4CA3"/>
    <w:rsid w:val="007A7AA7"/>
    <w:rsid w:val="007B09AE"/>
    <w:rsid w:val="007B1F8F"/>
    <w:rsid w:val="007B5467"/>
    <w:rsid w:val="007B6BA5"/>
    <w:rsid w:val="007B70BB"/>
    <w:rsid w:val="007B7291"/>
    <w:rsid w:val="007C1D00"/>
    <w:rsid w:val="007C3033"/>
    <w:rsid w:val="007C3390"/>
    <w:rsid w:val="007C36FB"/>
    <w:rsid w:val="007C4F4B"/>
    <w:rsid w:val="007D3CD2"/>
    <w:rsid w:val="007D7E03"/>
    <w:rsid w:val="007F1728"/>
    <w:rsid w:val="007F6611"/>
    <w:rsid w:val="007F6FF8"/>
    <w:rsid w:val="007F7B15"/>
    <w:rsid w:val="00800B26"/>
    <w:rsid w:val="00806534"/>
    <w:rsid w:val="008103D1"/>
    <w:rsid w:val="00810A94"/>
    <w:rsid w:val="008121F7"/>
    <w:rsid w:val="00814ED8"/>
    <w:rsid w:val="008242D7"/>
    <w:rsid w:val="008244AB"/>
    <w:rsid w:val="008257B1"/>
    <w:rsid w:val="00826119"/>
    <w:rsid w:val="008265E3"/>
    <w:rsid w:val="008306AF"/>
    <w:rsid w:val="00830B10"/>
    <w:rsid w:val="008314DD"/>
    <w:rsid w:val="008326D5"/>
    <w:rsid w:val="00836769"/>
    <w:rsid w:val="00836B63"/>
    <w:rsid w:val="00836D1B"/>
    <w:rsid w:val="00841B90"/>
    <w:rsid w:val="00843086"/>
    <w:rsid w:val="00843767"/>
    <w:rsid w:val="0084575D"/>
    <w:rsid w:val="008472A9"/>
    <w:rsid w:val="00847B9F"/>
    <w:rsid w:val="00852F87"/>
    <w:rsid w:val="008536B7"/>
    <w:rsid w:val="008565F2"/>
    <w:rsid w:val="008579BB"/>
    <w:rsid w:val="00857A8A"/>
    <w:rsid w:val="00862194"/>
    <w:rsid w:val="00862A3D"/>
    <w:rsid w:val="00862E61"/>
    <w:rsid w:val="00863C85"/>
    <w:rsid w:val="00864804"/>
    <w:rsid w:val="00865D49"/>
    <w:rsid w:val="008676EC"/>
    <w:rsid w:val="008679D9"/>
    <w:rsid w:val="008702D6"/>
    <w:rsid w:val="00870E1B"/>
    <w:rsid w:val="0087361A"/>
    <w:rsid w:val="008816CB"/>
    <w:rsid w:val="00882F2B"/>
    <w:rsid w:val="00883E11"/>
    <w:rsid w:val="00886660"/>
    <w:rsid w:val="0088739E"/>
    <w:rsid w:val="00890240"/>
    <w:rsid w:val="008918F3"/>
    <w:rsid w:val="0089225C"/>
    <w:rsid w:val="00892376"/>
    <w:rsid w:val="008923C7"/>
    <w:rsid w:val="00893007"/>
    <w:rsid w:val="008942A2"/>
    <w:rsid w:val="00896F54"/>
    <w:rsid w:val="00896F5C"/>
    <w:rsid w:val="008976B8"/>
    <w:rsid w:val="008979B1"/>
    <w:rsid w:val="008A3D89"/>
    <w:rsid w:val="008A4939"/>
    <w:rsid w:val="008A697D"/>
    <w:rsid w:val="008A6B25"/>
    <w:rsid w:val="008A6C4F"/>
    <w:rsid w:val="008A6CD1"/>
    <w:rsid w:val="008A726F"/>
    <w:rsid w:val="008B0C2D"/>
    <w:rsid w:val="008B18AE"/>
    <w:rsid w:val="008B2335"/>
    <w:rsid w:val="008B368C"/>
    <w:rsid w:val="008B3C8D"/>
    <w:rsid w:val="008B3CAD"/>
    <w:rsid w:val="008B419E"/>
    <w:rsid w:val="008B4E93"/>
    <w:rsid w:val="008B6971"/>
    <w:rsid w:val="008B6DB6"/>
    <w:rsid w:val="008B7C8C"/>
    <w:rsid w:val="008C01BC"/>
    <w:rsid w:val="008C25B1"/>
    <w:rsid w:val="008C2CBE"/>
    <w:rsid w:val="008C336C"/>
    <w:rsid w:val="008C42FE"/>
    <w:rsid w:val="008C4669"/>
    <w:rsid w:val="008C530C"/>
    <w:rsid w:val="008C7AB6"/>
    <w:rsid w:val="008C7C8F"/>
    <w:rsid w:val="008D3847"/>
    <w:rsid w:val="008D3E95"/>
    <w:rsid w:val="008D66CA"/>
    <w:rsid w:val="008E0678"/>
    <w:rsid w:val="008E0882"/>
    <w:rsid w:val="008E2F37"/>
    <w:rsid w:val="008E3A34"/>
    <w:rsid w:val="008E4285"/>
    <w:rsid w:val="008E5DD2"/>
    <w:rsid w:val="008F0D4C"/>
    <w:rsid w:val="008F1834"/>
    <w:rsid w:val="00900E34"/>
    <w:rsid w:val="00901748"/>
    <w:rsid w:val="00902968"/>
    <w:rsid w:val="00903232"/>
    <w:rsid w:val="009067E1"/>
    <w:rsid w:val="00907347"/>
    <w:rsid w:val="00910707"/>
    <w:rsid w:val="00916F1E"/>
    <w:rsid w:val="00917D15"/>
    <w:rsid w:val="009223CA"/>
    <w:rsid w:val="009227F4"/>
    <w:rsid w:val="00923116"/>
    <w:rsid w:val="00924130"/>
    <w:rsid w:val="009248FC"/>
    <w:rsid w:val="00930173"/>
    <w:rsid w:val="0093193D"/>
    <w:rsid w:val="00940F93"/>
    <w:rsid w:val="00941411"/>
    <w:rsid w:val="009419FA"/>
    <w:rsid w:val="00944260"/>
    <w:rsid w:val="00945D3C"/>
    <w:rsid w:val="009462F6"/>
    <w:rsid w:val="0095157F"/>
    <w:rsid w:val="00953B82"/>
    <w:rsid w:val="00954527"/>
    <w:rsid w:val="00956634"/>
    <w:rsid w:val="009570D5"/>
    <w:rsid w:val="009602E1"/>
    <w:rsid w:val="00960527"/>
    <w:rsid w:val="00964A81"/>
    <w:rsid w:val="009668CA"/>
    <w:rsid w:val="00966CDA"/>
    <w:rsid w:val="009723C9"/>
    <w:rsid w:val="00973FE7"/>
    <w:rsid w:val="00974974"/>
    <w:rsid w:val="009749C7"/>
    <w:rsid w:val="009760F3"/>
    <w:rsid w:val="0097653D"/>
    <w:rsid w:val="009774D4"/>
    <w:rsid w:val="00980B3B"/>
    <w:rsid w:val="00982B71"/>
    <w:rsid w:val="00984734"/>
    <w:rsid w:val="009878EA"/>
    <w:rsid w:val="00987DA7"/>
    <w:rsid w:val="00991F66"/>
    <w:rsid w:val="00994206"/>
    <w:rsid w:val="00995E1C"/>
    <w:rsid w:val="009965C8"/>
    <w:rsid w:val="0099794D"/>
    <w:rsid w:val="009A0E8D"/>
    <w:rsid w:val="009A196C"/>
    <w:rsid w:val="009A414A"/>
    <w:rsid w:val="009A5997"/>
    <w:rsid w:val="009A6BF4"/>
    <w:rsid w:val="009A746F"/>
    <w:rsid w:val="009A7B68"/>
    <w:rsid w:val="009B06B3"/>
    <w:rsid w:val="009B26E7"/>
    <w:rsid w:val="009B2C69"/>
    <w:rsid w:val="009B3A80"/>
    <w:rsid w:val="009B5609"/>
    <w:rsid w:val="009C0574"/>
    <w:rsid w:val="009C064A"/>
    <w:rsid w:val="009C3B5C"/>
    <w:rsid w:val="009C40B0"/>
    <w:rsid w:val="009C49D3"/>
    <w:rsid w:val="009C4AD2"/>
    <w:rsid w:val="009D1C5F"/>
    <w:rsid w:val="009D4F9B"/>
    <w:rsid w:val="009D682E"/>
    <w:rsid w:val="009E22A5"/>
    <w:rsid w:val="009E2A24"/>
    <w:rsid w:val="009E31B5"/>
    <w:rsid w:val="009E3DA1"/>
    <w:rsid w:val="009E3F3B"/>
    <w:rsid w:val="009E508D"/>
    <w:rsid w:val="009E5C79"/>
    <w:rsid w:val="009F184F"/>
    <w:rsid w:val="009F23F4"/>
    <w:rsid w:val="009F28F0"/>
    <w:rsid w:val="009F56EF"/>
    <w:rsid w:val="009F572F"/>
    <w:rsid w:val="009F5B1C"/>
    <w:rsid w:val="009F5B46"/>
    <w:rsid w:val="009F67DE"/>
    <w:rsid w:val="009F7150"/>
    <w:rsid w:val="00A00A3F"/>
    <w:rsid w:val="00A01489"/>
    <w:rsid w:val="00A03A7E"/>
    <w:rsid w:val="00A0413C"/>
    <w:rsid w:val="00A04BEC"/>
    <w:rsid w:val="00A06117"/>
    <w:rsid w:val="00A069A6"/>
    <w:rsid w:val="00A118E4"/>
    <w:rsid w:val="00A11AA5"/>
    <w:rsid w:val="00A149E6"/>
    <w:rsid w:val="00A170DC"/>
    <w:rsid w:val="00A25891"/>
    <w:rsid w:val="00A25EC5"/>
    <w:rsid w:val="00A26AF1"/>
    <w:rsid w:val="00A26D66"/>
    <w:rsid w:val="00A27329"/>
    <w:rsid w:val="00A309CA"/>
    <w:rsid w:val="00A31244"/>
    <w:rsid w:val="00A32B60"/>
    <w:rsid w:val="00A32EA2"/>
    <w:rsid w:val="00A338F1"/>
    <w:rsid w:val="00A37804"/>
    <w:rsid w:val="00A420B0"/>
    <w:rsid w:val="00A42F87"/>
    <w:rsid w:val="00A43432"/>
    <w:rsid w:val="00A43512"/>
    <w:rsid w:val="00A44971"/>
    <w:rsid w:val="00A44CC0"/>
    <w:rsid w:val="00A5214F"/>
    <w:rsid w:val="00A52EBD"/>
    <w:rsid w:val="00A53CD6"/>
    <w:rsid w:val="00A54142"/>
    <w:rsid w:val="00A544AA"/>
    <w:rsid w:val="00A55169"/>
    <w:rsid w:val="00A615C9"/>
    <w:rsid w:val="00A618E1"/>
    <w:rsid w:val="00A61B32"/>
    <w:rsid w:val="00A62A23"/>
    <w:rsid w:val="00A64C9B"/>
    <w:rsid w:val="00A7036F"/>
    <w:rsid w:val="00A70E86"/>
    <w:rsid w:val="00A72F22"/>
    <w:rsid w:val="00A7357A"/>
    <w:rsid w:val="00A7360F"/>
    <w:rsid w:val="00A73F02"/>
    <w:rsid w:val="00A74571"/>
    <w:rsid w:val="00A747CF"/>
    <w:rsid w:val="00A748A6"/>
    <w:rsid w:val="00A76746"/>
    <w:rsid w:val="00A769F4"/>
    <w:rsid w:val="00A776B4"/>
    <w:rsid w:val="00A77A48"/>
    <w:rsid w:val="00A86702"/>
    <w:rsid w:val="00A90EFF"/>
    <w:rsid w:val="00A94361"/>
    <w:rsid w:val="00A94975"/>
    <w:rsid w:val="00A94A7D"/>
    <w:rsid w:val="00A964C9"/>
    <w:rsid w:val="00AA1846"/>
    <w:rsid w:val="00AA19AC"/>
    <w:rsid w:val="00AA293C"/>
    <w:rsid w:val="00AA451C"/>
    <w:rsid w:val="00AA5EC9"/>
    <w:rsid w:val="00AA654F"/>
    <w:rsid w:val="00AB1033"/>
    <w:rsid w:val="00AB1123"/>
    <w:rsid w:val="00AC1F8D"/>
    <w:rsid w:val="00AC24F2"/>
    <w:rsid w:val="00AC3551"/>
    <w:rsid w:val="00AC3C5D"/>
    <w:rsid w:val="00AC4577"/>
    <w:rsid w:val="00AC639E"/>
    <w:rsid w:val="00AD2038"/>
    <w:rsid w:val="00AD60F0"/>
    <w:rsid w:val="00AD7AB3"/>
    <w:rsid w:val="00AE0CE8"/>
    <w:rsid w:val="00AE382C"/>
    <w:rsid w:val="00AE41A7"/>
    <w:rsid w:val="00AE5125"/>
    <w:rsid w:val="00AE5742"/>
    <w:rsid w:val="00AE7328"/>
    <w:rsid w:val="00AF1C7B"/>
    <w:rsid w:val="00AF1E53"/>
    <w:rsid w:val="00AF29E9"/>
    <w:rsid w:val="00AF4A5C"/>
    <w:rsid w:val="00AF5670"/>
    <w:rsid w:val="00AF657A"/>
    <w:rsid w:val="00AF67D6"/>
    <w:rsid w:val="00AF75D9"/>
    <w:rsid w:val="00AF7A8D"/>
    <w:rsid w:val="00B02F0C"/>
    <w:rsid w:val="00B02F55"/>
    <w:rsid w:val="00B05081"/>
    <w:rsid w:val="00B064F8"/>
    <w:rsid w:val="00B0741E"/>
    <w:rsid w:val="00B13B54"/>
    <w:rsid w:val="00B1695E"/>
    <w:rsid w:val="00B225A1"/>
    <w:rsid w:val="00B22C8A"/>
    <w:rsid w:val="00B24943"/>
    <w:rsid w:val="00B25F3D"/>
    <w:rsid w:val="00B30179"/>
    <w:rsid w:val="00B34174"/>
    <w:rsid w:val="00B3418E"/>
    <w:rsid w:val="00B4173A"/>
    <w:rsid w:val="00B43F56"/>
    <w:rsid w:val="00B45098"/>
    <w:rsid w:val="00B5000A"/>
    <w:rsid w:val="00B502F4"/>
    <w:rsid w:val="00B51ED4"/>
    <w:rsid w:val="00B5356B"/>
    <w:rsid w:val="00B539AA"/>
    <w:rsid w:val="00B544DB"/>
    <w:rsid w:val="00B54F31"/>
    <w:rsid w:val="00B55C51"/>
    <w:rsid w:val="00B56330"/>
    <w:rsid w:val="00B56E4A"/>
    <w:rsid w:val="00B56E9C"/>
    <w:rsid w:val="00B60B7B"/>
    <w:rsid w:val="00B63019"/>
    <w:rsid w:val="00B648D1"/>
    <w:rsid w:val="00B64B1F"/>
    <w:rsid w:val="00B6529C"/>
    <w:rsid w:val="00B6553F"/>
    <w:rsid w:val="00B67D69"/>
    <w:rsid w:val="00B70101"/>
    <w:rsid w:val="00B7409A"/>
    <w:rsid w:val="00B74BA4"/>
    <w:rsid w:val="00B75008"/>
    <w:rsid w:val="00B773A6"/>
    <w:rsid w:val="00B77D05"/>
    <w:rsid w:val="00B81206"/>
    <w:rsid w:val="00B81E12"/>
    <w:rsid w:val="00B82192"/>
    <w:rsid w:val="00B8310E"/>
    <w:rsid w:val="00B84933"/>
    <w:rsid w:val="00B8572E"/>
    <w:rsid w:val="00B90BC8"/>
    <w:rsid w:val="00B911ED"/>
    <w:rsid w:val="00B91E3C"/>
    <w:rsid w:val="00B92937"/>
    <w:rsid w:val="00B93182"/>
    <w:rsid w:val="00B9551F"/>
    <w:rsid w:val="00B9587E"/>
    <w:rsid w:val="00B95D5F"/>
    <w:rsid w:val="00B964D4"/>
    <w:rsid w:val="00B97A1E"/>
    <w:rsid w:val="00B97EE2"/>
    <w:rsid w:val="00BA0717"/>
    <w:rsid w:val="00BA07E1"/>
    <w:rsid w:val="00BA0F69"/>
    <w:rsid w:val="00BA2E7A"/>
    <w:rsid w:val="00BB0725"/>
    <w:rsid w:val="00BB4587"/>
    <w:rsid w:val="00BB5BCD"/>
    <w:rsid w:val="00BC065B"/>
    <w:rsid w:val="00BC34B7"/>
    <w:rsid w:val="00BC6718"/>
    <w:rsid w:val="00BC74E9"/>
    <w:rsid w:val="00BD10E4"/>
    <w:rsid w:val="00BD1705"/>
    <w:rsid w:val="00BD17E1"/>
    <w:rsid w:val="00BD3455"/>
    <w:rsid w:val="00BD77B8"/>
    <w:rsid w:val="00BD7C6A"/>
    <w:rsid w:val="00BE02C9"/>
    <w:rsid w:val="00BE4753"/>
    <w:rsid w:val="00BE7331"/>
    <w:rsid w:val="00BF13C2"/>
    <w:rsid w:val="00BF2B01"/>
    <w:rsid w:val="00BF3DA0"/>
    <w:rsid w:val="00BF4194"/>
    <w:rsid w:val="00BF604B"/>
    <w:rsid w:val="00BF68A8"/>
    <w:rsid w:val="00BF783D"/>
    <w:rsid w:val="00C002FF"/>
    <w:rsid w:val="00C02D4B"/>
    <w:rsid w:val="00C059CD"/>
    <w:rsid w:val="00C11A03"/>
    <w:rsid w:val="00C15E9F"/>
    <w:rsid w:val="00C1613C"/>
    <w:rsid w:val="00C22386"/>
    <w:rsid w:val="00C22A6A"/>
    <w:rsid w:val="00C24F84"/>
    <w:rsid w:val="00C25817"/>
    <w:rsid w:val="00C26164"/>
    <w:rsid w:val="00C27052"/>
    <w:rsid w:val="00C31926"/>
    <w:rsid w:val="00C364D6"/>
    <w:rsid w:val="00C42634"/>
    <w:rsid w:val="00C463DD"/>
    <w:rsid w:val="00C4724C"/>
    <w:rsid w:val="00C537C8"/>
    <w:rsid w:val="00C56E9D"/>
    <w:rsid w:val="00C578F1"/>
    <w:rsid w:val="00C61ADE"/>
    <w:rsid w:val="00C621F5"/>
    <w:rsid w:val="00C629A0"/>
    <w:rsid w:val="00C664E5"/>
    <w:rsid w:val="00C66978"/>
    <w:rsid w:val="00C669CC"/>
    <w:rsid w:val="00C66DFD"/>
    <w:rsid w:val="00C6760E"/>
    <w:rsid w:val="00C7097D"/>
    <w:rsid w:val="00C71AF4"/>
    <w:rsid w:val="00C745C3"/>
    <w:rsid w:val="00C802AB"/>
    <w:rsid w:val="00C80C5E"/>
    <w:rsid w:val="00C81DC5"/>
    <w:rsid w:val="00C83969"/>
    <w:rsid w:val="00C83A14"/>
    <w:rsid w:val="00C87749"/>
    <w:rsid w:val="00C90A5B"/>
    <w:rsid w:val="00C9101C"/>
    <w:rsid w:val="00C9543F"/>
    <w:rsid w:val="00C96E0C"/>
    <w:rsid w:val="00C9704F"/>
    <w:rsid w:val="00CA2056"/>
    <w:rsid w:val="00CB5C40"/>
    <w:rsid w:val="00CB6442"/>
    <w:rsid w:val="00CB6AEA"/>
    <w:rsid w:val="00CB6AEE"/>
    <w:rsid w:val="00CC05CF"/>
    <w:rsid w:val="00CC0642"/>
    <w:rsid w:val="00CC151D"/>
    <w:rsid w:val="00CC372C"/>
    <w:rsid w:val="00CC3808"/>
    <w:rsid w:val="00CC4032"/>
    <w:rsid w:val="00CC4B27"/>
    <w:rsid w:val="00CD422D"/>
    <w:rsid w:val="00CD5FC4"/>
    <w:rsid w:val="00CD64D1"/>
    <w:rsid w:val="00CE01AA"/>
    <w:rsid w:val="00CE0AEF"/>
    <w:rsid w:val="00CE0EC6"/>
    <w:rsid w:val="00CE290C"/>
    <w:rsid w:val="00CE4658"/>
    <w:rsid w:val="00CE4A8F"/>
    <w:rsid w:val="00CF0F87"/>
    <w:rsid w:val="00CF3C48"/>
    <w:rsid w:val="00CF529F"/>
    <w:rsid w:val="00CF702E"/>
    <w:rsid w:val="00D030DE"/>
    <w:rsid w:val="00D07338"/>
    <w:rsid w:val="00D10B74"/>
    <w:rsid w:val="00D11158"/>
    <w:rsid w:val="00D1588A"/>
    <w:rsid w:val="00D16DEC"/>
    <w:rsid w:val="00D2031B"/>
    <w:rsid w:val="00D20EC6"/>
    <w:rsid w:val="00D21697"/>
    <w:rsid w:val="00D22FC8"/>
    <w:rsid w:val="00D25FE2"/>
    <w:rsid w:val="00D26C4C"/>
    <w:rsid w:val="00D3034F"/>
    <w:rsid w:val="00D303B7"/>
    <w:rsid w:val="00D31534"/>
    <w:rsid w:val="00D32217"/>
    <w:rsid w:val="00D3255D"/>
    <w:rsid w:val="00D3276F"/>
    <w:rsid w:val="00D32A2D"/>
    <w:rsid w:val="00D3362F"/>
    <w:rsid w:val="00D353AE"/>
    <w:rsid w:val="00D3615A"/>
    <w:rsid w:val="00D41B56"/>
    <w:rsid w:val="00D43252"/>
    <w:rsid w:val="00D43A58"/>
    <w:rsid w:val="00D46717"/>
    <w:rsid w:val="00D47706"/>
    <w:rsid w:val="00D47AC7"/>
    <w:rsid w:val="00D47EEA"/>
    <w:rsid w:val="00D5166F"/>
    <w:rsid w:val="00D53B6C"/>
    <w:rsid w:val="00D5558F"/>
    <w:rsid w:val="00D55823"/>
    <w:rsid w:val="00D55B97"/>
    <w:rsid w:val="00D5602B"/>
    <w:rsid w:val="00D618FE"/>
    <w:rsid w:val="00D633EA"/>
    <w:rsid w:val="00D63904"/>
    <w:rsid w:val="00D63F6F"/>
    <w:rsid w:val="00D64765"/>
    <w:rsid w:val="00D6618D"/>
    <w:rsid w:val="00D668C8"/>
    <w:rsid w:val="00D67D7A"/>
    <w:rsid w:val="00D7481D"/>
    <w:rsid w:val="00D76E67"/>
    <w:rsid w:val="00D813D0"/>
    <w:rsid w:val="00D82C30"/>
    <w:rsid w:val="00D85072"/>
    <w:rsid w:val="00D862FD"/>
    <w:rsid w:val="00D87262"/>
    <w:rsid w:val="00D91B02"/>
    <w:rsid w:val="00D9347E"/>
    <w:rsid w:val="00D93CC8"/>
    <w:rsid w:val="00D95303"/>
    <w:rsid w:val="00D95A36"/>
    <w:rsid w:val="00D978C6"/>
    <w:rsid w:val="00DA28D8"/>
    <w:rsid w:val="00DA3C1C"/>
    <w:rsid w:val="00DA5DED"/>
    <w:rsid w:val="00DA6285"/>
    <w:rsid w:val="00DA71CB"/>
    <w:rsid w:val="00DA7C42"/>
    <w:rsid w:val="00DB06BA"/>
    <w:rsid w:val="00DB0E68"/>
    <w:rsid w:val="00DB13AB"/>
    <w:rsid w:val="00DB16FC"/>
    <w:rsid w:val="00DB189D"/>
    <w:rsid w:val="00DB26B2"/>
    <w:rsid w:val="00DB3746"/>
    <w:rsid w:val="00DB41D2"/>
    <w:rsid w:val="00DB7144"/>
    <w:rsid w:val="00DC0D8F"/>
    <w:rsid w:val="00DC1764"/>
    <w:rsid w:val="00DC20F6"/>
    <w:rsid w:val="00DC2CC4"/>
    <w:rsid w:val="00DC47EB"/>
    <w:rsid w:val="00DC552A"/>
    <w:rsid w:val="00DC7595"/>
    <w:rsid w:val="00DD6AE9"/>
    <w:rsid w:val="00DE086D"/>
    <w:rsid w:val="00DE08FF"/>
    <w:rsid w:val="00DE17F4"/>
    <w:rsid w:val="00DE63DC"/>
    <w:rsid w:val="00DE6D70"/>
    <w:rsid w:val="00DF23B6"/>
    <w:rsid w:val="00DF23DE"/>
    <w:rsid w:val="00DF2600"/>
    <w:rsid w:val="00DF319A"/>
    <w:rsid w:val="00DF5B7D"/>
    <w:rsid w:val="00DF7CB0"/>
    <w:rsid w:val="00E00752"/>
    <w:rsid w:val="00E01137"/>
    <w:rsid w:val="00E03386"/>
    <w:rsid w:val="00E03537"/>
    <w:rsid w:val="00E04264"/>
    <w:rsid w:val="00E04C84"/>
    <w:rsid w:val="00E06689"/>
    <w:rsid w:val="00E10201"/>
    <w:rsid w:val="00E108E8"/>
    <w:rsid w:val="00E1227A"/>
    <w:rsid w:val="00E153C2"/>
    <w:rsid w:val="00E15476"/>
    <w:rsid w:val="00E16444"/>
    <w:rsid w:val="00E16D5D"/>
    <w:rsid w:val="00E16EFC"/>
    <w:rsid w:val="00E17CFA"/>
    <w:rsid w:val="00E200A1"/>
    <w:rsid w:val="00E20264"/>
    <w:rsid w:val="00E202DF"/>
    <w:rsid w:val="00E21A27"/>
    <w:rsid w:val="00E24F3D"/>
    <w:rsid w:val="00E25070"/>
    <w:rsid w:val="00E2526B"/>
    <w:rsid w:val="00E2604A"/>
    <w:rsid w:val="00E27346"/>
    <w:rsid w:val="00E32EFC"/>
    <w:rsid w:val="00E3472B"/>
    <w:rsid w:val="00E35236"/>
    <w:rsid w:val="00E41971"/>
    <w:rsid w:val="00E467B0"/>
    <w:rsid w:val="00E46CE2"/>
    <w:rsid w:val="00E525C2"/>
    <w:rsid w:val="00E5408A"/>
    <w:rsid w:val="00E56A8C"/>
    <w:rsid w:val="00E63979"/>
    <w:rsid w:val="00E64279"/>
    <w:rsid w:val="00E666A6"/>
    <w:rsid w:val="00E710C2"/>
    <w:rsid w:val="00E71125"/>
    <w:rsid w:val="00E71BC8"/>
    <w:rsid w:val="00E7260F"/>
    <w:rsid w:val="00E735D6"/>
    <w:rsid w:val="00E737BB"/>
    <w:rsid w:val="00E753F1"/>
    <w:rsid w:val="00E75863"/>
    <w:rsid w:val="00E807EF"/>
    <w:rsid w:val="00E82196"/>
    <w:rsid w:val="00E856B5"/>
    <w:rsid w:val="00E85AD0"/>
    <w:rsid w:val="00E85E7F"/>
    <w:rsid w:val="00E91F65"/>
    <w:rsid w:val="00E954B4"/>
    <w:rsid w:val="00E959E0"/>
    <w:rsid w:val="00E96630"/>
    <w:rsid w:val="00E96CE0"/>
    <w:rsid w:val="00EA0709"/>
    <w:rsid w:val="00EA4118"/>
    <w:rsid w:val="00EA6049"/>
    <w:rsid w:val="00EA7C1E"/>
    <w:rsid w:val="00EB08F6"/>
    <w:rsid w:val="00EB1E49"/>
    <w:rsid w:val="00EB4C6E"/>
    <w:rsid w:val="00EB7728"/>
    <w:rsid w:val="00EC153A"/>
    <w:rsid w:val="00EC17D9"/>
    <w:rsid w:val="00EC3875"/>
    <w:rsid w:val="00EC765A"/>
    <w:rsid w:val="00ED065E"/>
    <w:rsid w:val="00ED47FF"/>
    <w:rsid w:val="00ED4E71"/>
    <w:rsid w:val="00ED6F5C"/>
    <w:rsid w:val="00ED7A2A"/>
    <w:rsid w:val="00EE16C9"/>
    <w:rsid w:val="00EE2222"/>
    <w:rsid w:val="00EE2F57"/>
    <w:rsid w:val="00EE3830"/>
    <w:rsid w:val="00EE3A5A"/>
    <w:rsid w:val="00EE69E1"/>
    <w:rsid w:val="00EF0A9D"/>
    <w:rsid w:val="00EF1331"/>
    <w:rsid w:val="00EF1D7F"/>
    <w:rsid w:val="00EF2C11"/>
    <w:rsid w:val="00EF399C"/>
    <w:rsid w:val="00F071E4"/>
    <w:rsid w:val="00F078D7"/>
    <w:rsid w:val="00F15518"/>
    <w:rsid w:val="00F1765F"/>
    <w:rsid w:val="00F20C84"/>
    <w:rsid w:val="00F20C99"/>
    <w:rsid w:val="00F2779F"/>
    <w:rsid w:val="00F32383"/>
    <w:rsid w:val="00F34539"/>
    <w:rsid w:val="00F3480C"/>
    <w:rsid w:val="00F412B8"/>
    <w:rsid w:val="00F44E1F"/>
    <w:rsid w:val="00F45C16"/>
    <w:rsid w:val="00F514DA"/>
    <w:rsid w:val="00F52CF8"/>
    <w:rsid w:val="00F52EE1"/>
    <w:rsid w:val="00F5393A"/>
    <w:rsid w:val="00F54BE9"/>
    <w:rsid w:val="00F57012"/>
    <w:rsid w:val="00F60A0D"/>
    <w:rsid w:val="00F65158"/>
    <w:rsid w:val="00F70147"/>
    <w:rsid w:val="00F71B36"/>
    <w:rsid w:val="00F72A51"/>
    <w:rsid w:val="00F72D60"/>
    <w:rsid w:val="00F738E0"/>
    <w:rsid w:val="00F73BB8"/>
    <w:rsid w:val="00F74FE8"/>
    <w:rsid w:val="00F75696"/>
    <w:rsid w:val="00F906F5"/>
    <w:rsid w:val="00F9215C"/>
    <w:rsid w:val="00F92AEB"/>
    <w:rsid w:val="00F93745"/>
    <w:rsid w:val="00F93781"/>
    <w:rsid w:val="00F94550"/>
    <w:rsid w:val="00F94C3A"/>
    <w:rsid w:val="00FA1C9D"/>
    <w:rsid w:val="00FA4165"/>
    <w:rsid w:val="00FA4CC8"/>
    <w:rsid w:val="00FA5869"/>
    <w:rsid w:val="00FA5AD3"/>
    <w:rsid w:val="00FA7230"/>
    <w:rsid w:val="00FB06CC"/>
    <w:rsid w:val="00FB1778"/>
    <w:rsid w:val="00FB4221"/>
    <w:rsid w:val="00FB613B"/>
    <w:rsid w:val="00FB70C1"/>
    <w:rsid w:val="00FC1527"/>
    <w:rsid w:val="00FC187B"/>
    <w:rsid w:val="00FC1897"/>
    <w:rsid w:val="00FC2659"/>
    <w:rsid w:val="00FC2E43"/>
    <w:rsid w:val="00FC2F6F"/>
    <w:rsid w:val="00FC3E6D"/>
    <w:rsid w:val="00FC6503"/>
    <w:rsid w:val="00FC68B7"/>
    <w:rsid w:val="00FD0578"/>
    <w:rsid w:val="00FD5207"/>
    <w:rsid w:val="00FE106A"/>
    <w:rsid w:val="00FE3208"/>
    <w:rsid w:val="00FE429D"/>
    <w:rsid w:val="00FF118F"/>
    <w:rsid w:val="00FF168B"/>
    <w:rsid w:val="00FF2DEB"/>
    <w:rsid w:val="00FF42B4"/>
    <w:rsid w:val="00FF46DB"/>
    <w:rsid w:val="00FF5CA3"/>
    <w:rsid w:val="00FF602A"/>
    <w:rsid w:val="00FF6EB6"/>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242A77-6F0A-417B-BF3B-589067BF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18196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18196A"/>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AD2038"/>
    <w:rPr>
      <w:rFonts w:eastAsia="SimSun"/>
      <w:sz w:val="18"/>
      <w:lang w:eastAsia="zh-CN"/>
    </w:rPr>
  </w:style>
  <w:style w:type="character" w:customStyle="1" w:styleId="SingleTxtGChar">
    <w:name w:val="_ Single Txt_G Char"/>
    <w:link w:val="SingleTxtG"/>
    <w:locked/>
    <w:rsid w:val="00AD2038"/>
    <w:rPr>
      <w:lang w:val="en-GB" w:eastAsia="en-US" w:bidi="ar-SA"/>
    </w:rPr>
  </w:style>
  <w:style w:type="paragraph" w:customStyle="1" w:styleId="Default">
    <w:name w:val="Default"/>
    <w:rsid w:val="00AD2038"/>
    <w:pPr>
      <w:autoSpaceDE w:val="0"/>
      <w:autoSpaceDN w:val="0"/>
      <w:adjustRightInd w:val="0"/>
    </w:pPr>
    <w:rPr>
      <w:rFonts w:eastAsia="SimSun"/>
      <w:color w:val="000000"/>
      <w:sz w:val="24"/>
      <w:szCs w:val="24"/>
      <w:lang w:val="en-US" w:eastAsia="zh-CN"/>
    </w:rPr>
  </w:style>
  <w:style w:type="character" w:styleId="CommentReference">
    <w:name w:val="annotation reference"/>
    <w:rsid w:val="00B75008"/>
    <w:rPr>
      <w:sz w:val="16"/>
    </w:rPr>
  </w:style>
  <w:style w:type="paragraph" w:styleId="BalloonText">
    <w:name w:val="Balloon Text"/>
    <w:basedOn w:val="Normal"/>
    <w:link w:val="BalloonTextChar"/>
    <w:rsid w:val="00660479"/>
    <w:pPr>
      <w:spacing w:line="240" w:lineRule="auto"/>
    </w:pPr>
    <w:rPr>
      <w:rFonts w:ascii="Tahoma" w:hAnsi="Tahoma" w:cs="Tahoma"/>
      <w:sz w:val="16"/>
      <w:szCs w:val="16"/>
    </w:rPr>
  </w:style>
  <w:style w:type="character" w:customStyle="1" w:styleId="BalloonTextChar">
    <w:name w:val="Balloon Text Char"/>
    <w:link w:val="BalloonText"/>
    <w:rsid w:val="00660479"/>
    <w:rPr>
      <w:rFonts w:ascii="Tahoma" w:hAnsi="Tahoma" w:cs="Tahoma"/>
      <w:sz w:val="16"/>
      <w:szCs w:val="16"/>
      <w:lang w:eastAsia="en-US"/>
    </w:rPr>
  </w:style>
  <w:style w:type="paragraph" w:styleId="CommentText">
    <w:name w:val="annotation text"/>
    <w:basedOn w:val="Normal"/>
    <w:link w:val="CommentTextChar"/>
    <w:rsid w:val="00AD60F0"/>
  </w:style>
  <w:style w:type="character" w:customStyle="1" w:styleId="CommentTextChar">
    <w:name w:val="Comment Text Char"/>
    <w:link w:val="CommentText"/>
    <w:rsid w:val="00AD60F0"/>
    <w:rPr>
      <w:lang w:eastAsia="en-US"/>
    </w:rPr>
  </w:style>
  <w:style w:type="paragraph" w:styleId="CommentSubject">
    <w:name w:val="annotation subject"/>
    <w:basedOn w:val="CommentText"/>
    <w:next w:val="CommentText"/>
    <w:link w:val="CommentSubjectChar"/>
    <w:rsid w:val="00AD60F0"/>
    <w:rPr>
      <w:b/>
      <w:bCs/>
    </w:rPr>
  </w:style>
  <w:style w:type="character" w:customStyle="1" w:styleId="CommentSubjectChar">
    <w:name w:val="Comment Subject Char"/>
    <w:link w:val="CommentSubject"/>
    <w:rsid w:val="00AD60F0"/>
    <w:rPr>
      <w:b/>
      <w:bCs/>
      <w:lang w:eastAsia="en-US"/>
    </w:rPr>
  </w:style>
  <w:style w:type="paragraph" w:customStyle="1" w:styleId="MediumList2-Accent21">
    <w:name w:val="Medium List 2 - Accent 21"/>
    <w:hidden/>
    <w:uiPriority w:val="99"/>
    <w:semiHidden/>
    <w:rsid w:val="00EF0A9D"/>
    <w:rPr>
      <w:lang w:eastAsia="en-US"/>
    </w:rPr>
  </w:style>
  <w:style w:type="paragraph" w:styleId="NormalWeb">
    <w:name w:val="Normal (Web)"/>
    <w:basedOn w:val="Normal"/>
    <w:uiPriority w:val="99"/>
    <w:unhideWhenUsed/>
    <w:rsid w:val="00EB4C6E"/>
    <w:pPr>
      <w:suppressAutoHyphens w:val="0"/>
      <w:spacing w:before="100" w:beforeAutospacing="1" w:after="100" w:afterAutospacing="1" w:line="240" w:lineRule="auto"/>
    </w:pPr>
    <w:rPr>
      <w:rFonts w:ascii="Verdana" w:hAnsi="Verdana"/>
      <w:color w:val="555555"/>
      <w:sz w:val="17"/>
      <w:szCs w:val="17"/>
      <w:lang w:eastAsia="en-GB"/>
    </w:rPr>
  </w:style>
  <w:style w:type="character" w:customStyle="1" w:styleId="normal--char">
    <w:name w:val="normal--char"/>
    <w:rsid w:val="00CB6AEA"/>
  </w:style>
  <w:style w:type="character" w:customStyle="1" w:styleId="FootnoteTextChar1">
    <w:name w:val="Footnote Text Char1"/>
    <w:aliases w:val="5_G Char1"/>
    <w:semiHidden/>
    <w:locked/>
    <w:rsid w:val="00CB6AEA"/>
    <w:rPr>
      <w:sz w:val="18"/>
      <w:lang w:eastAsia="en-US"/>
    </w:rPr>
  </w:style>
  <w:style w:type="paragraph" w:styleId="Revision">
    <w:name w:val="Revision"/>
    <w:hidden/>
    <w:uiPriority w:val="99"/>
    <w:semiHidden/>
    <w:rsid w:val="00F2779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425">
      <w:bodyDiv w:val="1"/>
      <w:marLeft w:val="0"/>
      <w:marRight w:val="0"/>
      <w:marTop w:val="0"/>
      <w:marBottom w:val="0"/>
      <w:divBdr>
        <w:top w:val="none" w:sz="0" w:space="0" w:color="auto"/>
        <w:left w:val="none" w:sz="0" w:space="0" w:color="auto"/>
        <w:bottom w:val="none" w:sz="0" w:space="0" w:color="auto"/>
        <w:right w:val="none" w:sz="0" w:space="0" w:color="auto"/>
      </w:divBdr>
    </w:div>
    <w:div w:id="314845667">
      <w:bodyDiv w:val="1"/>
      <w:marLeft w:val="0"/>
      <w:marRight w:val="0"/>
      <w:marTop w:val="0"/>
      <w:marBottom w:val="0"/>
      <w:divBdr>
        <w:top w:val="none" w:sz="0" w:space="0" w:color="auto"/>
        <w:left w:val="none" w:sz="0" w:space="0" w:color="auto"/>
        <w:bottom w:val="none" w:sz="0" w:space="0" w:color="auto"/>
        <w:right w:val="none" w:sz="0" w:space="0" w:color="auto"/>
      </w:divBdr>
    </w:div>
    <w:div w:id="582030743">
      <w:bodyDiv w:val="1"/>
      <w:marLeft w:val="0"/>
      <w:marRight w:val="0"/>
      <w:marTop w:val="0"/>
      <w:marBottom w:val="0"/>
      <w:divBdr>
        <w:top w:val="none" w:sz="0" w:space="0" w:color="auto"/>
        <w:left w:val="none" w:sz="0" w:space="0" w:color="auto"/>
        <w:bottom w:val="none" w:sz="0" w:space="0" w:color="auto"/>
        <w:right w:val="none" w:sz="0" w:space="0" w:color="auto"/>
      </w:divBdr>
    </w:div>
    <w:div w:id="592588002">
      <w:bodyDiv w:val="1"/>
      <w:marLeft w:val="0"/>
      <w:marRight w:val="0"/>
      <w:marTop w:val="0"/>
      <w:marBottom w:val="0"/>
      <w:divBdr>
        <w:top w:val="none" w:sz="0" w:space="0" w:color="auto"/>
        <w:left w:val="none" w:sz="0" w:space="0" w:color="auto"/>
        <w:bottom w:val="none" w:sz="0" w:space="0" w:color="auto"/>
        <w:right w:val="none" w:sz="0" w:space="0" w:color="auto"/>
      </w:divBdr>
    </w:div>
    <w:div w:id="1047484783">
      <w:bodyDiv w:val="1"/>
      <w:marLeft w:val="0"/>
      <w:marRight w:val="0"/>
      <w:marTop w:val="0"/>
      <w:marBottom w:val="0"/>
      <w:divBdr>
        <w:top w:val="none" w:sz="0" w:space="0" w:color="auto"/>
        <w:left w:val="none" w:sz="0" w:space="0" w:color="auto"/>
        <w:bottom w:val="none" w:sz="0" w:space="0" w:color="auto"/>
        <w:right w:val="none" w:sz="0" w:space="0" w:color="auto"/>
      </w:divBdr>
    </w:div>
    <w:div w:id="1455903716">
      <w:bodyDiv w:val="1"/>
      <w:marLeft w:val="0"/>
      <w:marRight w:val="0"/>
      <w:marTop w:val="0"/>
      <w:marBottom w:val="0"/>
      <w:divBdr>
        <w:top w:val="none" w:sz="0" w:space="0" w:color="auto"/>
        <w:left w:val="none" w:sz="0" w:space="0" w:color="auto"/>
        <w:bottom w:val="none" w:sz="0" w:space="0" w:color="auto"/>
        <w:right w:val="none" w:sz="0" w:space="0" w:color="auto"/>
      </w:divBdr>
    </w:div>
    <w:div w:id="1470198427">
      <w:bodyDiv w:val="1"/>
      <w:marLeft w:val="0"/>
      <w:marRight w:val="0"/>
      <w:marTop w:val="0"/>
      <w:marBottom w:val="0"/>
      <w:divBdr>
        <w:top w:val="none" w:sz="0" w:space="0" w:color="auto"/>
        <w:left w:val="none" w:sz="0" w:space="0" w:color="auto"/>
        <w:bottom w:val="none" w:sz="0" w:space="0" w:color="auto"/>
        <w:right w:val="none" w:sz="0" w:space="0" w:color="auto"/>
      </w:divBdr>
    </w:div>
    <w:div w:id="1870409517">
      <w:bodyDiv w:val="1"/>
      <w:marLeft w:val="0"/>
      <w:marRight w:val="0"/>
      <w:marTop w:val="0"/>
      <w:marBottom w:val="0"/>
      <w:divBdr>
        <w:top w:val="none" w:sz="0" w:space="0" w:color="auto"/>
        <w:left w:val="none" w:sz="0" w:space="0" w:color="auto"/>
        <w:bottom w:val="none" w:sz="0" w:space="0" w:color="auto"/>
        <w:right w:val="none" w:sz="0" w:space="0" w:color="auto"/>
      </w:divBdr>
    </w:div>
    <w:div w:id="1915581488">
      <w:bodyDiv w:val="1"/>
      <w:marLeft w:val="0"/>
      <w:marRight w:val="0"/>
      <w:marTop w:val="0"/>
      <w:marBottom w:val="0"/>
      <w:divBdr>
        <w:top w:val="none" w:sz="0" w:space="0" w:color="auto"/>
        <w:left w:val="none" w:sz="0" w:space="0" w:color="auto"/>
        <w:bottom w:val="none" w:sz="0" w:space="0" w:color="auto"/>
        <w:right w:val="none" w:sz="0" w:space="0" w:color="auto"/>
      </w:divBdr>
    </w:div>
    <w:div w:id="1992246634">
      <w:bodyDiv w:val="1"/>
      <w:marLeft w:val="0"/>
      <w:marRight w:val="0"/>
      <w:marTop w:val="0"/>
      <w:marBottom w:val="0"/>
      <w:divBdr>
        <w:top w:val="none" w:sz="0" w:space="0" w:color="auto"/>
        <w:left w:val="none" w:sz="0" w:space="0" w:color="auto"/>
        <w:bottom w:val="none" w:sz="0" w:space="0" w:color="auto"/>
        <w:right w:val="none" w:sz="0" w:space="0" w:color="auto"/>
      </w:divBdr>
    </w:div>
    <w:div w:id="2015263752">
      <w:bodyDiv w:val="1"/>
      <w:marLeft w:val="0"/>
      <w:marRight w:val="0"/>
      <w:marTop w:val="0"/>
      <w:marBottom w:val="0"/>
      <w:divBdr>
        <w:top w:val="none" w:sz="0" w:space="0" w:color="auto"/>
        <w:left w:val="none" w:sz="0" w:space="0" w:color="auto"/>
        <w:bottom w:val="none" w:sz="0" w:space="0" w:color="auto"/>
        <w:right w:val="none" w:sz="0" w:space="0" w:color="auto"/>
      </w:divBdr>
    </w:div>
    <w:div w:id="21394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B5A4-1584-4EB4-AC78-B090279D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1616126</vt:lpstr>
    </vt:vector>
  </TitlesOfParts>
  <Company>CSD</Company>
  <LinksUpToDate>false</LinksUpToDate>
  <CharactersWithSpaces>22783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1616126</dc:title>
  <dc:subject>CAT/C/58/D/616/2014</dc:subject>
  <dc:creator>default</dc:creator>
  <cp:keywords/>
  <dc:description/>
  <cp:lastModifiedBy>Sarah Willig</cp:lastModifiedBy>
  <cp:revision>2</cp:revision>
  <cp:lastPrinted>2016-06-24T11:46:00Z</cp:lastPrinted>
  <dcterms:created xsi:type="dcterms:W3CDTF">2017-04-10T17:30:00Z</dcterms:created>
  <dcterms:modified xsi:type="dcterms:W3CDTF">2017-04-10T17:30:00Z</dcterms:modified>
</cp:coreProperties>
</file>