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0A1EDD">
        <w:trPr>
          <w:trHeight w:hRule="exact" w:val="851"/>
        </w:trPr>
        <w:tc>
          <w:tcPr>
            <w:tcW w:w="1276" w:type="dxa"/>
            <w:tcBorders>
              <w:bottom w:val="single" w:sz="4" w:space="0" w:color="auto"/>
            </w:tcBorders>
            <w:vAlign w:val="bottom"/>
          </w:tcPr>
          <w:p w:rsidR="00B56E9C" w:rsidRPr="000A1EDD" w:rsidRDefault="00B56E9C" w:rsidP="00B6553F">
            <w:pPr>
              <w:spacing w:after="80"/>
              <w:rPr>
                <w:rFonts w:asciiTheme="majorBidi" w:hAnsiTheme="majorBidi" w:cstheme="majorBidi"/>
              </w:rPr>
            </w:pPr>
            <w:bookmarkStart w:id="0" w:name="_GoBack"/>
            <w:bookmarkEnd w:id="0"/>
          </w:p>
        </w:tc>
        <w:tc>
          <w:tcPr>
            <w:tcW w:w="1985" w:type="dxa"/>
            <w:tcBorders>
              <w:bottom w:val="single" w:sz="4" w:space="0" w:color="auto"/>
            </w:tcBorders>
            <w:vAlign w:val="bottom"/>
          </w:tcPr>
          <w:p w:rsidR="00B56E9C" w:rsidRPr="000A1EDD" w:rsidRDefault="005D5AC7" w:rsidP="00B6553F">
            <w:pPr>
              <w:spacing w:after="80" w:line="300" w:lineRule="exact"/>
              <w:rPr>
                <w:rFonts w:asciiTheme="majorBidi" w:hAnsiTheme="majorBidi" w:cstheme="majorBidi"/>
                <w:b/>
                <w:sz w:val="24"/>
                <w:szCs w:val="24"/>
              </w:rPr>
            </w:pPr>
            <w:r w:rsidRPr="000A1EDD">
              <w:rPr>
                <w:rFonts w:asciiTheme="majorBidi" w:hAnsiTheme="majorBidi" w:cstheme="majorBidi"/>
                <w:sz w:val="28"/>
                <w:szCs w:val="28"/>
              </w:rPr>
              <w:t>United Nations</w:t>
            </w:r>
          </w:p>
        </w:tc>
        <w:tc>
          <w:tcPr>
            <w:tcW w:w="6378" w:type="dxa"/>
            <w:gridSpan w:val="2"/>
            <w:tcBorders>
              <w:bottom w:val="single" w:sz="4" w:space="0" w:color="auto"/>
            </w:tcBorders>
            <w:vAlign w:val="bottom"/>
          </w:tcPr>
          <w:p w:rsidR="00B56E9C" w:rsidRPr="000A1EDD" w:rsidRDefault="00785A61" w:rsidP="00F42C24">
            <w:pPr>
              <w:jc w:val="right"/>
              <w:rPr>
                <w:rFonts w:asciiTheme="majorBidi" w:hAnsiTheme="majorBidi" w:cstheme="majorBidi"/>
                <w:lang w:val="en-US"/>
              </w:rPr>
            </w:pPr>
            <w:r w:rsidRPr="000A1EDD">
              <w:rPr>
                <w:rFonts w:asciiTheme="majorBidi" w:hAnsiTheme="majorBidi" w:cstheme="majorBidi"/>
                <w:sz w:val="40"/>
                <w:lang w:val="en-US"/>
              </w:rPr>
              <w:t>CAT</w:t>
            </w:r>
            <w:r w:rsidRPr="000A1EDD">
              <w:rPr>
                <w:rFonts w:asciiTheme="majorBidi" w:hAnsiTheme="majorBidi" w:cstheme="majorBidi"/>
                <w:lang w:val="en-US"/>
              </w:rPr>
              <w:t>/C/</w:t>
            </w:r>
            <w:r w:rsidR="000360C6" w:rsidRPr="000A1EDD">
              <w:rPr>
                <w:rFonts w:asciiTheme="majorBidi" w:hAnsiTheme="majorBidi" w:cstheme="majorBidi"/>
                <w:lang w:val="en-US"/>
              </w:rPr>
              <w:t>5</w:t>
            </w:r>
            <w:r w:rsidR="002A0256" w:rsidRPr="000A1EDD">
              <w:rPr>
                <w:rFonts w:asciiTheme="majorBidi" w:hAnsiTheme="majorBidi" w:cstheme="majorBidi"/>
                <w:lang w:val="en-US"/>
              </w:rPr>
              <w:t>8</w:t>
            </w:r>
            <w:r w:rsidRPr="000A1EDD">
              <w:rPr>
                <w:rFonts w:asciiTheme="majorBidi" w:hAnsiTheme="majorBidi" w:cstheme="majorBidi"/>
                <w:lang w:val="en-US"/>
              </w:rPr>
              <w:t>/</w:t>
            </w:r>
            <w:r w:rsidR="0026218D" w:rsidRPr="000A1EDD">
              <w:rPr>
                <w:rFonts w:asciiTheme="majorBidi" w:hAnsiTheme="majorBidi" w:cstheme="majorBidi"/>
                <w:lang w:val="en-US"/>
              </w:rPr>
              <w:t>D</w:t>
            </w:r>
            <w:r w:rsidR="000077B8" w:rsidRPr="000A1EDD">
              <w:rPr>
                <w:rFonts w:asciiTheme="majorBidi" w:hAnsiTheme="majorBidi" w:cstheme="majorBidi"/>
                <w:lang w:val="en-US"/>
              </w:rPr>
              <w:t>/</w:t>
            </w:r>
            <w:r w:rsidR="002A0256" w:rsidRPr="000A1EDD">
              <w:rPr>
                <w:rFonts w:asciiTheme="majorBidi" w:hAnsiTheme="majorBidi" w:cstheme="majorBidi"/>
                <w:lang w:val="en-US"/>
              </w:rPr>
              <w:t>627/2014</w:t>
            </w:r>
          </w:p>
        </w:tc>
      </w:tr>
      <w:tr w:rsidR="00B56E9C" w:rsidRPr="000A1EDD">
        <w:trPr>
          <w:cantSplit/>
          <w:trHeight w:hRule="exact" w:val="2835"/>
        </w:trPr>
        <w:tc>
          <w:tcPr>
            <w:tcW w:w="1276" w:type="dxa"/>
            <w:tcBorders>
              <w:top w:val="single" w:sz="4" w:space="0" w:color="auto"/>
              <w:bottom w:val="single" w:sz="12" w:space="0" w:color="auto"/>
            </w:tcBorders>
          </w:tcPr>
          <w:p w:rsidR="00B56E9C" w:rsidRPr="000A1EDD" w:rsidRDefault="00165FA3" w:rsidP="00B6553F">
            <w:pPr>
              <w:spacing w:before="120"/>
              <w:rPr>
                <w:rFonts w:asciiTheme="majorBidi" w:hAnsiTheme="majorBidi" w:cstheme="majorBidi"/>
              </w:rPr>
            </w:pPr>
            <w:r w:rsidRPr="000A1EDD">
              <w:rPr>
                <w:rFonts w:asciiTheme="majorBidi" w:hAnsiTheme="majorBidi" w:cstheme="majorBidi"/>
                <w:noProof/>
                <w:lang w:val="en-US"/>
              </w:rPr>
              <w:drawing>
                <wp:inline distT="0" distB="0" distL="0" distR="0" wp14:anchorId="11630B1C" wp14:editId="1FADEAA5">
                  <wp:extent cx="716280" cy="594360"/>
                  <wp:effectExtent l="0" t="0" r="762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0A1EDD" w:rsidRDefault="005D5AC7" w:rsidP="00267F5F">
            <w:pPr>
              <w:spacing w:before="120" w:line="380" w:lineRule="exact"/>
              <w:rPr>
                <w:rFonts w:asciiTheme="majorBidi" w:hAnsiTheme="majorBidi" w:cstheme="majorBidi"/>
                <w:sz w:val="34"/>
              </w:rPr>
            </w:pPr>
            <w:r w:rsidRPr="000A1EDD">
              <w:rPr>
                <w:rFonts w:asciiTheme="majorBidi" w:hAnsiTheme="majorBidi" w:cstheme="majorBidi"/>
                <w:b/>
                <w:sz w:val="34"/>
                <w:szCs w:val="34"/>
              </w:rPr>
              <w:t>Convention against Torture</w:t>
            </w:r>
            <w:r w:rsidRPr="000A1EDD">
              <w:rPr>
                <w:rFonts w:asciiTheme="majorBidi" w:hAnsiTheme="majorBidi" w:cstheme="majorBidi"/>
                <w:b/>
                <w:sz w:val="34"/>
                <w:szCs w:val="34"/>
              </w:rPr>
              <w:br/>
              <w:t>and Other Cruel, Inhuman or Degrading Treatment</w:t>
            </w:r>
            <w:r w:rsidRPr="000A1EDD">
              <w:rPr>
                <w:rFonts w:asciiTheme="majorBidi" w:hAnsiTheme="majorBidi" w:cstheme="majorBidi"/>
                <w:b/>
                <w:sz w:val="34"/>
                <w:szCs w:val="34"/>
              </w:rPr>
              <w:br/>
              <w:t>or Punishment</w:t>
            </w:r>
          </w:p>
        </w:tc>
        <w:tc>
          <w:tcPr>
            <w:tcW w:w="2835" w:type="dxa"/>
            <w:tcBorders>
              <w:top w:val="single" w:sz="4" w:space="0" w:color="auto"/>
              <w:bottom w:val="single" w:sz="12" w:space="0" w:color="auto"/>
            </w:tcBorders>
          </w:tcPr>
          <w:p w:rsidR="00D403D8" w:rsidRPr="000A1EDD" w:rsidRDefault="00785A61" w:rsidP="003D7986">
            <w:pPr>
              <w:suppressAutoHyphens w:val="0"/>
              <w:spacing w:before="240" w:line="240" w:lineRule="exact"/>
              <w:rPr>
                <w:rFonts w:asciiTheme="majorBidi" w:hAnsiTheme="majorBidi" w:cstheme="majorBidi"/>
              </w:rPr>
            </w:pPr>
            <w:r w:rsidRPr="000A1EDD">
              <w:rPr>
                <w:rFonts w:asciiTheme="majorBidi" w:hAnsiTheme="majorBidi" w:cstheme="majorBidi"/>
              </w:rPr>
              <w:t xml:space="preserve">Distr.: </w:t>
            </w:r>
            <w:r w:rsidR="00EE6D4A" w:rsidRPr="000A1EDD">
              <w:rPr>
                <w:rFonts w:asciiTheme="majorBidi" w:hAnsiTheme="majorBidi" w:cstheme="majorBidi"/>
              </w:rPr>
              <w:t>General</w:t>
            </w:r>
          </w:p>
          <w:p w:rsidR="00785A61" w:rsidRPr="000A1EDD" w:rsidRDefault="004E493B" w:rsidP="00B5356B">
            <w:pPr>
              <w:spacing w:line="240" w:lineRule="exact"/>
              <w:rPr>
                <w:rFonts w:asciiTheme="majorBidi" w:hAnsiTheme="majorBidi" w:cstheme="majorBidi"/>
              </w:rPr>
            </w:pPr>
            <w:r w:rsidRPr="000A1EDD">
              <w:rPr>
                <w:rFonts w:asciiTheme="majorBidi" w:hAnsiTheme="majorBidi" w:cstheme="majorBidi"/>
              </w:rPr>
              <w:t xml:space="preserve">24 November </w:t>
            </w:r>
            <w:r w:rsidR="002A0256" w:rsidRPr="000A1EDD">
              <w:rPr>
                <w:rFonts w:asciiTheme="majorBidi" w:hAnsiTheme="majorBidi" w:cstheme="majorBidi"/>
              </w:rPr>
              <w:t>2016</w:t>
            </w:r>
          </w:p>
          <w:p w:rsidR="00785A61" w:rsidRPr="000A1EDD" w:rsidRDefault="00785A61" w:rsidP="00785A61">
            <w:pPr>
              <w:spacing w:line="240" w:lineRule="exact"/>
              <w:rPr>
                <w:rFonts w:asciiTheme="majorBidi" w:hAnsiTheme="majorBidi" w:cstheme="majorBidi"/>
              </w:rPr>
            </w:pPr>
          </w:p>
          <w:p w:rsidR="00B56E9C" w:rsidRPr="000A1EDD" w:rsidRDefault="00785A61" w:rsidP="00785A61">
            <w:pPr>
              <w:spacing w:line="240" w:lineRule="exact"/>
              <w:rPr>
                <w:rFonts w:asciiTheme="majorBidi" w:hAnsiTheme="majorBidi" w:cstheme="majorBidi"/>
              </w:rPr>
            </w:pPr>
            <w:r w:rsidRPr="000A1EDD">
              <w:rPr>
                <w:rFonts w:asciiTheme="majorBidi" w:hAnsiTheme="majorBidi" w:cstheme="majorBidi"/>
              </w:rPr>
              <w:t>Original: English</w:t>
            </w:r>
          </w:p>
          <w:p w:rsidR="00991F66" w:rsidRPr="000A1EDD" w:rsidRDefault="00991F66" w:rsidP="005715BB">
            <w:pPr>
              <w:spacing w:line="240" w:lineRule="exact"/>
              <w:rPr>
                <w:rFonts w:asciiTheme="majorBidi" w:hAnsiTheme="majorBidi" w:cstheme="majorBidi"/>
              </w:rPr>
            </w:pPr>
          </w:p>
        </w:tc>
      </w:tr>
    </w:tbl>
    <w:p w:rsidR="001275E2" w:rsidRPr="000A1EDD" w:rsidRDefault="001275E2" w:rsidP="001275E2">
      <w:pPr>
        <w:spacing w:before="120"/>
        <w:rPr>
          <w:rFonts w:asciiTheme="majorBidi" w:hAnsiTheme="majorBidi" w:cstheme="majorBidi"/>
          <w:b/>
          <w:sz w:val="24"/>
          <w:szCs w:val="24"/>
        </w:rPr>
      </w:pPr>
      <w:r w:rsidRPr="000A1EDD">
        <w:rPr>
          <w:rFonts w:asciiTheme="majorBidi" w:hAnsiTheme="majorBidi" w:cstheme="majorBidi"/>
          <w:b/>
          <w:sz w:val="24"/>
          <w:szCs w:val="24"/>
        </w:rPr>
        <w:t>Committee against Torture</w:t>
      </w:r>
    </w:p>
    <w:p w:rsidR="002A0256" w:rsidRPr="000A1EDD" w:rsidRDefault="002A0256" w:rsidP="000A1EDD">
      <w:pPr>
        <w:pStyle w:val="HChG"/>
        <w:rPr>
          <w:rFonts w:asciiTheme="majorBidi" w:hAnsiTheme="majorBidi" w:cstheme="majorBidi"/>
          <w:vertAlign w:val="superscript"/>
        </w:rPr>
      </w:pPr>
      <w:r w:rsidRPr="000A1EDD">
        <w:rPr>
          <w:rFonts w:asciiTheme="majorBidi" w:hAnsiTheme="majorBidi" w:cstheme="majorBidi"/>
        </w:rPr>
        <w:tab/>
      </w:r>
      <w:r w:rsidRPr="000A1EDD">
        <w:rPr>
          <w:rFonts w:asciiTheme="majorBidi" w:hAnsiTheme="majorBidi" w:cstheme="majorBidi"/>
        </w:rPr>
        <w:tab/>
      </w:r>
      <w:r w:rsidR="002330D9" w:rsidRPr="000A1EDD">
        <w:rPr>
          <w:rFonts w:asciiTheme="majorBidi" w:hAnsiTheme="majorBidi" w:cstheme="majorBidi"/>
        </w:rPr>
        <w:t xml:space="preserve">Decision adopted by the Committee </w:t>
      </w:r>
      <w:r w:rsidR="00134645" w:rsidRPr="000A1EDD">
        <w:rPr>
          <w:rFonts w:asciiTheme="majorBidi" w:hAnsiTheme="majorBidi" w:cstheme="majorBidi"/>
        </w:rPr>
        <w:t>under article 22 of the Convention, concerning</w:t>
      </w:r>
      <w:r w:rsidR="00EE6D4A" w:rsidRPr="000A1EDD">
        <w:rPr>
          <w:rFonts w:asciiTheme="majorBidi" w:hAnsiTheme="majorBidi" w:cstheme="majorBidi"/>
        </w:rPr>
        <w:t xml:space="preserve"> </w:t>
      </w:r>
      <w:r w:rsidR="00134645" w:rsidRPr="000A1EDD">
        <w:rPr>
          <w:rFonts w:asciiTheme="majorBidi" w:hAnsiTheme="majorBidi" w:cstheme="majorBidi"/>
        </w:rPr>
        <w:t>communication No. 627/2014</w:t>
      </w:r>
      <w:r w:rsidR="00134645" w:rsidRPr="000A1EDD">
        <w:rPr>
          <w:rStyle w:val="FootnoteReference"/>
          <w:rFonts w:asciiTheme="majorBidi" w:hAnsiTheme="majorBidi" w:cstheme="majorBidi"/>
          <w:b w:val="0"/>
          <w:bCs/>
          <w:sz w:val="20"/>
          <w:vertAlign w:val="baseline"/>
        </w:rPr>
        <w:footnoteReference w:customMarkFollows="1" w:id="2"/>
        <w:t>*</w:t>
      </w:r>
      <w:r w:rsidR="00134645" w:rsidRPr="000A1EDD">
        <w:rPr>
          <w:rFonts w:asciiTheme="majorBidi" w:hAnsiTheme="majorBidi" w:cstheme="majorBidi"/>
          <w:b w:val="0"/>
          <w:position w:val="4"/>
          <w:sz w:val="20"/>
        </w:rPr>
        <w:t>,</w:t>
      </w:r>
      <w:r w:rsidR="00134645" w:rsidRPr="000A1EDD">
        <w:rPr>
          <w:rFonts w:asciiTheme="majorBidi" w:hAnsiTheme="majorBidi" w:cstheme="majorBidi"/>
          <w:b w:val="0"/>
          <w:bCs/>
          <w:sz w:val="20"/>
        </w:rPr>
        <w:t xml:space="preserve"> </w:t>
      </w:r>
      <w:r w:rsidR="00134645" w:rsidRPr="000A1EDD">
        <w:rPr>
          <w:rStyle w:val="FootnoteReference"/>
          <w:rFonts w:asciiTheme="majorBidi" w:hAnsiTheme="majorBidi" w:cstheme="majorBidi"/>
          <w:b w:val="0"/>
          <w:bCs/>
          <w:sz w:val="20"/>
          <w:vertAlign w:val="baseline"/>
        </w:rPr>
        <w:footnoteReference w:customMarkFollows="1" w:id="3"/>
        <w:t>**</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AD2038" w:rsidRPr="000A1EDD" w:rsidTr="000A1EDD">
        <w:tc>
          <w:tcPr>
            <w:tcW w:w="3402" w:type="dxa"/>
          </w:tcPr>
          <w:p w:rsidR="00AD2038" w:rsidRPr="000A1EDD" w:rsidRDefault="00DB7144" w:rsidP="00117576">
            <w:pPr>
              <w:pStyle w:val="SingleTxtG"/>
              <w:ind w:left="0" w:right="0"/>
              <w:jc w:val="left"/>
              <w:rPr>
                <w:rFonts w:asciiTheme="majorBidi" w:hAnsiTheme="majorBidi" w:cstheme="majorBidi"/>
                <w:i/>
              </w:rPr>
            </w:pPr>
            <w:r w:rsidRPr="000A1EDD">
              <w:rPr>
                <w:rFonts w:asciiTheme="majorBidi" w:hAnsiTheme="majorBidi" w:cstheme="majorBidi"/>
                <w:i/>
              </w:rPr>
              <w:t>Communication s</w:t>
            </w:r>
            <w:r w:rsidR="00AD2038" w:rsidRPr="000A1EDD">
              <w:rPr>
                <w:rFonts w:asciiTheme="majorBidi" w:hAnsiTheme="majorBidi" w:cstheme="majorBidi"/>
                <w:i/>
              </w:rPr>
              <w:t>ubmitted by:</w:t>
            </w:r>
          </w:p>
        </w:tc>
        <w:tc>
          <w:tcPr>
            <w:tcW w:w="3969" w:type="dxa"/>
          </w:tcPr>
          <w:p w:rsidR="00AD2038" w:rsidRPr="000A1EDD" w:rsidRDefault="00B75748" w:rsidP="00B75748">
            <w:pPr>
              <w:pStyle w:val="SingleTxtG"/>
              <w:ind w:left="0" w:right="0"/>
              <w:jc w:val="left"/>
              <w:rPr>
                <w:rFonts w:asciiTheme="majorBidi" w:hAnsiTheme="majorBidi" w:cstheme="majorBidi"/>
                <w:color w:val="FF0000"/>
              </w:rPr>
            </w:pPr>
            <w:r w:rsidRPr="000A1EDD">
              <w:rPr>
                <w:rFonts w:asciiTheme="majorBidi" w:hAnsiTheme="majorBidi" w:cstheme="majorBidi"/>
              </w:rPr>
              <w:t>H.</w:t>
            </w:r>
            <w:r w:rsidR="00FF118F" w:rsidRPr="000A1EDD">
              <w:rPr>
                <w:rFonts w:asciiTheme="majorBidi" w:hAnsiTheme="majorBidi" w:cstheme="majorBidi"/>
              </w:rPr>
              <w:t xml:space="preserve"> </w:t>
            </w:r>
            <w:r w:rsidR="00B35EB4" w:rsidRPr="000A1EDD">
              <w:rPr>
                <w:rFonts w:asciiTheme="majorBidi" w:hAnsiTheme="majorBidi" w:cstheme="majorBidi"/>
              </w:rPr>
              <w:t>(represented by counsel</w:t>
            </w:r>
            <w:r w:rsidR="002330D9" w:rsidRPr="000A1EDD">
              <w:rPr>
                <w:rFonts w:asciiTheme="majorBidi" w:hAnsiTheme="majorBidi" w:cstheme="majorBidi"/>
              </w:rPr>
              <w:t>,</w:t>
            </w:r>
            <w:r w:rsidR="00B35EB4" w:rsidRPr="000A1EDD">
              <w:rPr>
                <w:rFonts w:asciiTheme="majorBidi" w:hAnsiTheme="majorBidi" w:cstheme="majorBidi"/>
              </w:rPr>
              <w:t xml:space="preserve"> </w:t>
            </w:r>
            <w:r w:rsidR="00543B46" w:rsidRPr="000A1EDD">
              <w:rPr>
                <w:rFonts w:asciiTheme="majorBidi" w:hAnsiTheme="majorBidi" w:cstheme="majorBidi"/>
              </w:rPr>
              <w:t>Mathias Blomberg</w:t>
            </w:r>
            <w:r w:rsidR="00FF118F" w:rsidRPr="000A1EDD">
              <w:rPr>
                <w:rFonts w:asciiTheme="majorBidi" w:hAnsiTheme="majorBidi" w:cstheme="majorBidi"/>
              </w:rPr>
              <w:t>)</w:t>
            </w:r>
          </w:p>
        </w:tc>
      </w:tr>
      <w:tr w:rsidR="00AD2038" w:rsidRPr="000A1EDD" w:rsidTr="000A1EDD">
        <w:tc>
          <w:tcPr>
            <w:tcW w:w="3402" w:type="dxa"/>
          </w:tcPr>
          <w:p w:rsidR="00AD2038" w:rsidRPr="000A1EDD" w:rsidRDefault="00AD2038" w:rsidP="00960527">
            <w:pPr>
              <w:pStyle w:val="SingleTxtG"/>
              <w:ind w:left="0" w:right="0"/>
              <w:jc w:val="left"/>
              <w:rPr>
                <w:rFonts w:asciiTheme="majorBidi" w:hAnsiTheme="majorBidi" w:cstheme="majorBidi"/>
                <w:i/>
              </w:rPr>
            </w:pPr>
            <w:r w:rsidRPr="000A1EDD">
              <w:rPr>
                <w:rFonts w:asciiTheme="majorBidi" w:hAnsiTheme="majorBidi" w:cstheme="majorBidi"/>
                <w:i/>
              </w:rPr>
              <w:t>Alleged victim:</w:t>
            </w:r>
          </w:p>
        </w:tc>
        <w:tc>
          <w:tcPr>
            <w:tcW w:w="3969" w:type="dxa"/>
          </w:tcPr>
          <w:p w:rsidR="00AD2038" w:rsidRPr="000A1EDD" w:rsidRDefault="008B419E" w:rsidP="00117576">
            <w:pPr>
              <w:pStyle w:val="SingleTxtG"/>
              <w:ind w:left="0" w:right="0"/>
              <w:jc w:val="left"/>
              <w:rPr>
                <w:rFonts w:asciiTheme="majorBidi" w:hAnsiTheme="majorBidi" w:cstheme="majorBidi"/>
              </w:rPr>
            </w:pPr>
            <w:r w:rsidRPr="000A1EDD">
              <w:rPr>
                <w:rFonts w:asciiTheme="majorBidi" w:hAnsiTheme="majorBidi" w:cstheme="majorBidi"/>
                <w:snapToGrid w:val="0"/>
              </w:rPr>
              <w:t>T</w:t>
            </w:r>
            <w:r w:rsidR="00FF118F" w:rsidRPr="000A1EDD">
              <w:rPr>
                <w:rFonts w:asciiTheme="majorBidi" w:hAnsiTheme="majorBidi" w:cstheme="majorBidi"/>
                <w:snapToGrid w:val="0"/>
              </w:rPr>
              <w:t>he complainant</w:t>
            </w:r>
          </w:p>
        </w:tc>
      </w:tr>
      <w:tr w:rsidR="00AD2038" w:rsidRPr="000A1EDD" w:rsidTr="000A1EDD">
        <w:tc>
          <w:tcPr>
            <w:tcW w:w="3402" w:type="dxa"/>
          </w:tcPr>
          <w:p w:rsidR="00AD2038" w:rsidRPr="000A1EDD" w:rsidRDefault="00AD2038" w:rsidP="00117576">
            <w:pPr>
              <w:pStyle w:val="SingleTxtG"/>
              <w:ind w:left="0" w:right="0"/>
              <w:jc w:val="left"/>
              <w:rPr>
                <w:rFonts w:asciiTheme="majorBidi" w:hAnsiTheme="majorBidi" w:cstheme="majorBidi"/>
                <w:i/>
              </w:rPr>
            </w:pPr>
            <w:r w:rsidRPr="000A1EDD">
              <w:rPr>
                <w:rFonts w:asciiTheme="majorBidi" w:hAnsiTheme="majorBidi" w:cstheme="majorBidi"/>
                <w:i/>
              </w:rPr>
              <w:t>State party:</w:t>
            </w:r>
          </w:p>
        </w:tc>
        <w:tc>
          <w:tcPr>
            <w:tcW w:w="3969" w:type="dxa"/>
          </w:tcPr>
          <w:p w:rsidR="00AD2038" w:rsidRPr="000A1EDD" w:rsidRDefault="002A0256" w:rsidP="00117576">
            <w:pPr>
              <w:pStyle w:val="SingleTxtG"/>
              <w:ind w:left="0" w:right="0"/>
              <w:jc w:val="left"/>
              <w:rPr>
                <w:rFonts w:asciiTheme="majorBidi" w:hAnsiTheme="majorBidi" w:cstheme="majorBidi"/>
              </w:rPr>
            </w:pPr>
            <w:r w:rsidRPr="000A1EDD">
              <w:rPr>
                <w:rFonts w:asciiTheme="majorBidi" w:hAnsiTheme="majorBidi" w:cstheme="majorBidi"/>
              </w:rPr>
              <w:t>Sweden</w:t>
            </w:r>
          </w:p>
        </w:tc>
      </w:tr>
      <w:tr w:rsidR="00AD2038" w:rsidRPr="000A1EDD" w:rsidTr="000A1EDD">
        <w:tc>
          <w:tcPr>
            <w:tcW w:w="3402" w:type="dxa"/>
          </w:tcPr>
          <w:p w:rsidR="00AD2038" w:rsidRPr="000A1EDD" w:rsidRDefault="00AD2038" w:rsidP="00117576">
            <w:pPr>
              <w:pStyle w:val="SingleTxtG"/>
              <w:ind w:left="0" w:right="0"/>
              <w:jc w:val="left"/>
              <w:rPr>
                <w:rFonts w:asciiTheme="majorBidi" w:hAnsiTheme="majorBidi" w:cstheme="majorBidi"/>
                <w:i/>
              </w:rPr>
            </w:pPr>
            <w:r w:rsidRPr="000A1EDD">
              <w:rPr>
                <w:rFonts w:asciiTheme="majorBidi" w:hAnsiTheme="majorBidi" w:cstheme="majorBidi"/>
                <w:i/>
              </w:rPr>
              <w:t>Date of complaint:</w:t>
            </w:r>
          </w:p>
        </w:tc>
        <w:tc>
          <w:tcPr>
            <w:tcW w:w="3969" w:type="dxa"/>
          </w:tcPr>
          <w:p w:rsidR="00AD2038" w:rsidRPr="000A1EDD" w:rsidRDefault="002A0256" w:rsidP="00764D3F">
            <w:pPr>
              <w:pStyle w:val="SingleTxtG"/>
              <w:ind w:left="0" w:right="0"/>
              <w:jc w:val="left"/>
              <w:rPr>
                <w:rFonts w:asciiTheme="majorBidi" w:hAnsiTheme="majorBidi" w:cstheme="majorBidi"/>
              </w:rPr>
            </w:pPr>
            <w:r w:rsidRPr="000A1EDD">
              <w:rPr>
                <w:rFonts w:asciiTheme="majorBidi" w:hAnsiTheme="majorBidi" w:cstheme="majorBidi"/>
              </w:rPr>
              <w:t>29 August 2014</w:t>
            </w:r>
            <w:r w:rsidR="00AD2038" w:rsidRPr="000A1EDD">
              <w:rPr>
                <w:rFonts w:asciiTheme="majorBidi" w:hAnsiTheme="majorBidi" w:cstheme="majorBidi"/>
              </w:rPr>
              <w:t xml:space="preserve"> (initial submission)</w:t>
            </w:r>
          </w:p>
        </w:tc>
      </w:tr>
      <w:tr w:rsidR="00AD2038" w:rsidRPr="000A1EDD" w:rsidTr="000A1EDD">
        <w:tc>
          <w:tcPr>
            <w:tcW w:w="3402" w:type="dxa"/>
          </w:tcPr>
          <w:p w:rsidR="00AD2038" w:rsidRPr="000A1EDD" w:rsidRDefault="00AD2038" w:rsidP="0041380F">
            <w:pPr>
              <w:pStyle w:val="SingleTxtG"/>
              <w:ind w:left="0" w:right="0"/>
              <w:jc w:val="left"/>
              <w:rPr>
                <w:rFonts w:asciiTheme="majorBidi" w:hAnsiTheme="majorBidi" w:cstheme="majorBidi"/>
                <w:i/>
              </w:rPr>
            </w:pPr>
            <w:r w:rsidRPr="000A1EDD">
              <w:rPr>
                <w:rFonts w:asciiTheme="majorBidi" w:hAnsiTheme="majorBidi" w:cstheme="majorBidi"/>
                <w:i/>
              </w:rPr>
              <w:t xml:space="preserve">Date of </w:t>
            </w:r>
            <w:r w:rsidR="0041380F" w:rsidRPr="000A1EDD">
              <w:rPr>
                <w:rFonts w:asciiTheme="majorBidi" w:hAnsiTheme="majorBidi" w:cstheme="majorBidi"/>
                <w:i/>
              </w:rPr>
              <w:t>present</w:t>
            </w:r>
            <w:r w:rsidRPr="000A1EDD">
              <w:rPr>
                <w:rFonts w:asciiTheme="majorBidi" w:hAnsiTheme="majorBidi" w:cstheme="majorBidi"/>
                <w:i/>
              </w:rPr>
              <w:t xml:space="preserve"> decision:</w:t>
            </w:r>
          </w:p>
        </w:tc>
        <w:tc>
          <w:tcPr>
            <w:tcW w:w="3969" w:type="dxa"/>
            <w:vAlign w:val="bottom"/>
          </w:tcPr>
          <w:p w:rsidR="00AD2038" w:rsidRPr="000A1EDD" w:rsidRDefault="00B75748" w:rsidP="00B75748">
            <w:pPr>
              <w:pStyle w:val="SingleTxtG"/>
              <w:ind w:left="0" w:right="0"/>
              <w:jc w:val="left"/>
              <w:rPr>
                <w:rFonts w:asciiTheme="majorBidi" w:hAnsiTheme="majorBidi" w:cstheme="majorBidi"/>
              </w:rPr>
            </w:pPr>
            <w:r w:rsidRPr="000A1EDD">
              <w:rPr>
                <w:rFonts w:asciiTheme="majorBidi" w:hAnsiTheme="majorBidi" w:cstheme="majorBidi"/>
              </w:rPr>
              <w:t>5 August</w:t>
            </w:r>
            <w:r w:rsidR="002A0256" w:rsidRPr="000A1EDD">
              <w:rPr>
                <w:rFonts w:asciiTheme="majorBidi" w:hAnsiTheme="majorBidi" w:cstheme="majorBidi"/>
              </w:rPr>
              <w:t xml:space="preserve"> 2016</w:t>
            </w:r>
          </w:p>
        </w:tc>
      </w:tr>
      <w:tr w:rsidR="00AD2038" w:rsidRPr="000A1EDD" w:rsidTr="000A1EDD">
        <w:tc>
          <w:tcPr>
            <w:tcW w:w="3402" w:type="dxa"/>
          </w:tcPr>
          <w:p w:rsidR="00AD2038" w:rsidRPr="000A1EDD" w:rsidRDefault="00AD2038" w:rsidP="00117576">
            <w:pPr>
              <w:pStyle w:val="SingleTxtG"/>
              <w:ind w:left="0" w:right="0"/>
              <w:jc w:val="left"/>
              <w:rPr>
                <w:rFonts w:asciiTheme="majorBidi" w:hAnsiTheme="majorBidi" w:cstheme="majorBidi"/>
                <w:i/>
              </w:rPr>
            </w:pPr>
            <w:r w:rsidRPr="000A1EDD">
              <w:rPr>
                <w:rFonts w:asciiTheme="majorBidi" w:hAnsiTheme="majorBidi" w:cstheme="majorBidi"/>
                <w:i/>
                <w:iCs/>
              </w:rPr>
              <w:t>Subject matter:</w:t>
            </w:r>
          </w:p>
        </w:tc>
        <w:tc>
          <w:tcPr>
            <w:tcW w:w="3969" w:type="dxa"/>
          </w:tcPr>
          <w:p w:rsidR="00AD2038" w:rsidRPr="000A1EDD" w:rsidRDefault="00B35EB4" w:rsidP="006354B9">
            <w:pPr>
              <w:pStyle w:val="SingleTxtG"/>
              <w:ind w:left="0" w:right="0"/>
              <w:jc w:val="left"/>
              <w:rPr>
                <w:rFonts w:asciiTheme="majorBidi" w:hAnsiTheme="majorBidi" w:cstheme="majorBidi"/>
              </w:rPr>
            </w:pPr>
            <w:r w:rsidRPr="000A1EDD">
              <w:rPr>
                <w:rFonts w:asciiTheme="majorBidi" w:hAnsiTheme="majorBidi" w:cstheme="majorBidi"/>
              </w:rPr>
              <w:t>Deportation to Bangladesh</w:t>
            </w:r>
            <w:r w:rsidR="003C002F" w:rsidRPr="000A1EDD">
              <w:rPr>
                <w:rFonts w:asciiTheme="majorBidi" w:hAnsiTheme="majorBidi" w:cstheme="majorBidi"/>
                <w:snapToGrid w:val="0"/>
                <w:color w:val="FF0000"/>
              </w:rPr>
              <w:t xml:space="preserve"> </w:t>
            </w:r>
          </w:p>
        </w:tc>
      </w:tr>
      <w:tr w:rsidR="00EE6527" w:rsidRPr="000A1EDD" w:rsidTr="000A1EDD">
        <w:tc>
          <w:tcPr>
            <w:tcW w:w="3402" w:type="dxa"/>
          </w:tcPr>
          <w:p w:rsidR="00EE6527" w:rsidRPr="000A1EDD" w:rsidRDefault="00EE6527" w:rsidP="007A580E">
            <w:pPr>
              <w:pStyle w:val="SingleTxtG"/>
              <w:ind w:left="0" w:right="0"/>
              <w:jc w:val="left"/>
              <w:rPr>
                <w:rFonts w:asciiTheme="majorBidi" w:hAnsiTheme="majorBidi" w:cstheme="majorBidi"/>
                <w:i/>
                <w:iCs/>
              </w:rPr>
            </w:pPr>
            <w:r w:rsidRPr="000A1EDD">
              <w:rPr>
                <w:rFonts w:asciiTheme="majorBidi" w:hAnsiTheme="majorBidi" w:cstheme="majorBidi"/>
                <w:i/>
                <w:iCs/>
              </w:rPr>
              <w:t>Procedural issues</w:t>
            </w:r>
            <w:r w:rsidRPr="000A1EDD">
              <w:rPr>
                <w:rFonts w:asciiTheme="majorBidi" w:hAnsiTheme="majorBidi" w:cstheme="majorBidi"/>
                <w:i/>
              </w:rPr>
              <w:t>:</w:t>
            </w:r>
          </w:p>
        </w:tc>
        <w:tc>
          <w:tcPr>
            <w:tcW w:w="3969" w:type="dxa"/>
          </w:tcPr>
          <w:p w:rsidR="00EE6527" w:rsidRPr="000A1EDD" w:rsidRDefault="00EE6527" w:rsidP="00E525C2">
            <w:pPr>
              <w:pStyle w:val="SingleTxtG"/>
              <w:ind w:left="0" w:right="0"/>
              <w:jc w:val="left"/>
              <w:rPr>
                <w:rFonts w:asciiTheme="majorBidi" w:hAnsiTheme="majorBidi" w:cstheme="majorBidi"/>
                <w:kern w:val="3"/>
                <w:lang w:eastAsia="zh-CN"/>
              </w:rPr>
            </w:pPr>
            <w:r w:rsidRPr="000A1EDD">
              <w:rPr>
                <w:rFonts w:asciiTheme="majorBidi" w:hAnsiTheme="majorBidi" w:cstheme="majorBidi"/>
              </w:rPr>
              <w:t>Examination by another procedure of international investigation or settlement</w:t>
            </w:r>
            <w:r w:rsidRPr="000A1EDD">
              <w:rPr>
                <w:rFonts w:asciiTheme="majorBidi" w:hAnsiTheme="majorBidi" w:cstheme="majorBidi"/>
                <w:snapToGrid w:val="0"/>
              </w:rPr>
              <w:t xml:space="preserve">; </w:t>
            </w:r>
            <w:r w:rsidR="00005327" w:rsidRPr="000A1EDD">
              <w:rPr>
                <w:rFonts w:asciiTheme="majorBidi" w:hAnsiTheme="majorBidi" w:cstheme="majorBidi"/>
                <w:snapToGrid w:val="0"/>
              </w:rPr>
              <w:br/>
            </w:r>
            <w:r w:rsidRPr="000A1EDD">
              <w:rPr>
                <w:rFonts w:asciiTheme="majorBidi" w:hAnsiTheme="majorBidi" w:cstheme="majorBidi"/>
                <w:snapToGrid w:val="0"/>
              </w:rPr>
              <w:t>l</w:t>
            </w:r>
            <w:r w:rsidRPr="000A1EDD">
              <w:rPr>
                <w:rFonts w:asciiTheme="majorBidi" w:hAnsiTheme="majorBidi" w:cstheme="majorBidi"/>
                <w:kern w:val="3"/>
                <w:lang w:eastAsia="zh-CN"/>
              </w:rPr>
              <w:t>evel of substantiation of claims</w:t>
            </w:r>
          </w:p>
        </w:tc>
      </w:tr>
      <w:tr w:rsidR="00EE6527" w:rsidRPr="000A1EDD" w:rsidTr="000A1EDD">
        <w:tc>
          <w:tcPr>
            <w:tcW w:w="3402" w:type="dxa"/>
          </w:tcPr>
          <w:p w:rsidR="00EE6527" w:rsidRPr="000A1EDD" w:rsidRDefault="00EE6527" w:rsidP="007A580E">
            <w:pPr>
              <w:pStyle w:val="SingleTxtG"/>
              <w:ind w:left="0" w:right="0"/>
              <w:jc w:val="left"/>
              <w:rPr>
                <w:rFonts w:asciiTheme="majorBidi" w:hAnsiTheme="majorBidi" w:cstheme="majorBidi"/>
                <w:i/>
                <w:iCs/>
              </w:rPr>
            </w:pPr>
            <w:r w:rsidRPr="000A1EDD">
              <w:rPr>
                <w:rFonts w:asciiTheme="majorBidi" w:hAnsiTheme="majorBidi" w:cstheme="majorBidi"/>
                <w:i/>
                <w:iCs/>
              </w:rPr>
              <w:t>Substantive issues:</w:t>
            </w:r>
          </w:p>
        </w:tc>
        <w:tc>
          <w:tcPr>
            <w:tcW w:w="3969" w:type="dxa"/>
          </w:tcPr>
          <w:p w:rsidR="00EE6527" w:rsidRPr="000A1EDD" w:rsidRDefault="00EE6527" w:rsidP="00E525C2">
            <w:pPr>
              <w:pStyle w:val="SingleTxtG"/>
              <w:ind w:left="0" w:right="0"/>
              <w:jc w:val="left"/>
              <w:rPr>
                <w:rFonts w:asciiTheme="majorBidi" w:hAnsiTheme="majorBidi" w:cstheme="majorBidi"/>
              </w:rPr>
            </w:pPr>
            <w:r w:rsidRPr="000A1EDD">
              <w:rPr>
                <w:rFonts w:asciiTheme="majorBidi" w:hAnsiTheme="majorBidi" w:cstheme="majorBidi"/>
                <w:kern w:val="3"/>
                <w:lang w:eastAsia="zh-CN"/>
              </w:rPr>
              <w:t>Risk of torture upon return to the country of</w:t>
            </w:r>
            <w:r w:rsidR="00005327" w:rsidRPr="000A1EDD">
              <w:rPr>
                <w:rFonts w:asciiTheme="majorBidi" w:hAnsiTheme="majorBidi" w:cstheme="majorBidi"/>
                <w:kern w:val="3"/>
                <w:lang w:eastAsia="zh-CN"/>
              </w:rPr>
              <w:t> </w:t>
            </w:r>
            <w:r w:rsidRPr="000A1EDD">
              <w:rPr>
                <w:rFonts w:asciiTheme="majorBidi" w:hAnsiTheme="majorBidi" w:cstheme="majorBidi"/>
                <w:kern w:val="3"/>
                <w:lang w:eastAsia="zh-CN"/>
              </w:rPr>
              <w:t>origin</w:t>
            </w:r>
            <w:r w:rsidRPr="000A1EDD">
              <w:rPr>
                <w:rFonts w:asciiTheme="majorBidi" w:hAnsiTheme="majorBidi" w:cstheme="majorBidi"/>
                <w:snapToGrid w:val="0"/>
                <w:color w:val="FF0000"/>
              </w:rPr>
              <w:t xml:space="preserve"> </w:t>
            </w:r>
          </w:p>
        </w:tc>
      </w:tr>
      <w:tr w:rsidR="00EE6527" w:rsidRPr="000A1EDD" w:rsidTr="000A1EDD">
        <w:tc>
          <w:tcPr>
            <w:tcW w:w="3402" w:type="dxa"/>
          </w:tcPr>
          <w:p w:rsidR="00EE6527" w:rsidRPr="000A1EDD" w:rsidRDefault="00EE6527" w:rsidP="00117576">
            <w:pPr>
              <w:pStyle w:val="SingleTxtG"/>
              <w:spacing w:after="240"/>
              <w:ind w:left="0" w:right="0"/>
              <w:jc w:val="left"/>
              <w:rPr>
                <w:rFonts w:asciiTheme="majorBidi" w:hAnsiTheme="majorBidi" w:cstheme="majorBidi"/>
                <w:i/>
                <w:iCs/>
              </w:rPr>
            </w:pPr>
            <w:r w:rsidRPr="000A1EDD">
              <w:rPr>
                <w:rFonts w:asciiTheme="majorBidi" w:hAnsiTheme="majorBidi" w:cstheme="majorBidi"/>
                <w:i/>
                <w:iCs/>
              </w:rPr>
              <w:t>Articles of the Convention</w:t>
            </w:r>
            <w:r w:rsidRPr="000A1EDD">
              <w:rPr>
                <w:rFonts w:asciiTheme="majorBidi" w:hAnsiTheme="majorBidi" w:cstheme="majorBidi"/>
                <w:i/>
              </w:rPr>
              <w:t>:</w:t>
            </w:r>
          </w:p>
        </w:tc>
        <w:tc>
          <w:tcPr>
            <w:tcW w:w="3969" w:type="dxa"/>
          </w:tcPr>
          <w:p w:rsidR="00EE6527" w:rsidRPr="000A1EDD" w:rsidRDefault="00EE6527" w:rsidP="009A127B">
            <w:pPr>
              <w:pStyle w:val="SingleTxtG"/>
              <w:spacing w:after="240"/>
              <w:ind w:left="0" w:right="0"/>
              <w:jc w:val="left"/>
              <w:rPr>
                <w:rFonts w:asciiTheme="majorBidi" w:hAnsiTheme="majorBidi" w:cstheme="majorBidi"/>
              </w:rPr>
            </w:pPr>
            <w:r w:rsidRPr="000A1EDD">
              <w:rPr>
                <w:rFonts w:asciiTheme="majorBidi" w:hAnsiTheme="majorBidi" w:cstheme="majorBidi"/>
              </w:rPr>
              <w:t>3 and 22</w:t>
            </w:r>
          </w:p>
        </w:tc>
      </w:tr>
    </w:tbl>
    <w:p w:rsidR="007821E7" w:rsidRPr="000A1EDD" w:rsidRDefault="004C7ED7" w:rsidP="000A1EDD">
      <w:pPr>
        <w:pStyle w:val="SingleTxtG"/>
        <w:rPr>
          <w:rFonts w:asciiTheme="majorBidi" w:hAnsiTheme="majorBidi" w:cstheme="majorBidi"/>
          <w:snapToGrid w:val="0"/>
        </w:rPr>
      </w:pPr>
      <w:r w:rsidRPr="000A1EDD">
        <w:rPr>
          <w:rFonts w:asciiTheme="majorBidi" w:hAnsiTheme="majorBidi" w:cstheme="majorBidi"/>
        </w:rPr>
        <w:br w:type="page"/>
      </w:r>
    </w:p>
    <w:p w:rsidR="00323432" w:rsidRPr="000A1EDD" w:rsidRDefault="00323432" w:rsidP="002B57C8">
      <w:pPr>
        <w:pStyle w:val="SingleTxtG"/>
        <w:rPr>
          <w:rFonts w:asciiTheme="majorBidi" w:hAnsiTheme="majorBidi" w:cstheme="majorBidi"/>
        </w:rPr>
      </w:pPr>
      <w:r w:rsidRPr="000A1EDD">
        <w:rPr>
          <w:rFonts w:asciiTheme="majorBidi" w:hAnsiTheme="majorBidi" w:cstheme="majorBidi"/>
        </w:rPr>
        <w:lastRenderedPageBreak/>
        <w:t>1.1</w:t>
      </w:r>
      <w:r w:rsidRPr="000A1EDD">
        <w:rPr>
          <w:rFonts w:asciiTheme="majorBidi" w:hAnsiTheme="majorBidi" w:cstheme="majorBidi"/>
        </w:rPr>
        <w:tab/>
        <w:t>The complain</w:t>
      </w:r>
      <w:r w:rsidR="002330D9" w:rsidRPr="000A1EDD">
        <w:rPr>
          <w:rFonts w:asciiTheme="majorBidi" w:hAnsiTheme="majorBidi" w:cstheme="majorBidi"/>
        </w:rPr>
        <w:t>ant</w:t>
      </w:r>
      <w:r w:rsidRPr="000A1EDD">
        <w:rPr>
          <w:rFonts w:asciiTheme="majorBidi" w:hAnsiTheme="majorBidi" w:cstheme="majorBidi"/>
        </w:rPr>
        <w:t xml:space="preserve"> is H</w:t>
      </w:r>
      <w:r w:rsidR="002330D9" w:rsidRPr="000A1EDD">
        <w:rPr>
          <w:rFonts w:asciiTheme="majorBidi" w:hAnsiTheme="majorBidi" w:cstheme="majorBidi"/>
        </w:rPr>
        <w:t>.,</w:t>
      </w:r>
      <w:r w:rsidRPr="000A1EDD">
        <w:rPr>
          <w:rFonts w:asciiTheme="majorBidi" w:hAnsiTheme="majorBidi" w:cstheme="majorBidi"/>
        </w:rPr>
        <w:t xml:space="preserve"> a </w:t>
      </w:r>
      <w:r w:rsidR="002330D9" w:rsidRPr="000A1EDD">
        <w:rPr>
          <w:rFonts w:asciiTheme="majorBidi" w:hAnsiTheme="majorBidi" w:cstheme="majorBidi"/>
        </w:rPr>
        <w:t xml:space="preserve">national of </w:t>
      </w:r>
      <w:r w:rsidRPr="000A1EDD">
        <w:rPr>
          <w:rFonts w:asciiTheme="majorBidi" w:hAnsiTheme="majorBidi" w:cstheme="majorBidi"/>
        </w:rPr>
        <w:t xml:space="preserve">Bangladesh born in 1984. </w:t>
      </w:r>
      <w:r w:rsidR="007A580E" w:rsidRPr="000A1EDD">
        <w:rPr>
          <w:rFonts w:asciiTheme="majorBidi" w:hAnsiTheme="majorBidi" w:cstheme="majorBidi"/>
        </w:rPr>
        <w:t xml:space="preserve">He sought asylum in Sweden but his application was rejected. </w:t>
      </w:r>
      <w:r w:rsidRPr="000A1EDD">
        <w:rPr>
          <w:rFonts w:asciiTheme="majorBidi" w:hAnsiTheme="majorBidi" w:cstheme="majorBidi"/>
        </w:rPr>
        <w:t>He claims that his deportation to Bangladesh would constitute a violation by Sweden of his rights guaranteed under article 3 of the Convention</w:t>
      </w:r>
      <w:r w:rsidR="002330D9" w:rsidRPr="000A1EDD">
        <w:rPr>
          <w:rFonts w:asciiTheme="majorBidi" w:hAnsiTheme="majorBidi" w:cstheme="majorBidi"/>
        </w:rPr>
        <w:t>.</w:t>
      </w:r>
      <w:r w:rsidRPr="000A1EDD">
        <w:rPr>
          <w:rFonts w:asciiTheme="majorBidi" w:hAnsiTheme="majorBidi" w:cstheme="majorBidi"/>
        </w:rPr>
        <w:t xml:space="preserve"> The Convention came into force for Sweden on </w:t>
      </w:r>
      <w:r w:rsidR="007A580E" w:rsidRPr="000A1EDD">
        <w:rPr>
          <w:rFonts w:asciiTheme="majorBidi" w:hAnsiTheme="majorBidi" w:cstheme="majorBidi"/>
        </w:rPr>
        <w:t>26 June 1987</w:t>
      </w:r>
      <w:r w:rsidRPr="000A1EDD">
        <w:rPr>
          <w:rFonts w:asciiTheme="majorBidi" w:hAnsiTheme="majorBidi" w:cstheme="majorBidi"/>
        </w:rPr>
        <w:t xml:space="preserve"> and Sweden</w:t>
      </w:r>
      <w:r w:rsidR="007A580E" w:rsidRPr="000A1EDD">
        <w:rPr>
          <w:rFonts w:asciiTheme="majorBidi" w:hAnsiTheme="majorBidi" w:cstheme="majorBidi"/>
        </w:rPr>
        <w:t xml:space="preserve"> has</w:t>
      </w:r>
      <w:r w:rsidRPr="000A1EDD">
        <w:rPr>
          <w:rFonts w:asciiTheme="majorBidi" w:hAnsiTheme="majorBidi" w:cstheme="majorBidi"/>
        </w:rPr>
        <w:t xml:space="preserve"> made the declaration under article 22 of the Convention. The </w:t>
      </w:r>
      <w:r w:rsidR="002330D9" w:rsidRPr="000A1EDD">
        <w:rPr>
          <w:rFonts w:asciiTheme="majorBidi" w:hAnsiTheme="majorBidi" w:cstheme="majorBidi"/>
        </w:rPr>
        <w:t xml:space="preserve">author </w:t>
      </w:r>
      <w:r w:rsidRPr="000A1EDD">
        <w:rPr>
          <w:rFonts w:asciiTheme="majorBidi" w:hAnsiTheme="majorBidi" w:cstheme="majorBidi"/>
        </w:rPr>
        <w:t>is represented by counsel.</w:t>
      </w:r>
    </w:p>
    <w:p w:rsidR="00323432" w:rsidRPr="000A1EDD" w:rsidRDefault="00323432" w:rsidP="002B57C8">
      <w:pPr>
        <w:pStyle w:val="SingleTxtG"/>
        <w:rPr>
          <w:rFonts w:asciiTheme="majorBidi" w:hAnsiTheme="majorBidi" w:cstheme="majorBidi"/>
        </w:rPr>
      </w:pPr>
      <w:r w:rsidRPr="000A1EDD">
        <w:rPr>
          <w:rFonts w:asciiTheme="majorBidi" w:hAnsiTheme="majorBidi" w:cstheme="majorBidi"/>
        </w:rPr>
        <w:t>1.2</w:t>
      </w:r>
      <w:r w:rsidRPr="000A1EDD">
        <w:rPr>
          <w:rFonts w:asciiTheme="majorBidi" w:hAnsiTheme="majorBidi" w:cstheme="majorBidi"/>
        </w:rPr>
        <w:tab/>
      </w:r>
      <w:r w:rsidRPr="000A1EDD">
        <w:rPr>
          <w:rFonts w:asciiTheme="majorBidi" w:hAnsiTheme="majorBidi" w:cstheme="majorBidi"/>
          <w:lang w:val="en-US"/>
        </w:rPr>
        <w:t xml:space="preserve">On 5 September 2014, </w:t>
      </w:r>
      <w:r w:rsidRPr="000A1EDD">
        <w:rPr>
          <w:rFonts w:asciiTheme="majorBidi" w:hAnsiTheme="majorBidi" w:cstheme="majorBidi"/>
        </w:rPr>
        <w:t xml:space="preserve">the Committee, acting through its Rapporteur on new complaints and interim measures, requested the State party </w:t>
      </w:r>
      <w:r w:rsidR="007A580E" w:rsidRPr="000A1EDD">
        <w:rPr>
          <w:rFonts w:asciiTheme="majorBidi" w:hAnsiTheme="majorBidi" w:cstheme="majorBidi"/>
        </w:rPr>
        <w:t xml:space="preserve">not </w:t>
      </w:r>
      <w:r w:rsidRPr="000A1EDD">
        <w:rPr>
          <w:rFonts w:asciiTheme="majorBidi" w:hAnsiTheme="majorBidi" w:cstheme="majorBidi"/>
        </w:rPr>
        <w:t xml:space="preserve">to expel the complainant while his complaint was being considered by the Committee. </w:t>
      </w:r>
    </w:p>
    <w:p w:rsidR="007821E7" w:rsidRPr="000A1EDD" w:rsidRDefault="007821E7" w:rsidP="00AD3171">
      <w:pPr>
        <w:pStyle w:val="H23G"/>
        <w:ind w:right="567"/>
        <w:jc w:val="both"/>
        <w:rPr>
          <w:rFonts w:asciiTheme="majorBidi" w:hAnsiTheme="majorBidi" w:cstheme="majorBidi"/>
          <w:snapToGrid w:val="0"/>
        </w:rPr>
      </w:pPr>
      <w:r w:rsidRPr="000A1EDD">
        <w:rPr>
          <w:rFonts w:asciiTheme="majorBidi" w:hAnsiTheme="majorBidi" w:cstheme="majorBidi"/>
          <w:snapToGrid w:val="0"/>
        </w:rPr>
        <w:tab/>
      </w:r>
      <w:r w:rsidRPr="000A1EDD">
        <w:rPr>
          <w:rFonts w:asciiTheme="majorBidi" w:hAnsiTheme="majorBidi" w:cstheme="majorBidi"/>
          <w:snapToGrid w:val="0"/>
        </w:rPr>
        <w:tab/>
      </w:r>
      <w:r w:rsidR="0041380F" w:rsidRPr="000A1EDD">
        <w:rPr>
          <w:rFonts w:asciiTheme="majorBidi" w:hAnsiTheme="majorBidi" w:cstheme="majorBidi"/>
          <w:snapToGrid w:val="0"/>
        </w:rPr>
        <w:t>F</w:t>
      </w:r>
      <w:r w:rsidRPr="000A1EDD">
        <w:rPr>
          <w:rFonts w:asciiTheme="majorBidi" w:hAnsiTheme="majorBidi" w:cstheme="majorBidi"/>
          <w:snapToGrid w:val="0"/>
        </w:rPr>
        <w:t>acts as pre</w:t>
      </w:r>
      <w:r w:rsidR="003A48CB" w:rsidRPr="000A1EDD">
        <w:rPr>
          <w:rFonts w:asciiTheme="majorBidi" w:hAnsiTheme="majorBidi" w:cstheme="majorBidi"/>
          <w:snapToGrid w:val="0"/>
        </w:rPr>
        <w:t>sented by the complainant</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t>2.1</w:t>
      </w:r>
      <w:r w:rsidRPr="000A1EDD">
        <w:rPr>
          <w:rFonts w:asciiTheme="majorBidi" w:hAnsiTheme="majorBidi" w:cstheme="majorBidi"/>
        </w:rPr>
        <w:tab/>
        <w:t xml:space="preserve"> The complainant grew up in </w:t>
      </w:r>
      <w:r w:rsidR="002330D9" w:rsidRPr="000A1EDD">
        <w:rPr>
          <w:rFonts w:asciiTheme="majorBidi" w:hAnsiTheme="majorBidi" w:cstheme="majorBidi"/>
        </w:rPr>
        <w:t>a</w:t>
      </w:r>
      <w:r w:rsidRPr="000A1EDD">
        <w:rPr>
          <w:rFonts w:asciiTheme="majorBidi" w:hAnsiTheme="majorBidi" w:cstheme="majorBidi"/>
        </w:rPr>
        <w:t xml:space="preserve"> village in the Feni District in Bangladesh. He lived there until 2005 with his parents, two sisters and two brothers. </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t>2.2</w:t>
      </w:r>
      <w:r w:rsidRPr="000A1EDD">
        <w:rPr>
          <w:rFonts w:asciiTheme="majorBidi" w:hAnsiTheme="majorBidi" w:cstheme="majorBidi"/>
        </w:rPr>
        <w:tab/>
        <w:t>Since a young age, the complainant has been an active member of the political party Jamaat-e-Islami and its student organization Islam Chatra Shibir. Jamaat-e-Islami is the largest Islamic party in Bangladesh</w:t>
      </w:r>
      <w:r w:rsidR="00241654" w:rsidRPr="000A1EDD">
        <w:rPr>
          <w:rFonts w:asciiTheme="majorBidi" w:hAnsiTheme="majorBidi" w:cstheme="majorBidi"/>
        </w:rPr>
        <w:t xml:space="preserve">, </w:t>
      </w:r>
      <w:r w:rsidRPr="000A1EDD">
        <w:rPr>
          <w:rFonts w:asciiTheme="majorBidi" w:hAnsiTheme="majorBidi" w:cstheme="majorBidi"/>
        </w:rPr>
        <w:t>advocat</w:t>
      </w:r>
      <w:r w:rsidR="00241654" w:rsidRPr="000A1EDD">
        <w:rPr>
          <w:rFonts w:asciiTheme="majorBidi" w:hAnsiTheme="majorBidi" w:cstheme="majorBidi"/>
        </w:rPr>
        <w:t>ing</w:t>
      </w:r>
      <w:r w:rsidRPr="000A1EDD">
        <w:rPr>
          <w:rFonts w:asciiTheme="majorBidi" w:hAnsiTheme="majorBidi" w:cstheme="majorBidi"/>
        </w:rPr>
        <w:t xml:space="preserve"> for governance in line with the </w:t>
      </w:r>
      <w:r w:rsidR="00BB1580" w:rsidRPr="000A1EDD">
        <w:rPr>
          <w:rFonts w:asciiTheme="majorBidi" w:hAnsiTheme="majorBidi" w:cstheme="majorBidi"/>
        </w:rPr>
        <w:t>Koran</w:t>
      </w:r>
      <w:r w:rsidRPr="000A1EDD">
        <w:rPr>
          <w:rFonts w:asciiTheme="majorBidi" w:hAnsiTheme="majorBidi" w:cstheme="majorBidi"/>
        </w:rPr>
        <w:t xml:space="preserve">. Since 1 August 2013, the party has been prohibited from taking part in national elections. As an active member, the author </w:t>
      </w:r>
      <w:r w:rsidR="00241654" w:rsidRPr="000A1EDD">
        <w:rPr>
          <w:rFonts w:asciiTheme="majorBidi" w:hAnsiTheme="majorBidi" w:cstheme="majorBidi"/>
        </w:rPr>
        <w:t xml:space="preserve">was </w:t>
      </w:r>
      <w:r w:rsidRPr="000A1EDD">
        <w:rPr>
          <w:rFonts w:asciiTheme="majorBidi" w:hAnsiTheme="majorBidi" w:cstheme="majorBidi"/>
        </w:rPr>
        <w:t>distributing flyers and recruiting members. H</w:t>
      </w:r>
      <w:r w:rsidR="00241654" w:rsidRPr="000A1EDD">
        <w:rPr>
          <w:rFonts w:asciiTheme="majorBidi" w:hAnsiTheme="majorBidi" w:cstheme="majorBidi"/>
        </w:rPr>
        <w:t xml:space="preserve">e became </w:t>
      </w:r>
      <w:r w:rsidRPr="000A1EDD">
        <w:rPr>
          <w:rFonts w:asciiTheme="majorBidi" w:hAnsiTheme="majorBidi" w:cstheme="majorBidi"/>
        </w:rPr>
        <w:t>a well-known local representative for the party</w:t>
      </w:r>
      <w:r w:rsidR="00B75748" w:rsidRPr="000A1EDD">
        <w:rPr>
          <w:rFonts w:asciiTheme="majorBidi" w:hAnsiTheme="majorBidi" w:cstheme="majorBidi"/>
        </w:rPr>
        <w:t xml:space="preserve"> and </w:t>
      </w:r>
      <w:r w:rsidRPr="000A1EDD">
        <w:rPr>
          <w:rFonts w:asciiTheme="majorBidi" w:hAnsiTheme="majorBidi" w:cstheme="majorBidi"/>
        </w:rPr>
        <w:t xml:space="preserve">secretary to the vice-president of the local Jamaat-e-Islami branch. Because of his popularity and influence, the complainant was predicted to become an important </w:t>
      </w:r>
      <w:r w:rsidR="00241654" w:rsidRPr="000A1EDD">
        <w:rPr>
          <w:rFonts w:asciiTheme="majorBidi" w:hAnsiTheme="majorBidi" w:cstheme="majorBidi"/>
        </w:rPr>
        <w:t xml:space="preserve">party </w:t>
      </w:r>
      <w:r w:rsidRPr="000A1EDD">
        <w:rPr>
          <w:rFonts w:asciiTheme="majorBidi" w:hAnsiTheme="majorBidi" w:cstheme="majorBidi"/>
        </w:rPr>
        <w:t xml:space="preserve">leader. </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t>2.3</w:t>
      </w:r>
      <w:r w:rsidRPr="000A1EDD">
        <w:rPr>
          <w:rFonts w:asciiTheme="majorBidi" w:hAnsiTheme="majorBidi" w:cstheme="majorBidi"/>
        </w:rPr>
        <w:tab/>
      </w:r>
      <w:r w:rsidR="00C5762B" w:rsidRPr="000A1EDD">
        <w:rPr>
          <w:rFonts w:asciiTheme="majorBidi" w:hAnsiTheme="majorBidi" w:cstheme="majorBidi"/>
        </w:rPr>
        <w:t>T</w:t>
      </w:r>
      <w:r w:rsidRPr="000A1EDD">
        <w:rPr>
          <w:rFonts w:asciiTheme="majorBidi" w:hAnsiTheme="majorBidi" w:cstheme="majorBidi"/>
        </w:rPr>
        <w:t>he complainant bec</w:t>
      </w:r>
      <w:r w:rsidR="00241654" w:rsidRPr="000A1EDD">
        <w:rPr>
          <w:rFonts w:asciiTheme="majorBidi" w:hAnsiTheme="majorBidi" w:cstheme="majorBidi"/>
        </w:rPr>
        <w:t>a</w:t>
      </w:r>
      <w:r w:rsidRPr="000A1EDD">
        <w:rPr>
          <w:rFonts w:asciiTheme="majorBidi" w:hAnsiTheme="majorBidi" w:cstheme="majorBidi"/>
        </w:rPr>
        <w:t xml:space="preserve">me the target of several letters against his life. Each letter was addressed to </w:t>
      </w:r>
      <w:r w:rsidR="00C5762B" w:rsidRPr="000A1EDD">
        <w:rPr>
          <w:rFonts w:asciiTheme="majorBidi" w:hAnsiTheme="majorBidi" w:cstheme="majorBidi"/>
        </w:rPr>
        <w:t>“</w:t>
      </w:r>
      <w:r w:rsidRPr="000A1EDD">
        <w:rPr>
          <w:rFonts w:asciiTheme="majorBidi" w:hAnsiTheme="majorBidi" w:cstheme="majorBidi"/>
        </w:rPr>
        <w:t>his business</w:t>
      </w:r>
      <w:r w:rsidR="00C5762B" w:rsidRPr="000A1EDD">
        <w:rPr>
          <w:rFonts w:asciiTheme="majorBidi" w:hAnsiTheme="majorBidi" w:cstheme="majorBidi"/>
        </w:rPr>
        <w:t>”</w:t>
      </w:r>
      <w:r w:rsidR="00241654" w:rsidRPr="000A1EDD">
        <w:rPr>
          <w:rFonts w:asciiTheme="majorBidi" w:hAnsiTheme="majorBidi" w:cstheme="majorBidi"/>
        </w:rPr>
        <w:t>, with no sender mentioned</w:t>
      </w:r>
      <w:r w:rsidRPr="000A1EDD">
        <w:rPr>
          <w:rFonts w:asciiTheme="majorBidi" w:hAnsiTheme="majorBidi" w:cstheme="majorBidi"/>
        </w:rPr>
        <w:t>. The letters stated that if he did</w:t>
      </w:r>
      <w:r w:rsidR="00EE6527" w:rsidRPr="000A1EDD">
        <w:rPr>
          <w:rFonts w:asciiTheme="majorBidi" w:hAnsiTheme="majorBidi" w:cstheme="majorBidi"/>
        </w:rPr>
        <w:t xml:space="preserve"> </w:t>
      </w:r>
      <w:r w:rsidRPr="000A1EDD">
        <w:rPr>
          <w:rFonts w:asciiTheme="majorBidi" w:hAnsiTheme="majorBidi" w:cstheme="majorBidi"/>
        </w:rPr>
        <w:t>n</w:t>
      </w:r>
      <w:r w:rsidR="00EE6527" w:rsidRPr="000A1EDD">
        <w:rPr>
          <w:rFonts w:asciiTheme="majorBidi" w:hAnsiTheme="majorBidi" w:cstheme="majorBidi"/>
        </w:rPr>
        <w:t>ot</w:t>
      </w:r>
      <w:r w:rsidRPr="000A1EDD">
        <w:rPr>
          <w:rFonts w:asciiTheme="majorBidi" w:hAnsiTheme="majorBidi" w:cstheme="majorBidi"/>
        </w:rPr>
        <w:t xml:space="preserve"> distance himself from Jamaat-e-Islami and his religious and political work, he would be killed and his business ruined. Because Bangladesh is plagued by widespread political violence, the complainant suspected that the threats </w:t>
      </w:r>
      <w:r w:rsidR="00BE6FC1" w:rsidRPr="000A1EDD">
        <w:rPr>
          <w:rFonts w:asciiTheme="majorBidi" w:hAnsiTheme="majorBidi" w:cstheme="majorBidi"/>
        </w:rPr>
        <w:t xml:space="preserve">came </w:t>
      </w:r>
      <w:r w:rsidRPr="000A1EDD">
        <w:rPr>
          <w:rFonts w:asciiTheme="majorBidi" w:hAnsiTheme="majorBidi" w:cstheme="majorBidi"/>
        </w:rPr>
        <w:t xml:space="preserve">either </w:t>
      </w:r>
      <w:r w:rsidR="00BE6FC1" w:rsidRPr="000A1EDD">
        <w:rPr>
          <w:rFonts w:asciiTheme="majorBidi" w:hAnsiTheme="majorBidi" w:cstheme="majorBidi"/>
        </w:rPr>
        <w:t xml:space="preserve">from </w:t>
      </w:r>
      <w:r w:rsidRPr="000A1EDD">
        <w:rPr>
          <w:rFonts w:asciiTheme="majorBidi" w:hAnsiTheme="majorBidi" w:cstheme="majorBidi"/>
        </w:rPr>
        <w:t>the Bangladesh Nationalist Party or the Awami League</w:t>
      </w:r>
      <w:r w:rsidR="00BE6FC1" w:rsidRPr="000A1EDD">
        <w:rPr>
          <w:rFonts w:asciiTheme="majorBidi" w:hAnsiTheme="majorBidi" w:cstheme="majorBidi"/>
        </w:rPr>
        <w:t xml:space="preserve"> (</w:t>
      </w:r>
      <w:r w:rsidRPr="000A1EDD">
        <w:rPr>
          <w:rFonts w:asciiTheme="majorBidi" w:hAnsiTheme="majorBidi" w:cstheme="majorBidi"/>
        </w:rPr>
        <w:t>the governing party</w:t>
      </w:r>
      <w:r w:rsidR="00BE6FC1" w:rsidRPr="000A1EDD">
        <w:rPr>
          <w:rFonts w:asciiTheme="majorBidi" w:hAnsiTheme="majorBidi" w:cstheme="majorBidi"/>
        </w:rPr>
        <w:t>)</w:t>
      </w:r>
      <w:r w:rsidRPr="000A1EDD">
        <w:rPr>
          <w:rFonts w:asciiTheme="majorBidi" w:hAnsiTheme="majorBidi" w:cstheme="majorBidi"/>
        </w:rPr>
        <w:t xml:space="preserve">. The complainant </w:t>
      </w:r>
      <w:r w:rsidR="00BE6FC1" w:rsidRPr="000A1EDD">
        <w:rPr>
          <w:rFonts w:asciiTheme="majorBidi" w:hAnsiTheme="majorBidi" w:cstheme="majorBidi"/>
        </w:rPr>
        <w:t xml:space="preserve">sought </w:t>
      </w:r>
      <w:r w:rsidRPr="000A1EDD">
        <w:rPr>
          <w:rFonts w:asciiTheme="majorBidi" w:hAnsiTheme="majorBidi" w:cstheme="majorBidi"/>
        </w:rPr>
        <w:t>the</w:t>
      </w:r>
      <w:r w:rsidR="00BB1580" w:rsidRPr="000A1EDD">
        <w:rPr>
          <w:rFonts w:asciiTheme="majorBidi" w:hAnsiTheme="majorBidi" w:cstheme="majorBidi"/>
        </w:rPr>
        <w:t xml:space="preserve"> help of the</w:t>
      </w:r>
      <w:r w:rsidRPr="000A1EDD">
        <w:rPr>
          <w:rFonts w:asciiTheme="majorBidi" w:hAnsiTheme="majorBidi" w:cstheme="majorBidi"/>
        </w:rPr>
        <w:t xml:space="preserve"> authorities</w:t>
      </w:r>
      <w:r w:rsidR="00BB1580" w:rsidRPr="000A1EDD">
        <w:rPr>
          <w:rFonts w:asciiTheme="majorBidi" w:hAnsiTheme="majorBidi" w:cstheme="majorBidi"/>
        </w:rPr>
        <w:t xml:space="preserve"> in vain.</w:t>
      </w:r>
      <w:r w:rsidRPr="000A1EDD">
        <w:rPr>
          <w:rFonts w:asciiTheme="majorBidi" w:hAnsiTheme="majorBidi" w:cstheme="majorBidi"/>
        </w:rPr>
        <w:t xml:space="preserve"> </w:t>
      </w:r>
      <w:r w:rsidR="00BE6FC1" w:rsidRPr="000A1EDD">
        <w:rPr>
          <w:rFonts w:asciiTheme="majorBidi" w:hAnsiTheme="majorBidi" w:cstheme="majorBidi"/>
        </w:rPr>
        <w:t xml:space="preserve">He </w:t>
      </w:r>
      <w:r w:rsidRPr="000A1EDD">
        <w:rPr>
          <w:rFonts w:asciiTheme="majorBidi" w:hAnsiTheme="majorBidi" w:cstheme="majorBidi"/>
        </w:rPr>
        <w:t>stresses that the governing party in Bangladesh systematically uses the authorities to hinder and harass political opponents.</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t>2.4</w:t>
      </w:r>
      <w:r w:rsidRPr="000A1EDD">
        <w:rPr>
          <w:rFonts w:asciiTheme="majorBidi" w:hAnsiTheme="majorBidi" w:cstheme="majorBidi"/>
        </w:rPr>
        <w:tab/>
      </w:r>
      <w:r w:rsidR="00BE6FC1" w:rsidRPr="000A1EDD">
        <w:rPr>
          <w:rFonts w:asciiTheme="majorBidi" w:hAnsiTheme="majorBidi" w:cstheme="majorBidi"/>
        </w:rPr>
        <w:t xml:space="preserve">He </w:t>
      </w:r>
      <w:r w:rsidRPr="000A1EDD">
        <w:rPr>
          <w:rFonts w:asciiTheme="majorBidi" w:hAnsiTheme="majorBidi" w:cstheme="majorBidi"/>
        </w:rPr>
        <w:t xml:space="preserve">also contacted other </w:t>
      </w:r>
      <w:r w:rsidR="00344F63" w:rsidRPr="000A1EDD">
        <w:rPr>
          <w:rFonts w:asciiTheme="majorBidi" w:hAnsiTheme="majorBidi" w:cstheme="majorBidi"/>
        </w:rPr>
        <w:t xml:space="preserve">officials of </w:t>
      </w:r>
      <w:r w:rsidRPr="000A1EDD">
        <w:rPr>
          <w:rFonts w:asciiTheme="majorBidi" w:hAnsiTheme="majorBidi" w:cstheme="majorBidi"/>
        </w:rPr>
        <w:t xml:space="preserve">Jamaat-e-Islami to discuss how </w:t>
      </w:r>
      <w:r w:rsidR="00344F63" w:rsidRPr="000A1EDD">
        <w:rPr>
          <w:rFonts w:asciiTheme="majorBidi" w:hAnsiTheme="majorBidi" w:cstheme="majorBidi"/>
        </w:rPr>
        <w:t xml:space="preserve">to </w:t>
      </w:r>
      <w:r w:rsidRPr="000A1EDD">
        <w:rPr>
          <w:rFonts w:asciiTheme="majorBidi" w:hAnsiTheme="majorBidi" w:cstheme="majorBidi"/>
        </w:rPr>
        <w:t xml:space="preserve">respond to the threats. At a meeting held with several high-ranking members it was decided that no violence would be used as a response. </w:t>
      </w:r>
      <w:r w:rsidR="00344F63" w:rsidRPr="000A1EDD">
        <w:rPr>
          <w:rFonts w:asciiTheme="majorBidi" w:hAnsiTheme="majorBidi" w:cstheme="majorBidi"/>
        </w:rPr>
        <w:t>T</w:t>
      </w:r>
      <w:r w:rsidRPr="000A1EDD">
        <w:rPr>
          <w:rFonts w:asciiTheme="majorBidi" w:hAnsiTheme="majorBidi" w:cstheme="majorBidi"/>
        </w:rPr>
        <w:t xml:space="preserve">he complainant refused to be silenced </w:t>
      </w:r>
      <w:r w:rsidR="00344F63" w:rsidRPr="000A1EDD">
        <w:rPr>
          <w:rFonts w:asciiTheme="majorBidi" w:hAnsiTheme="majorBidi" w:cstheme="majorBidi"/>
        </w:rPr>
        <w:t xml:space="preserve">and </w:t>
      </w:r>
      <w:r w:rsidRPr="000A1EDD">
        <w:rPr>
          <w:rFonts w:asciiTheme="majorBidi" w:hAnsiTheme="majorBidi" w:cstheme="majorBidi"/>
        </w:rPr>
        <w:t>continued his religious and political work despite the threats.</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t>2.5</w:t>
      </w:r>
      <w:r w:rsidRPr="000A1EDD">
        <w:rPr>
          <w:rFonts w:asciiTheme="majorBidi" w:hAnsiTheme="majorBidi" w:cstheme="majorBidi"/>
        </w:rPr>
        <w:tab/>
        <w:t xml:space="preserve">In March 2012, about two months after he had received the </w:t>
      </w:r>
      <w:r w:rsidR="00BB1580" w:rsidRPr="000A1EDD">
        <w:rPr>
          <w:rFonts w:asciiTheme="majorBidi" w:hAnsiTheme="majorBidi" w:cstheme="majorBidi"/>
        </w:rPr>
        <w:t xml:space="preserve">most recent </w:t>
      </w:r>
      <w:r w:rsidRPr="000A1EDD">
        <w:rPr>
          <w:rFonts w:asciiTheme="majorBidi" w:hAnsiTheme="majorBidi" w:cstheme="majorBidi"/>
        </w:rPr>
        <w:t xml:space="preserve">threats by letter, the complainant was kidnapped outside his business by five masked </w:t>
      </w:r>
      <w:r w:rsidR="00344F63" w:rsidRPr="000A1EDD">
        <w:rPr>
          <w:rFonts w:asciiTheme="majorBidi" w:hAnsiTheme="majorBidi" w:cstheme="majorBidi"/>
        </w:rPr>
        <w:t xml:space="preserve">individuals and brought </w:t>
      </w:r>
      <w:r w:rsidRPr="000A1EDD">
        <w:rPr>
          <w:rFonts w:asciiTheme="majorBidi" w:hAnsiTheme="majorBidi" w:cstheme="majorBidi"/>
        </w:rPr>
        <w:t xml:space="preserve">to an isolated room. </w:t>
      </w:r>
      <w:r w:rsidR="00344F63" w:rsidRPr="000A1EDD">
        <w:rPr>
          <w:rFonts w:asciiTheme="majorBidi" w:hAnsiTheme="majorBidi" w:cstheme="majorBidi"/>
        </w:rPr>
        <w:t>H</w:t>
      </w:r>
      <w:r w:rsidRPr="000A1EDD">
        <w:rPr>
          <w:rFonts w:asciiTheme="majorBidi" w:hAnsiTheme="majorBidi" w:cstheme="majorBidi"/>
        </w:rPr>
        <w:t xml:space="preserve">e was subjected to severe beatings with iron </w:t>
      </w:r>
      <w:r w:rsidR="00344F63" w:rsidRPr="000A1EDD">
        <w:rPr>
          <w:rFonts w:asciiTheme="majorBidi" w:hAnsiTheme="majorBidi" w:cstheme="majorBidi"/>
        </w:rPr>
        <w:t>tubes</w:t>
      </w:r>
      <w:r w:rsidRPr="000A1EDD">
        <w:rPr>
          <w:rFonts w:asciiTheme="majorBidi" w:hAnsiTheme="majorBidi" w:cstheme="majorBidi"/>
        </w:rPr>
        <w:t xml:space="preserve">, some of them heated, to both his head and body. He was also burned with cigarettes, stabbed with sharp objects and had his Achilles tendon removed. As the kidnappers were torturing him, they asked him questions about his political and religious commitment and his work with Jamaat-e-Islami. They referred to the letters he had received and made clear that he </w:t>
      </w:r>
      <w:r w:rsidR="00344F63" w:rsidRPr="000A1EDD">
        <w:rPr>
          <w:rFonts w:asciiTheme="majorBidi" w:hAnsiTheme="majorBidi" w:cstheme="majorBidi"/>
        </w:rPr>
        <w:t xml:space="preserve">had </w:t>
      </w:r>
      <w:r w:rsidR="00BB1580" w:rsidRPr="000A1EDD">
        <w:rPr>
          <w:rFonts w:asciiTheme="majorBidi" w:hAnsiTheme="majorBidi" w:cstheme="majorBidi"/>
        </w:rPr>
        <w:t xml:space="preserve">to </w:t>
      </w:r>
      <w:r w:rsidRPr="000A1EDD">
        <w:rPr>
          <w:rFonts w:asciiTheme="majorBidi" w:hAnsiTheme="majorBidi" w:cstheme="majorBidi"/>
        </w:rPr>
        <w:t xml:space="preserve">stop his political and religious work. </w:t>
      </w:r>
      <w:r w:rsidR="00BB1580" w:rsidRPr="000A1EDD">
        <w:rPr>
          <w:rFonts w:asciiTheme="majorBidi" w:hAnsiTheme="majorBidi" w:cstheme="majorBidi"/>
        </w:rPr>
        <w:t>H</w:t>
      </w:r>
      <w:r w:rsidRPr="000A1EDD">
        <w:rPr>
          <w:rFonts w:asciiTheme="majorBidi" w:hAnsiTheme="majorBidi" w:cstheme="majorBidi"/>
        </w:rPr>
        <w:t xml:space="preserve">aving subjected </w:t>
      </w:r>
      <w:r w:rsidR="00BB1580" w:rsidRPr="000A1EDD">
        <w:rPr>
          <w:rFonts w:asciiTheme="majorBidi" w:hAnsiTheme="majorBidi" w:cstheme="majorBidi"/>
        </w:rPr>
        <w:t xml:space="preserve">him </w:t>
      </w:r>
      <w:r w:rsidRPr="000A1EDD">
        <w:rPr>
          <w:rFonts w:asciiTheme="majorBidi" w:hAnsiTheme="majorBidi" w:cstheme="majorBidi"/>
        </w:rPr>
        <w:t xml:space="preserve">to severe torture, his kidnappers left him </w:t>
      </w:r>
      <w:r w:rsidR="00344F63" w:rsidRPr="000A1EDD">
        <w:rPr>
          <w:rFonts w:asciiTheme="majorBidi" w:hAnsiTheme="majorBidi" w:cstheme="majorBidi"/>
        </w:rPr>
        <w:t>on</w:t>
      </w:r>
      <w:r w:rsidRPr="000A1EDD">
        <w:rPr>
          <w:rFonts w:asciiTheme="majorBidi" w:hAnsiTheme="majorBidi" w:cstheme="majorBidi"/>
        </w:rPr>
        <w:t xml:space="preserve"> </w:t>
      </w:r>
      <w:r w:rsidR="00344F63" w:rsidRPr="000A1EDD">
        <w:rPr>
          <w:rFonts w:asciiTheme="majorBidi" w:hAnsiTheme="majorBidi" w:cstheme="majorBidi"/>
        </w:rPr>
        <w:t xml:space="preserve">the </w:t>
      </w:r>
      <w:r w:rsidRPr="000A1EDD">
        <w:rPr>
          <w:rFonts w:asciiTheme="majorBidi" w:hAnsiTheme="majorBidi" w:cstheme="majorBidi"/>
        </w:rPr>
        <w:t>street. A</w:t>
      </w:r>
      <w:r w:rsidR="00344F63" w:rsidRPr="000A1EDD">
        <w:rPr>
          <w:rFonts w:asciiTheme="majorBidi" w:hAnsiTheme="majorBidi" w:cstheme="majorBidi"/>
        </w:rPr>
        <w:t>n</w:t>
      </w:r>
      <w:r w:rsidRPr="000A1EDD">
        <w:rPr>
          <w:rFonts w:asciiTheme="majorBidi" w:hAnsiTheme="majorBidi" w:cstheme="majorBidi"/>
        </w:rPr>
        <w:t xml:space="preserve"> unknown </w:t>
      </w:r>
      <w:r w:rsidR="00344F63" w:rsidRPr="000A1EDD">
        <w:rPr>
          <w:rFonts w:asciiTheme="majorBidi" w:hAnsiTheme="majorBidi" w:cstheme="majorBidi"/>
        </w:rPr>
        <w:t xml:space="preserve">person </w:t>
      </w:r>
      <w:r w:rsidRPr="000A1EDD">
        <w:rPr>
          <w:rFonts w:asciiTheme="majorBidi" w:hAnsiTheme="majorBidi" w:cstheme="majorBidi"/>
        </w:rPr>
        <w:t xml:space="preserve">found him and </w:t>
      </w:r>
      <w:r w:rsidR="00344F63" w:rsidRPr="000A1EDD">
        <w:rPr>
          <w:rFonts w:asciiTheme="majorBidi" w:hAnsiTheme="majorBidi" w:cstheme="majorBidi"/>
        </w:rPr>
        <w:t xml:space="preserve">brought him </w:t>
      </w:r>
      <w:r w:rsidR="008B64DC" w:rsidRPr="000A1EDD">
        <w:rPr>
          <w:rFonts w:asciiTheme="majorBidi" w:hAnsiTheme="majorBidi" w:cstheme="majorBidi"/>
        </w:rPr>
        <w:t>to</w:t>
      </w:r>
      <w:r w:rsidRPr="000A1EDD">
        <w:rPr>
          <w:rFonts w:asciiTheme="majorBidi" w:hAnsiTheme="majorBidi" w:cstheme="majorBidi"/>
        </w:rPr>
        <w:t xml:space="preserve"> a nearby hospital. </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t>2.6</w:t>
      </w:r>
      <w:r w:rsidRPr="000A1EDD">
        <w:rPr>
          <w:rFonts w:asciiTheme="majorBidi" w:hAnsiTheme="majorBidi" w:cstheme="majorBidi"/>
        </w:rPr>
        <w:tab/>
        <w:t>After having spent a month in the hospital, the complainant had to leave, despite not having finished his medical treatment</w:t>
      </w:r>
      <w:r w:rsidR="00ED2908" w:rsidRPr="000A1EDD">
        <w:rPr>
          <w:rFonts w:asciiTheme="majorBidi" w:hAnsiTheme="majorBidi" w:cstheme="majorBidi"/>
        </w:rPr>
        <w:t>,</w:t>
      </w:r>
      <w:r w:rsidR="00344F63" w:rsidRPr="000A1EDD">
        <w:rPr>
          <w:rFonts w:asciiTheme="majorBidi" w:hAnsiTheme="majorBidi" w:cstheme="majorBidi"/>
        </w:rPr>
        <w:t xml:space="preserve"> as </w:t>
      </w:r>
      <w:r w:rsidRPr="000A1EDD">
        <w:rPr>
          <w:rFonts w:asciiTheme="majorBidi" w:hAnsiTheme="majorBidi" w:cstheme="majorBidi"/>
        </w:rPr>
        <w:t xml:space="preserve">he feared that his kidnappers or their accomplices would find and hurt him again. After escaping from the hospital, he managed to hide in different locations. However, as he was living with a constant fear of detection, his situation was unbearable. He </w:t>
      </w:r>
      <w:r w:rsidR="00344F63" w:rsidRPr="000A1EDD">
        <w:rPr>
          <w:rFonts w:asciiTheme="majorBidi" w:hAnsiTheme="majorBidi" w:cstheme="majorBidi"/>
        </w:rPr>
        <w:t xml:space="preserve">decided to leave </w:t>
      </w:r>
      <w:r w:rsidRPr="000A1EDD">
        <w:rPr>
          <w:rFonts w:asciiTheme="majorBidi" w:hAnsiTheme="majorBidi" w:cstheme="majorBidi"/>
        </w:rPr>
        <w:t>Bangladesh</w:t>
      </w:r>
      <w:r w:rsidR="00344F63" w:rsidRPr="000A1EDD">
        <w:rPr>
          <w:rFonts w:asciiTheme="majorBidi" w:hAnsiTheme="majorBidi" w:cstheme="majorBidi"/>
        </w:rPr>
        <w:t xml:space="preserve">. He </w:t>
      </w:r>
      <w:r w:rsidRPr="000A1EDD">
        <w:rPr>
          <w:rFonts w:asciiTheme="majorBidi" w:hAnsiTheme="majorBidi" w:cstheme="majorBidi"/>
        </w:rPr>
        <w:t xml:space="preserve">left the country in August 2005, five months after the kidnapping. </w:t>
      </w:r>
      <w:r w:rsidR="00ED2908" w:rsidRPr="000A1EDD">
        <w:rPr>
          <w:rFonts w:asciiTheme="majorBidi" w:hAnsiTheme="majorBidi" w:cstheme="majorBidi"/>
        </w:rPr>
        <w:t>H</w:t>
      </w:r>
      <w:r w:rsidRPr="000A1EDD">
        <w:rPr>
          <w:rFonts w:asciiTheme="majorBidi" w:hAnsiTheme="majorBidi" w:cstheme="majorBidi"/>
        </w:rPr>
        <w:t>e travel</w:t>
      </w:r>
      <w:r w:rsidR="00344F63" w:rsidRPr="000A1EDD">
        <w:rPr>
          <w:rFonts w:asciiTheme="majorBidi" w:hAnsiTheme="majorBidi" w:cstheme="majorBidi"/>
        </w:rPr>
        <w:t>led</w:t>
      </w:r>
      <w:r w:rsidRPr="000A1EDD">
        <w:rPr>
          <w:rFonts w:asciiTheme="majorBidi" w:hAnsiTheme="majorBidi" w:cstheme="majorBidi"/>
        </w:rPr>
        <w:t xml:space="preserve"> to Greece</w:t>
      </w:r>
      <w:r w:rsidR="00ED2908" w:rsidRPr="000A1EDD">
        <w:rPr>
          <w:rFonts w:asciiTheme="majorBidi" w:hAnsiTheme="majorBidi" w:cstheme="majorBidi"/>
        </w:rPr>
        <w:t xml:space="preserve"> through Pakistan and Turkey</w:t>
      </w:r>
      <w:r w:rsidRPr="000A1EDD">
        <w:rPr>
          <w:rFonts w:asciiTheme="majorBidi" w:hAnsiTheme="majorBidi" w:cstheme="majorBidi"/>
        </w:rPr>
        <w:t>.</w:t>
      </w:r>
    </w:p>
    <w:p w:rsidR="00545B38" w:rsidRPr="000A1EDD" w:rsidRDefault="00545B38" w:rsidP="002B57C8">
      <w:pPr>
        <w:pStyle w:val="SingleTxtG"/>
        <w:rPr>
          <w:rFonts w:asciiTheme="majorBidi" w:hAnsiTheme="majorBidi" w:cstheme="majorBidi"/>
        </w:rPr>
      </w:pPr>
      <w:r w:rsidRPr="000A1EDD">
        <w:rPr>
          <w:rFonts w:asciiTheme="majorBidi" w:hAnsiTheme="majorBidi" w:cstheme="majorBidi"/>
        </w:rPr>
        <w:lastRenderedPageBreak/>
        <w:t>2.7</w:t>
      </w:r>
      <w:r w:rsidRPr="000A1EDD">
        <w:rPr>
          <w:rFonts w:asciiTheme="majorBidi" w:hAnsiTheme="majorBidi" w:cstheme="majorBidi"/>
        </w:rPr>
        <w:tab/>
        <w:t>Upon arrival in Greece, the complainant applied for asylum and a work and residence permit. His request for asylum was denied, but he was granted a temporary work and residence permit</w:t>
      </w:r>
      <w:r w:rsidR="00ED2908" w:rsidRPr="000A1EDD">
        <w:rPr>
          <w:rFonts w:asciiTheme="majorBidi" w:hAnsiTheme="majorBidi" w:cstheme="majorBidi"/>
        </w:rPr>
        <w:t>,</w:t>
      </w:r>
      <w:r w:rsidRPr="000A1EDD">
        <w:rPr>
          <w:rFonts w:asciiTheme="majorBidi" w:hAnsiTheme="majorBidi" w:cstheme="majorBidi"/>
        </w:rPr>
        <w:t xml:space="preserve"> renew</w:t>
      </w:r>
      <w:r w:rsidR="00344F63" w:rsidRPr="000A1EDD">
        <w:rPr>
          <w:rFonts w:asciiTheme="majorBidi" w:hAnsiTheme="majorBidi" w:cstheme="majorBidi"/>
        </w:rPr>
        <w:t xml:space="preserve">able </w:t>
      </w:r>
      <w:r w:rsidRPr="000A1EDD">
        <w:rPr>
          <w:rFonts w:asciiTheme="majorBidi" w:hAnsiTheme="majorBidi" w:cstheme="majorBidi"/>
        </w:rPr>
        <w:t xml:space="preserve">every six months. </w:t>
      </w:r>
      <w:r w:rsidR="00344F63" w:rsidRPr="000A1EDD">
        <w:rPr>
          <w:rFonts w:asciiTheme="majorBidi" w:hAnsiTheme="majorBidi" w:cstheme="majorBidi"/>
        </w:rPr>
        <w:t>H</w:t>
      </w:r>
      <w:r w:rsidRPr="000A1EDD">
        <w:rPr>
          <w:rFonts w:asciiTheme="majorBidi" w:hAnsiTheme="majorBidi" w:cstheme="majorBidi"/>
        </w:rPr>
        <w:t>e stayed in Greece for several years</w:t>
      </w:r>
      <w:r w:rsidR="00344F63" w:rsidRPr="000A1EDD">
        <w:rPr>
          <w:rFonts w:asciiTheme="majorBidi" w:hAnsiTheme="majorBidi" w:cstheme="majorBidi"/>
        </w:rPr>
        <w:t xml:space="preserve"> and </w:t>
      </w:r>
      <w:r w:rsidRPr="000A1EDD">
        <w:rPr>
          <w:rFonts w:asciiTheme="majorBidi" w:hAnsiTheme="majorBidi" w:cstheme="majorBidi"/>
        </w:rPr>
        <w:t>worked in restaurant</w:t>
      </w:r>
      <w:r w:rsidR="00344F63" w:rsidRPr="000A1EDD">
        <w:rPr>
          <w:rFonts w:asciiTheme="majorBidi" w:hAnsiTheme="majorBidi" w:cstheme="majorBidi"/>
        </w:rPr>
        <w:t xml:space="preserve">s </w:t>
      </w:r>
      <w:r w:rsidRPr="000A1EDD">
        <w:rPr>
          <w:rFonts w:asciiTheme="majorBidi" w:hAnsiTheme="majorBidi" w:cstheme="majorBidi"/>
        </w:rPr>
        <w:t xml:space="preserve">in </w:t>
      </w:r>
      <w:r w:rsidR="00B67D73" w:rsidRPr="000A1EDD">
        <w:rPr>
          <w:rFonts w:asciiTheme="majorBidi" w:hAnsiTheme="majorBidi" w:cstheme="majorBidi"/>
        </w:rPr>
        <w:t xml:space="preserve">the </w:t>
      </w:r>
      <w:r w:rsidRPr="000A1EDD">
        <w:rPr>
          <w:rFonts w:asciiTheme="majorBidi" w:hAnsiTheme="majorBidi" w:cstheme="majorBidi"/>
        </w:rPr>
        <w:t>Omonia and Varkiza</w:t>
      </w:r>
      <w:r w:rsidR="00B67D73" w:rsidRPr="000A1EDD">
        <w:rPr>
          <w:rFonts w:asciiTheme="majorBidi" w:hAnsiTheme="majorBidi" w:cstheme="majorBidi"/>
        </w:rPr>
        <w:t xml:space="preserve"> districts</w:t>
      </w:r>
      <w:r w:rsidRPr="000A1EDD">
        <w:rPr>
          <w:rFonts w:asciiTheme="majorBidi" w:hAnsiTheme="majorBidi" w:cstheme="majorBidi"/>
        </w:rPr>
        <w:t xml:space="preserve">. In 2012, the Greek authorities informed him that his work and residence permit could not be renewed </w:t>
      </w:r>
      <w:r w:rsidR="00300B1B" w:rsidRPr="000A1EDD">
        <w:rPr>
          <w:rFonts w:asciiTheme="majorBidi" w:hAnsiTheme="majorBidi" w:cstheme="majorBidi"/>
        </w:rPr>
        <w:t xml:space="preserve">owing </w:t>
      </w:r>
      <w:r w:rsidRPr="000A1EDD">
        <w:rPr>
          <w:rFonts w:asciiTheme="majorBidi" w:hAnsiTheme="majorBidi" w:cstheme="majorBidi"/>
        </w:rPr>
        <w:t xml:space="preserve">to </w:t>
      </w:r>
      <w:r w:rsidR="00300B1B" w:rsidRPr="000A1EDD">
        <w:rPr>
          <w:rFonts w:asciiTheme="majorBidi" w:hAnsiTheme="majorBidi" w:cstheme="majorBidi"/>
        </w:rPr>
        <w:t xml:space="preserve">the </w:t>
      </w:r>
      <w:r w:rsidRPr="000A1EDD">
        <w:rPr>
          <w:rFonts w:asciiTheme="majorBidi" w:hAnsiTheme="majorBidi" w:cstheme="majorBidi"/>
        </w:rPr>
        <w:t>economic situation</w:t>
      </w:r>
      <w:r w:rsidR="00300B1B" w:rsidRPr="000A1EDD">
        <w:rPr>
          <w:rFonts w:asciiTheme="majorBidi" w:hAnsiTheme="majorBidi" w:cstheme="majorBidi"/>
        </w:rPr>
        <w:t xml:space="preserve"> in the country</w:t>
      </w:r>
      <w:r w:rsidRPr="000A1EDD">
        <w:rPr>
          <w:rFonts w:asciiTheme="majorBidi" w:hAnsiTheme="majorBidi" w:cstheme="majorBidi"/>
        </w:rPr>
        <w:t xml:space="preserve"> and he was advised to seek </w:t>
      </w:r>
      <w:r w:rsidR="00300B1B" w:rsidRPr="000A1EDD">
        <w:rPr>
          <w:rFonts w:asciiTheme="majorBidi" w:hAnsiTheme="majorBidi" w:cstheme="majorBidi"/>
        </w:rPr>
        <w:t xml:space="preserve">the protection of </w:t>
      </w:r>
      <w:r w:rsidRPr="000A1EDD">
        <w:rPr>
          <w:rFonts w:asciiTheme="majorBidi" w:hAnsiTheme="majorBidi" w:cstheme="majorBidi"/>
        </w:rPr>
        <w:t>another country</w:t>
      </w:r>
      <w:r w:rsidR="00300B1B" w:rsidRPr="000A1EDD">
        <w:rPr>
          <w:rFonts w:asciiTheme="majorBidi" w:hAnsiTheme="majorBidi" w:cstheme="majorBidi"/>
        </w:rPr>
        <w:t xml:space="preserve"> </w:t>
      </w:r>
      <w:r w:rsidRPr="000A1EDD">
        <w:rPr>
          <w:rFonts w:asciiTheme="majorBidi" w:hAnsiTheme="majorBidi" w:cstheme="majorBidi"/>
        </w:rPr>
        <w:t xml:space="preserve">in order to avoid being sent back to Bangladesh. With the help of a friend, he travelled to Sweden by train and immediately applied for asylum upon arrival on 6 April 2012. </w:t>
      </w:r>
    </w:p>
    <w:p w:rsidR="00545B38" w:rsidRPr="000A1EDD" w:rsidRDefault="007F47D7" w:rsidP="002B57C8">
      <w:pPr>
        <w:pStyle w:val="SingleTxtG"/>
        <w:rPr>
          <w:rFonts w:asciiTheme="majorBidi" w:hAnsiTheme="majorBidi" w:cstheme="majorBidi"/>
        </w:rPr>
      </w:pPr>
      <w:r w:rsidRPr="000A1EDD">
        <w:rPr>
          <w:rFonts w:asciiTheme="majorBidi" w:hAnsiTheme="majorBidi" w:cstheme="majorBidi"/>
        </w:rPr>
        <w:t xml:space="preserve">2.8 </w:t>
      </w:r>
      <w:r w:rsidR="002B57C8" w:rsidRPr="000A1EDD">
        <w:rPr>
          <w:rFonts w:asciiTheme="majorBidi" w:hAnsiTheme="majorBidi" w:cstheme="majorBidi"/>
        </w:rPr>
        <w:tab/>
      </w:r>
      <w:r w:rsidRPr="000A1EDD">
        <w:rPr>
          <w:rFonts w:asciiTheme="majorBidi" w:hAnsiTheme="majorBidi" w:cstheme="majorBidi"/>
        </w:rPr>
        <w:t>On 24 May 2013, the Swedish</w:t>
      </w:r>
      <w:r w:rsidR="00545B38" w:rsidRPr="000A1EDD">
        <w:rPr>
          <w:rFonts w:asciiTheme="majorBidi" w:hAnsiTheme="majorBidi" w:cstheme="majorBidi"/>
        </w:rPr>
        <w:t xml:space="preserve"> Migration Board </w:t>
      </w:r>
      <w:r w:rsidRPr="000A1EDD">
        <w:rPr>
          <w:rFonts w:asciiTheme="majorBidi" w:hAnsiTheme="majorBidi" w:cstheme="majorBidi"/>
        </w:rPr>
        <w:t xml:space="preserve">rejected </w:t>
      </w:r>
      <w:r w:rsidR="00CA1414" w:rsidRPr="000A1EDD">
        <w:rPr>
          <w:rFonts w:asciiTheme="majorBidi" w:hAnsiTheme="majorBidi" w:cstheme="majorBidi"/>
        </w:rPr>
        <w:t xml:space="preserve">his </w:t>
      </w:r>
      <w:r w:rsidRPr="000A1EDD">
        <w:rPr>
          <w:rFonts w:asciiTheme="majorBidi" w:hAnsiTheme="majorBidi" w:cstheme="majorBidi"/>
        </w:rPr>
        <w:t>asylum application.</w:t>
      </w:r>
      <w:r w:rsidR="00545B38" w:rsidRPr="000A1EDD">
        <w:rPr>
          <w:rFonts w:asciiTheme="majorBidi" w:hAnsiTheme="majorBidi" w:cstheme="majorBidi"/>
        </w:rPr>
        <w:t xml:space="preserve"> The complainant states that the Board found that </w:t>
      </w:r>
      <w:r w:rsidR="00CA1414" w:rsidRPr="000A1EDD">
        <w:rPr>
          <w:rFonts w:asciiTheme="majorBidi" w:hAnsiTheme="majorBidi" w:cstheme="majorBidi"/>
        </w:rPr>
        <w:t xml:space="preserve">he </w:t>
      </w:r>
      <w:r w:rsidR="00545B38" w:rsidRPr="000A1EDD">
        <w:rPr>
          <w:rFonts w:asciiTheme="majorBidi" w:hAnsiTheme="majorBidi" w:cstheme="majorBidi"/>
        </w:rPr>
        <w:t xml:space="preserve">was not credible for the following reasons: his father </w:t>
      </w:r>
      <w:r w:rsidR="00300B1B" w:rsidRPr="000A1EDD">
        <w:rPr>
          <w:rFonts w:asciiTheme="majorBidi" w:hAnsiTheme="majorBidi" w:cstheme="majorBidi"/>
        </w:rPr>
        <w:t xml:space="preserve">had </w:t>
      </w:r>
      <w:r w:rsidR="00545B38" w:rsidRPr="000A1EDD">
        <w:rPr>
          <w:rFonts w:asciiTheme="majorBidi" w:hAnsiTheme="majorBidi" w:cstheme="majorBidi"/>
        </w:rPr>
        <w:t xml:space="preserve">stated in </w:t>
      </w:r>
      <w:r w:rsidR="00CA1414" w:rsidRPr="000A1EDD">
        <w:rPr>
          <w:rFonts w:asciiTheme="majorBidi" w:hAnsiTheme="majorBidi" w:cstheme="majorBidi"/>
        </w:rPr>
        <w:t xml:space="preserve">a </w:t>
      </w:r>
      <w:r w:rsidR="00545B38" w:rsidRPr="000A1EDD">
        <w:rPr>
          <w:rFonts w:asciiTheme="majorBidi" w:hAnsiTheme="majorBidi" w:cstheme="majorBidi"/>
        </w:rPr>
        <w:t>police report that he was an activist in the Bangladeshi Islamic Student Front, whereas the complainant stated he belonged to Ja</w:t>
      </w:r>
      <w:r w:rsidR="00300B1B" w:rsidRPr="000A1EDD">
        <w:rPr>
          <w:rFonts w:asciiTheme="majorBidi" w:hAnsiTheme="majorBidi" w:cstheme="majorBidi"/>
        </w:rPr>
        <w:t>m</w:t>
      </w:r>
      <w:r w:rsidR="00545B38" w:rsidRPr="000A1EDD">
        <w:rPr>
          <w:rFonts w:asciiTheme="majorBidi" w:hAnsiTheme="majorBidi" w:cstheme="majorBidi"/>
        </w:rPr>
        <w:t xml:space="preserve">aat-e-Islami. The complainant was unable to describe his activities in the party in a concrete way. He lacked knowledge </w:t>
      </w:r>
      <w:r w:rsidR="00E118A1" w:rsidRPr="000A1EDD">
        <w:rPr>
          <w:rFonts w:asciiTheme="majorBidi" w:hAnsiTheme="majorBidi" w:cstheme="majorBidi"/>
        </w:rPr>
        <w:t xml:space="preserve">of </w:t>
      </w:r>
      <w:r w:rsidR="00545B38" w:rsidRPr="000A1EDD">
        <w:rPr>
          <w:rFonts w:asciiTheme="majorBidi" w:hAnsiTheme="majorBidi" w:cstheme="majorBidi"/>
        </w:rPr>
        <w:t>the names of the party’s leaders</w:t>
      </w:r>
      <w:r w:rsidR="00CA1414" w:rsidRPr="000A1EDD">
        <w:rPr>
          <w:rFonts w:asciiTheme="majorBidi" w:hAnsiTheme="majorBidi" w:cstheme="majorBidi"/>
        </w:rPr>
        <w:t xml:space="preserve"> and </w:t>
      </w:r>
      <w:r w:rsidR="00E118A1" w:rsidRPr="000A1EDD">
        <w:rPr>
          <w:rFonts w:asciiTheme="majorBidi" w:hAnsiTheme="majorBidi" w:cstheme="majorBidi"/>
        </w:rPr>
        <w:t xml:space="preserve">made </w:t>
      </w:r>
      <w:r w:rsidR="00545B38" w:rsidRPr="000A1EDD">
        <w:rPr>
          <w:rFonts w:asciiTheme="majorBidi" w:hAnsiTheme="majorBidi" w:cstheme="majorBidi"/>
        </w:rPr>
        <w:t>sweeping statements regarding the reason for the incarceration of the party’s leader</w:t>
      </w:r>
      <w:r w:rsidR="00E118A1" w:rsidRPr="000A1EDD">
        <w:rPr>
          <w:rFonts w:asciiTheme="majorBidi" w:hAnsiTheme="majorBidi" w:cstheme="majorBidi"/>
        </w:rPr>
        <w:t>.</w:t>
      </w:r>
      <w:r w:rsidR="00545B38" w:rsidRPr="000A1EDD">
        <w:rPr>
          <w:rFonts w:asciiTheme="majorBidi" w:hAnsiTheme="majorBidi" w:cstheme="majorBidi"/>
        </w:rPr>
        <w:t xml:space="preserve"> He stated at different points that he </w:t>
      </w:r>
      <w:r w:rsidR="00E118A1" w:rsidRPr="000A1EDD">
        <w:rPr>
          <w:rFonts w:asciiTheme="majorBidi" w:hAnsiTheme="majorBidi" w:cstheme="majorBidi"/>
        </w:rPr>
        <w:t xml:space="preserve">had </w:t>
      </w:r>
      <w:r w:rsidR="00545B38" w:rsidRPr="000A1EDD">
        <w:rPr>
          <w:rFonts w:asciiTheme="majorBidi" w:hAnsiTheme="majorBidi" w:cstheme="majorBidi"/>
        </w:rPr>
        <w:t xml:space="preserve">and </w:t>
      </w:r>
      <w:r w:rsidR="00E118A1" w:rsidRPr="000A1EDD">
        <w:rPr>
          <w:rFonts w:asciiTheme="majorBidi" w:hAnsiTheme="majorBidi" w:cstheme="majorBidi"/>
        </w:rPr>
        <w:t xml:space="preserve">had </w:t>
      </w:r>
      <w:r w:rsidR="00545B38" w:rsidRPr="000A1EDD">
        <w:rPr>
          <w:rFonts w:asciiTheme="majorBidi" w:hAnsiTheme="majorBidi" w:cstheme="majorBidi"/>
        </w:rPr>
        <w:t>not contact</w:t>
      </w:r>
      <w:r w:rsidR="00E118A1" w:rsidRPr="000A1EDD">
        <w:rPr>
          <w:rFonts w:asciiTheme="majorBidi" w:hAnsiTheme="majorBidi" w:cstheme="majorBidi"/>
        </w:rPr>
        <w:t>ed</w:t>
      </w:r>
      <w:r w:rsidR="00545B38" w:rsidRPr="000A1EDD">
        <w:rPr>
          <w:rFonts w:asciiTheme="majorBidi" w:hAnsiTheme="majorBidi" w:cstheme="majorBidi"/>
        </w:rPr>
        <w:t xml:space="preserve"> the authorities for </w:t>
      </w:r>
      <w:r w:rsidR="00CA1414" w:rsidRPr="000A1EDD">
        <w:rPr>
          <w:rFonts w:asciiTheme="majorBidi" w:hAnsiTheme="majorBidi" w:cstheme="majorBidi"/>
        </w:rPr>
        <w:t>protection</w:t>
      </w:r>
      <w:r w:rsidR="00545B38" w:rsidRPr="000A1EDD">
        <w:rPr>
          <w:rFonts w:asciiTheme="majorBidi" w:hAnsiTheme="majorBidi" w:cstheme="majorBidi"/>
        </w:rPr>
        <w:t xml:space="preserve">. In </w:t>
      </w:r>
      <w:r w:rsidR="00E118A1" w:rsidRPr="000A1EDD">
        <w:rPr>
          <w:rFonts w:asciiTheme="majorBidi" w:hAnsiTheme="majorBidi" w:cstheme="majorBidi"/>
        </w:rPr>
        <w:t xml:space="preserve">the </w:t>
      </w:r>
      <w:r w:rsidR="00545B38" w:rsidRPr="000A1EDD">
        <w:rPr>
          <w:rFonts w:asciiTheme="majorBidi" w:hAnsiTheme="majorBidi" w:cstheme="majorBidi"/>
        </w:rPr>
        <w:t>light of evidence indicating that the authorities in Bangladesh do not regularly persecute or harass members of opposition parties, it d</w:t>
      </w:r>
      <w:r w:rsidR="00E118A1" w:rsidRPr="000A1EDD">
        <w:rPr>
          <w:rFonts w:asciiTheme="majorBidi" w:hAnsiTheme="majorBidi" w:cstheme="majorBidi"/>
        </w:rPr>
        <w:t>oes</w:t>
      </w:r>
      <w:r w:rsidR="00545B38" w:rsidRPr="000A1EDD">
        <w:rPr>
          <w:rFonts w:asciiTheme="majorBidi" w:hAnsiTheme="majorBidi" w:cstheme="majorBidi"/>
        </w:rPr>
        <w:t xml:space="preserve"> not make sense that the complainant did not contact the authorities and did not provide a reason for not doing so. </w:t>
      </w:r>
      <w:r w:rsidR="00D90FB6" w:rsidRPr="000A1EDD">
        <w:rPr>
          <w:rFonts w:asciiTheme="majorBidi" w:hAnsiTheme="majorBidi" w:cstheme="majorBidi"/>
        </w:rPr>
        <w:t xml:space="preserve">The Migration Board also issued a two-year entry ban for the complainant on </w:t>
      </w:r>
      <w:r w:rsidR="00E118A1" w:rsidRPr="000A1EDD">
        <w:rPr>
          <w:rFonts w:asciiTheme="majorBidi" w:hAnsiTheme="majorBidi" w:cstheme="majorBidi"/>
        </w:rPr>
        <w:t xml:space="preserve">the </w:t>
      </w:r>
      <w:r w:rsidR="00D90FB6" w:rsidRPr="000A1EDD">
        <w:rPr>
          <w:rFonts w:asciiTheme="majorBidi" w:hAnsiTheme="majorBidi" w:cstheme="majorBidi"/>
        </w:rPr>
        <w:t xml:space="preserve">grounds that </w:t>
      </w:r>
      <w:r w:rsidR="00CA1414" w:rsidRPr="000A1EDD">
        <w:rPr>
          <w:rFonts w:asciiTheme="majorBidi" w:hAnsiTheme="majorBidi" w:cstheme="majorBidi"/>
        </w:rPr>
        <w:t xml:space="preserve">he </w:t>
      </w:r>
      <w:r w:rsidR="00D90FB6" w:rsidRPr="000A1EDD">
        <w:rPr>
          <w:rFonts w:asciiTheme="majorBidi" w:hAnsiTheme="majorBidi" w:cstheme="majorBidi"/>
        </w:rPr>
        <w:t>had submitted falsified documents</w:t>
      </w:r>
      <w:r w:rsidR="00CA1414" w:rsidRPr="000A1EDD">
        <w:rPr>
          <w:rFonts w:asciiTheme="majorBidi" w:hAnsiTheme="majorBidi" w:cstheme="majorBidi"/>
        </w:rPr>
        <w:t xml:space="preserve"> to the authorities</w:t>
      </w:r>
      <w:r w:rsidR="00D90FB6" w:rsidRPr="000A1EDD">
        <w:rPr>
          <w:rFonts w:asciiTheme="majorBidi" w:hAnsiTheme="majorBidi" w:cstheme="majorBidi"/>
        </w:rPr>
        <w:t>.</w:t>
      </w:r>
    </w:p>
    <w:p w:rsidR="007F47D7" w:rsidRPr="000A1EDD" w:rsidRDefault="007F47D7" w:rsidP="000530B0">
      <w:pPr>
        <w:pStyle w:val="SingleTxtG"/>
        <w:rPr>
          <w:rFonts w:asciiTheme="majorBidi" w:hAnsiTheme="majorBidi" w:cstheme="majorBidi"/>
        </w:rPr>
      </w:pPr>
      <w:r w:rsidRPr="000A1EDD">
        <w:rPr>
          <w:rFonts w:asciiTheme="majorBidi" w:hAnsiTheme="majorBidi" w:cstheme="majorBidi"/>
        </w:rPr>
        <w:t>2.</w:t>
      </w:r>
      <w:r w:rsidR="00D90FB6" w:rsidRPr="000A1EDD">
        <w:rPr>
          <w:rFonts w:asciiTheme="majorBidi" w:hAnsiTheme="majorBidi" w:cstheme="majorBidi"/>
        </w:rPr>
        <w:t>9</w:t>
      </w:r>
      <w:r w:rsidRPr="000A1EDD">
        <w:rPr>
          <w:rFonts w:asciiTheme="majorBidi" w:hAnsiTheme="majorBidi" w:cstheme="majorBidi"/>
        </w:rPr>
        <w:tab/>
        <w:t>The complainant maintains that the asylum proce</w:t>
      </w:r>
      <w:r w:rsidR="00CA1414" w:rsidRPr="000A1EDD">
        <w:rPr>
          <w:rFonts w:asciiTheme="majorBidi" w:hAnsiTheme="majorBidi" w:cstheme="majorBidi"/>
        </w:rPr>
        <w:t xml:space="preserve">edings </w:t>
      </w:r>
      <w:r w:rsidRPr="000A1EDD">
        <w:rPr>
          <w:rFonts w:asciiTheme="majorBidi" w:hAnsiTheme="majorBidi" w:cstheme="majorBidi"/>
        </w:rPr>
        <w:t>in Sweden w</w:t>
      </w:r>
      <w:r w:rsidR="00CA1414" w:rsidRPr="000A1EDD">
        <w:rPr>
          <w:rFonts w:asciiTheme="majorBidi" w:hAnsiTheme="majorBidi" w:cstheme="majorBidi"/>
        </w:rPr>
        <w:t>ere</w:t>
      </w:r>
      <w:r w:rsidRPr="000A1EDD">
        <w:rPr>
          <w:rFonts w:asciiTheme="majorBidi" w:hAnsiTheme="majorBidi" w:cstheme="majorBidi"/>
        </w:rPr>
        <w:t xml:space="preserve"> flawed. The Migration Board deemed some of the information he had supplied as vag</w:t>
      </w:r>
      <w:r w:rsidR="00D90FB6" w:rsidRPr="000A1EDD">
        <w:rPr>
          <w:rFonts w:asciiTheme="majorBidi" w:hAnsiTheme="majorBidi" w:cstheme="majorBidi"/>
        </w:rPr>
        <w:t>ue, undetailed and conflict</w:t>
      </w:r>
      <w:r w:rsidR="00E118A1" w:rsidRPr="000A1EDD">
        <w:rPr>
          <w:rFonts w:asciiTheme="majorBidi" w:hAnsiTheme="majorBidi" w:cstheme="majorBidi"/>
        </w:rPr>
        <w:t>ual,</w:t>
      </w:r>
      <w:r w:rsidR="00D90FB6" w:rsidRPr="000A1EDD">
        <w:rPr>
          <w:rFonts w:asciiTheme="majorBidi" w:hAnsiTheme="majorBidi" w:cstheme="majorBidi"/>
        </w:rPr>
        <w:t xml:space="preserve"> but</w:t>
      </w:r>
      <w:r w:rsidRPr="000A1EDD">
        <w:rPr>
          <w:rFonts w:asciiTheme="majorBidi" w:hAnsiTheme="majorBidi" w:cstheme="majorBidi"/>
        </w:rPr>
        <w:t xml:space="preserve"> </w:t>
      </w:r>
      <w:r w:rsidR="00D90FB6" w:rsidRPr="000A1EDD">
        <w:rPr>
          <w:rFonts w:asciiTheme="majorBidi" w:hAnsiTheme="majorBidi" w:cstheme="majorBidi"/>
        </w:rPr>
        <w:t>t</w:t>
      </w:r>
      <w:r w:rsidRPr="000A1EDD">
        <w:rPr>
          <w:rFonts w:asciiTheme="majorBidi" w:hAnsiTheme="majorBidi" w:cstheme="majorBidi"/>
        </w:rPr>
        <w:t xml:space="preserve">his was either </w:t>
      </w:r>
      <w:r w:rsidR="00E118A1" w:rsidRPr="000A1EDD">
        <w:rPr>
          <w:rFonts w:asciiTheme="majorBidi" w:hAnsiTheme="majorBidi" w:cstheme="majorBidi"/>
        </w:rPr>
        <w:t xml:space="preserve">the </w:t>
      </w:r>
      <w:r w:rsidR="00CA1414" w:rsidRPr="000A1EDD">
        <w:rPr>
          <w:rFonts w:asciiTheme="majorBidi" w:hAnsiTheme="majorBidi" w:cstheme="majorBidi"/>
        </w:rPr>
        <w:t xml:space="preserve">fault </w:t>
      </w:r>
      <w:r w:rsidR="00E118A1" w:rsidRPr="000A1EDD">
        <w:rPr>
          <w:rFonts w:asciiTheme="majorBidi" w:hAnsiTheme="majorBidi" w:cstheme="majorBidi"/>
        </w:rPr>
        <w:t xml:space="preserve">of </w:t>
      </w:r>
      <w:r w:rsidR="00CA1414" w:rsidRPr="000A1EDD">
        <w:rPr>
          <w:rFonts w:asciiTheme="majorBidi" w:hAnsiTheme="majorBidi" w:cstheme="majorBidi"/>
        </w:rPr>
        <w:t xml:space="preserve">the </w:t>
      </w:r>
      <w:r w:rsidRPr="000A1EDD">
        <w:rPr>
          <w:rFonts w:asciiTheme="majorBidi" w:hAnsiTheme="majorBidi" w:cstheme="majorBidi"/>
        </w:rPr>
        <w:t xml:space="preserve">interpreter or </w:t>
      </w:r>
      <w:r w:rsidR="00E118A1" w:rsidRPr="000A1EDD">
        <w:rPr>
          <w:rFonts w:asciiTheme="majorBidi" w:hAnsiTheme="majorBidi" w:cstheme="majorBidi"/>
        </w:rPr>
        <w:t xml:space="preserve">owing </w:t>
      </w:r>
      <w:r w:rsidRPr="000A1EDD">
        <w:rPr>
          <w:rFonts w:asciiTheme="majorBidi" w:hAnsiTheme="majorBidi" w:cstheme="majorBidi"/>
        </w:rPr>
        <w:t xml:space="preserve">to the inadequacy of the Board administrator’s note-taking. Although the complainant’s former public defender stated to the Migration Board on 9 July 2012 that he had met with the complainant in order to go through the transcript from the interview, they </w:t>
      </w:r>
      <w:r w:rsidR="00CA1414" w:rsidRPr="000A1EDD">
        <w:rPr>
          <w:rFonts w:asciiTheme="majorBidi" w:hAnsiTheme="majorBidi" w:cstheme="majorBidi"/>
        </w:rPr>
        <w:t xml:space="preserve">never examined </w:t>
      </w:r>
      <w:r w:rsidRPr="000A1EDD">
        <w:rPr>
          <w:rFonts w:asciiTheme="majorBidi" w:hAnsiTheme="majorBidi" w:cstheme="majorBidi"/>
        </w:rPr>
        <w:t xml:space="preserve">the entire transcript. Rather, the complainant was asked </w:t>
      </w:r>
      <w:r w:rsidR="00E23EED" w:rsidRPr="000A1EDD">
        <w:rPr>
          <w:rFonts w:asciiTheme="majorBidi" w:hAnsiTheme="majorBidi" w:cstheme="majorBidi"/>
        </w:rPr>
        <w:t>to clarify particular details</w:t>
      </w:r>
      <w:r w:rsidRPr="000A1EDD">
        <w:rPr>
          <w:rFonts w:asciiTheme="majorBidi" w:hAnsiTheme="majorBidi" w:cstheme="majorBidi"/>
        </w:rPr>
        <w:t>. The complainant also maintains that he submitted extensive documentation of his need for protection</w:t>
      </w:r>
      <w:r w:rsidR="00E23EED" w:rsidRPr="000A1EDD">
        <w:rPr>
          <w:rFonts w:asciiTheme="majorBidi" w:hAnsiTheme="majorBidi" w:cstheme="majorBidi"/>
        </w:rPr>
        <w:t xml:space="preserve"> to the Migration Board</w:t>
      </w:r>
      <w:r w:rsidRPr="000A1EDD">
        <w:rPr>
          <w:rFonts w:asciiTheme="majorBidi" w:hAnsiTheme="majorBidi" w:cstheme="majorBidi"/>
        </w:rPr>
        <w:t xml:space="preserve">. </w:t>
      </w:r>
      <w:r w:rsidR="00E118A1" w:rsidRPr="000A1EDD">
        <w:rPr>
          <w:rFonts w:asciiTheme="majorBidi" w:hAnsiTheme="majorBidi" w:cstheme="majorBidi"/>
        </w:rPr>
        <w:t>A</w:t>
      </w:r>
      <w:r w:rsidRPr="000A1EDD">
        <w:rPr>
          <w:rFonts w:asciiTheme="majorBidi" w:hAnsiTheme="majorBidi" w:cstheme="majorBidi"/>
        </w:rPr>
        <w:t xml:space="preserve">fter obtaining a report from a Bangladeshi lawyer, </w:t>
      </w:r>
      <w:r w:rsidR="00E118A1" w:rsidRPr="000A1EDD">
        <w:rPr>
          <w:rFonts w:asciiTheme="majorBidi" w:hAnsiTheme="majorBidi" w:cstheme="majorBidi"/>
        </w:rPr>
        <w:t xml:space="preserve">the Migration Board </w:t>
      </w:r>
      <w:r w:rsidRPr="000A1EDD">
        <w:rPr>
          <w:rFonts w:asciiTheme="majorBidi" w:hAnsiTheme="majorBidi" w:cstheme="majorBidi"/>
        </w:rPr>
        <w:t>c</w:t>
      </w:r>
      <w:r w:rsidR="00E23EED" w:rsidRPr="000A1EDD">
        <w:rPr>
          <w:rFonts w:asciiTheme="majorBidi" w:hAnsiTheme="majorBidi" w:cstheme="majorBidi"/>
        </w:rPr>
        <w:t xml:space="preserve">oncluded </w:t>
      </w:r>
      <w:r w:rsidRPr="000A1EDD">
        <w:rPr>
          <w:rFonts w:asciiTheme="majorBidi" w:hAnsiTheme="majorBidi" w:cstheme="majorBidi"/>
        </w:rPr>
        <w:t xml:space="preserve">that the documents were all </w:t>
      </w:r>
      <w:r w:rsidR="00D90FB6" w:rsidRPr="000A1EDD">
        <w:rPr>
          <w:rFonts w:asciiTheme="majorBidi" w:hAnsiTheme="majorBidi" w:cstheme="majorBidi"/>
        </w:rPr>
        <w:t>falsified</w:t>
      </w:r>
      <w:r w:rsidRPr="000A1EDD">
        <w:rPr>
          <w:rFonts w:asciiTheme="majorBidi" w:hAnsiTheme="majorBidi" w:cstheme="majorBidi"/>
        </w:rPr>
        <w:t>. The complainant</w:t>
      </w:r>
      <w:r w:rsidR="00E23EED" w:rsidRPr="000A1EDD">
        <w:rPr>
          <w:rFonts w:asciiTheme="majorBidi" w:hAnsiTheme="majorBidi" w:cstheme="majorBidi"/>
        </w:rPr>
        <w:t xml:space="preserve"> contends that the</w:t>
      </w:r>
      <w:r w:rsidRPr="000A1EDD">
        <w:rPr>
          <w:rFonts w:asciiTheme="majorBidi" w:hAnsiTheme="majorBidi" w:cstheme="majorBidi"/>
        </w:rPr>
        <w:t xml:space="preserve"> documents </w:t>
      </w:r>
      <w:r w:rsidR="00E23EED" w:rsidRPr="000A1EDD">
        <w:rPr>
          <w:rFonts w:asciiTheme="majorBidi" w:hAnsiTheme="majorBidi" w:cstheme="majorBidi"/>
        </w:rPr>
        <w:t xml:space="preserve">in question </w:t>
      </w:r>
      <w:r w:rsidRPr="000A1EDD">
        <w:rPr>
          <w:rFonts w:asciiTheme="majorBidi" w:hAnsiTheme="majorBidi" w:cstheme="majorBidi"/>
        </w:rPr>
        <w:t xml:space="preserve">were all sent to him by his family and he had no reason to </w:t>
      </w:r>
      <w:r w:rsidR="00E23EED" w:rsidRPr="000A1EDD">
        <w:rPr>
          <w:rFonts w:asciiTheme="majorBidi" w:hAnsiTheme="majorBidi" w:cstheme="majorBidi"/>
        </w:rPr>
        <w:t xml:space="preserve">doubt their </w:t>
      </w:r>
      <w:r w:rsidRPr="000A1EDD">
        <w:rPr>
          <w:rFonts w:asciiTheme="majorBidi" w:hAnsiTheme="majorBidi" w:cstheme="majorBidi"/>
        </w:rPr>
        <w:t>authentic</w:t>
      </w:r>
      <w:r w:rsidR="00E23EED" w:rsidRPr="000A1EDD">
        <w:rPr>
          <w:rFonts w:asciiTheme="majorBidi" w:hAnsiTheme="majorBidi" w:cstheme="majorBidi"/>
        </w:rPr>
        <w:t>ity</w:t>
      </w:r>
      <w:r w:rsidRPr="000A1EDD">
        <w:rPr>
          <w:rFonts w:asciiTheme="majorBidi" w:hAnsiTheme="majorBidi" w:cstheme="majorBidi"/>
        </w:rPr>
        <w:t>.</w:t>
      </w:r>
    </w:p>
    <w:p w:rsidR="00545B38" w:rsidRPr="000A1EDD" w:rsidRDefault="00D90FB6" w:rsidP="000530B0">
      <w:pPr>
        <w:pStyle w:val="SingleTxtG"/>
        <w:rPr>
          <w:rFonts w:asciiTheme="majorBidi" w:hAnsiTheme="majorBidi" w:cstheme="majorBidi"/>
        </w:rPr>
      </w:pPr>
      <w:r w:rsidRPr="000A1EDD">
        <w:rPr>
          <w:rFonts w:asciiTheme="majorBidi" w:hAnsiTheme="majorBidi" w:cstheme="majorBidi"/>
        </w:rPr>
        <w:t xml:space="preserve">2.10 </w:t>
      </w:r>
      <w:r w:rsidR="00030C4B" w:rsidRPr="000A1EDD">
        <w:rPr>
          <w:rFonts w:asciiTheme="majorBidi" w:hAnsiTheme="majorBidi" w:cstheme="majorBidi"/>
        </w:rPr>
        <w:tab/>
      </w:r>
      <w:r w:rsidRPr="000A1EDD">
        <w:rPr>
          <w:rFonts w:asciiTheme="majorBidi" w:hAnsiTheme="majorBidi" w:cstheme="majorBidi"/>
        </w:rPr>
        <w:t>On 19 June 2013, t</w:t>
      </w:r>
      <w:r w:rsidR="00545B38" w:rsidRPr="000A1EDD">
        <w:rPr>
          <w:rFonts w:asciiTheme="majorBidi" w:hAnsiTheme="majorBidi" w:cstheme="majorBidi"/>
        </w:rPr>
        <w:t xml:space="preserve">he complainant </w:t>
      </w:r>
      <w:r w:rsidRPr="000A1EDD">
        <w:rPr>
          <w:rFonts w:asciiTheme="majorBidi" w:hAnsiTheme="majorBidi" w:cstheme="majorBidi"/>
        </w:rPr>
        <w:t xml:space="preserve">appealed </w:t>
      </w:r>
      <w:r w:rsidR="00545B38" w:rsidRPr="000A1EDD">
        <w:rPr>
          <w:rFonts w:asciiTheme="majorBidi" w:hAnsiTheme="majorBidi" w:cstheme="majorBidi"/>
        </w:rPr>
        <w:t>the negative decision</w:t>
      </w:r>
      <w:r w:rsidRPr="000A1EDD">
        <w:rPr>
          <w:rFonts w:asciiTheme="majorBidi" w:hAnsiTheme="majorBidi" w:cstheme="majorBidi"/>
        </w:rPr>
        <w:t xml:space="preserve"> of the</w:t>
      </w:r>
      <w:r w:rsidR="00545B38" w:rsidRPr="000A1EDD">
        <w:rPr>
          <w:rFonts w:asciiTheme="majorBidi" w:hAnsiTheme="majorBidi" w:cstheme="majorBidi"/>
        </w:rPr>
        <w:t xml:space="preserve"> </w:t>
      </w:r>
      <w:r w:rsidRPr="000A1EDD">
        <w:rPr>
          <w:rFonts w:asciiTheme="majorBidi" w:hAnsiTheme="majorBidi" w:cstheme="majorBidi"/>
        </w:rPr>
        <w:t>Migration Board to</w:t>
      </w:r>
      <w:r w:rsidR="00545B38" w:rsidRPr="000A1EDD">
        <w:rPr>
          <w:rFonts w:asciiTheme="majorBidi" w:hAnsiTheme="majorBidi" w:cstheme="majorBidi"/>
        </w:rPr>
        <w:t xml:space="preserve"> the Migration Court. He requested and was</w:t>
      </w:r>
      <w:r w:rsidRPr="000A1EDD">
        <w:rPr>
          <w:rFonts w:asciiTheme="majorBidi" w:hAnsiTheme="majorBidi" w:cstheme="majorBidi"/>
        </w:rPr>
        <w:t xml:space="preserve"> assigned a new public </w:t>
      </w:r>
      <w:r w:rsidR="00545B38" w:rsidRPr="000A1EDD">
        <w:rPr>
          <w:rFonts w:asciiTheme="majorBidi" w:hAnsiTheme="majorBidi" w:cstheme="majorBidi"/>
        </w:rPr>
        <w:t>counsel</w:t>
      </w:r>
      <w:r w:rsidR="00F42C24" w:rsidRPr="000A1EDD">
        <w:rPr>
          <w:rFonts w:asciiTheme="majorBidi" w:hAnsiTheme="majorBidi" w:cstheme="majorBidi"/>
        </w:rPr>
        <w:t>, who</w:t>
      </w:r>
      <w:r w:rsidR="00545B38" w:rsidRPr="000A1EDD">
        <w:rPr>
          <w:rFonts w:asciiTheme="majorBidi" w:hAnsiTheme="majorBidi" w:cstheme="majorBidi"/>
        </w:rPr>
        <w:t xml:space="preserve"> ordered a proper medical exam</w:t>
      </w:r>
      <w:r w:rsidR="00E118A1" w:rsidRPr="000A1EDD">
        <w:rPr>
          <w:rFonts w:asciiTheme="majorBidi" w:hAnsiTheme="majorBidi" w:cstheme="majorBidi"/>
        </w:rPr>
        <w:t>ination,</w:t>
      </w:r>
      <w:r w:rsidR="00545B38" w:rsidRPr="000A1EDD">
        <w:rPr>
          <w:rFonts w:asciiTheme="majorBidi" w:hAnsiTheme="majorBidi" w:cstheme="majorBidi"/>
        </w:rPr>
        <w:t xml:space="preserve"> and a disability certificate was submitted with the appeal. The </w:t>
      </w:r>
      <w:r w:rsidRPr="000A1EDD">
        <w:rPr>
          <w:rFonts w:asciiTheme="majorBidi" w:hAnsiTheme="majorBidi" w:cstheme="majorBidi"/>
        </w:rPr>
        <w:t>certificate</w:t>
      </w:r>
      <w:r w:rsidR="00E118A1" w:rsidRPr="000A1EDD">
        <w:rPr>
          <w:rFonts w:asciiTheme="majorBidi" w:hAnsiTheme="majorBidi" w:cstheme="majorBidi"/>
        </w:rPr>
        <w:t>,</w:t>
      </w:r>
      <w:r w:rsidR="00545B38" w:rsidRPr="000A1EDD">
        <w:rPr>
          <w:rFonts w:asciiTheme="majorBidi" w:hAnsiTheme="majorBidi" w:cstheme="majorBidi"/>
        </w:rPr>
        <w:t xml:space="preserve"> dated 17 October 2013 and provided by an orthopaedic specialist, state</w:t>
      </w:r>
      <w:r w:rsidR="00A5275B" w:rsidRPr="000A1EDD">
        <w:rPr>
          <w:rFonts w:asciiTheme="majorBidi" w:hAnsiTheme="majorBidi" w:cstheme="majorBidi"/>
        </w:rPr>
        <w:t>d</w:t>
      </w:r>
      <w:r w:rsidR="00545B38" w:rsidRPr="000A1EDD">
        <w:rPr>
          <w:rFonts w:asciiTheme="majorBidi" w:hAnsiTheme="majorBidi" w:cstheme="majorBidi"/>
        </w:rPr>
        <w:t xml:space="preserve"> that the complainant’s skin changes </w:t>
      </w:r>
      <w:r w:rsidR="00E118A1" w:rsidRPr="000A1EDD">
        <w:rPr>
          <w:rFonts w:asciiTheme="majorBidi" w:hAnsiTheme="majorBidi" w:cstheme="majorBidi"/>
        </w:rPr>
        <w:t>we</w:t>
      </w:r>
      <w:r w:rsidR="00545B38" w:rsidRPr="000A1EDD">
        <w:rPr>
          <w:rFonts w:asciiTheme="majorBidi" w:hAnsiTheme="majorBidi" w:cstheme="majorBidi"/>
        </w:rPr>
        <w:t xml:space="preserve">re consistent with burns healed long ago and with bruises and cuts. The skin changes “are all healed and together with the information that they were caused in 2005, it can be assumed that the injuries at that time were very extensive and painful. </w:t>
      </w:r>
      <w:r w:rsidR="00862C01" w:rsidRPr="000A1EDD">
        <w:rPr>
          <w:rFonts w:asciiTheme="majorBidi" w:hAnsiTheme="majorBidi" w:cstheme="majorBidi"/>
        </w:rPr>
        <w:t>N</w:t>
      </w:r>
      <w:r w:rsidR="00545B38" w:rsidRPr="000A1EDD">
        <w:rPr>
          <w:rFonts w:asciiTheme="majorBidi" w:hAnsiTheme="majorBidi" w:cstheme="majorBidi"/>
        </w:rPr>
        <w:t>o physical disabilities</w:t>
      </w:r>
      <w:r w:rsidR="00862C01" w:rsidRPr="000A1EDD">
        <w:rPr>
          <w:rFonts w:asciiTheme="majorBidi" w:hAnsiTheme="majorBidi" w:cstheme="majorBidi"/>
        </w:rPr>
        <w:t xml:space="preserve"> remain</w:t>
      </w:r>
      <w:r w:rsidR="00545B38" w:rsidRPr="000A1EDD">
        <w:rPr>
          <w:rFonts w:asciiTheme="majorBidi" w:hAnsiTheme="majorBidi" w:cstheme="majorBidi"/>
        </w:rPr>
        <w:t>, but the patient suffers from emotional problems that are consistent with post-traumatic stress syndrome.”</w:t>
      </w:r>
      <w:r w:rsidR="00DF3BC5" w:rsidRPr="000A1EDD">
        <w:rPr>
          <w:rFonts w:asciiTheme="majorBidi" w:hAnsiTheme="majorBidi" w:cstheme="majorBidi"/>
        </w:rPr>
        <w:t xml:space="preserve"> </w:t>
      </w:r>
      <w:r w:rsidR="00545B38" w:rsidRPr="000A1EDD">
        <w:rPr>
          <w:rFonts w:asciiTheme="majorBidi" w:hAnsiTheme="majorBidi" w:cstheme="majorBidi"/>
        </w:rPr>
        <w:t xml:space="preserve">Nevertheless, </w:t>
      </w:r>
      <w:r w:rsidRPr="000A1EDD">
        <w:rPr>
          <w:rFonts w:asciiTheme="majorBidi" w:hAnsiTheme="majorBidi" w:cstheme="majorBidi"/>
        </w:rPr>
        <w:t xml:space="preserve">on 7 February 2014, </w:t>
      </w:r>
      <w:r w:rsidR="00545B38" w:rsidRPr="000A1EDD">
        <w:rPr>
          <w:rFonts w:asciiTheme="majorBidi" w:hAnsiTheme="majorBidi" w:cstheme="majorBidi"/>
        </w:rPr>
        <w:t xml:space="preserve">the </w:t>
      </w:r>
      <w:r w:rsidRPr="000A1EDD">
        <w:rPr>
          <w:rFonts w:asciiTheme="majorBidi" w:hAnsiTheme="majorBidi" w:cstheme="majorBidi"/>
        </w:rPr>
        <w:t xml:space="preserve">Migration Court found </w:t>
      </w:r>
      <w:r w:rsidR="00545B38" w:rsidRPr="000A1EDD">
        <w:rPr>
          <w:rFonts w:asciiTheme="majorBidi" w:hAnsiTheme="majorBidi" w:cstheme="majorBidi"/>
        </w:rPr>
        <w:t xml:space="preserve">that there was no well-founded reason to believe that the complainant would face an individual and specific risk of persecution or ill-treatment </w:t>
      </w:r>
      <w:r w:rsidR="00862C01" w:rsidRPr="000A1EDD">
        <w:rPr>
          <w:rFonts w:asciiTheme="majorBidi" w:hAnsiTheme="majorBidi" w:cstheme="majorBidi"/>
        </w:rPr>
        <w:t xml:space="preserve">in </w:t>
      </w:r>
      <w:r w:rsidR="00545B38" w:rsidRPr="000A1EDD">
        <w:rPr>
          <w:rFonts w:asciiTheme="majorBidi" w:hAnsiTheme="majorBidi" w:cstheme="majorBidi"/>
        </w:rPr>
        <w:t>Bangladesh. However, the Migration Court overturned the two-year re-entry ban imposed by the Migration Board</w:t>
      </w:r>
      <w:r w:rsidR="00862C01" w:rsidRPr="000A1EDD">
        <w:rPr>
          <w:rFonts w:asciiTheme="majorBidi" w:hAnsiTheme="majorBidi" w:cstheme="majorBidi"/>
        </w:rPr>
        <w:t xml:space="preserve">. </w:t>
      </w:r>
      <w:r w:rsidR="00545B38" w:rsidRPr="000A1EDD">
        <w:rPr>
          <w:rFonts w:asciiTheme="majorBidi" w:hAnsiTheme="majorBidi" w:cstheme="majorBidi"/>
        </w:rPr>
        <w:t xml:space="preserve">The </w:t>
      </w:r>
      <w:r w:rsidR="00862C01" w:rsidRPr="000A1EDD">
        <w:rPr>
          <w:rFonts w:asciiTheme="majorBidi" w:hAnsiTheme="majorBidi" w:cstheme="majorBidi"/>
        </w:rPr>
        <w:t>complainant</w:t>
      </w:r>
      <w:r w:rsidR="00545B38" w:rsidRPr="000A1EDD">
        <w:rPr>
          <w:rFonts w:asciiTheme="majorBidi" w:hAnsiTheme="majorBidi" w:cstheme="majorBidi"/>
        </w:rPr>
        <w:t xml:space="preserve"> </w:t>
      </w:r>
      <w:r w:rsidR="00862C01" w:rsidRPr="000A1EDD">
        <w:rPr>
          <w:rFonts w:asciiTheme="majorBidi" w:hAnsiTheme="majorBidi" w:cstheme="majorBidi"/>
        </w:rPr>
        <w:t>sought le</w:t>
      </w:r>
      <w:r w:rsidR="00F42C24" w:rsidRPr="000A1EDD">
        <w:rPr>
          <w:rFonts w:asciiTheme="majorBidi" w:hAnsiTheme="majorBidi" w:cstheme="majorBidi"/>
        </w:rPr>
        <w:t>ave</w:t>
      </w:r>
      <w:r w:rsidR="00862C01" w:rsidRPr="000A1EDD">
        <w:rPr>
          <w:rFonts w:asciiTheme="majorBidi" w:hAnsiTheme="majorBidi" w:cstheme="majorBidi"/>
        </w:rPr>
        <w:t xml:space="preserve"> to appeal </w:t>
      </w:r>
      <w:r w:rsidR="00545B38" w:rsidRPr="000A1EDD">
        <w:rPr>
          <w:rFonts w:asciiTheme="majorBidi" w:hAnsiTheme="majorBidi" w:cstheme="majorBidi"/>
        </w:rPr>
        <w:t>to the Migration Court</w:t>
      </w:r>
      <w:r w:rsidR="00E118A1" w:rsidRPr="000A1EDD">
        <w:rPr>
          <w:rFonts w:asciiTheme="majorBidi" w:hAnsiTheme="majorBidi" w:cstheme="majorBidi"/>
        </w:rPr>
        <w:t xml:space="preserve"> </w:t>
      </w:r>
      <w:r w:rsidR="00545B38" w:rsidRPr="000A1EDD">
        <w:rPr>
          <w:rFonts w:asciiTheme="majorBidi" w:hAnsiTheme="majorBidi" w:cstheme="majorBidi"/>
        </w:rPr>
        <w:t xml:space="preserve">on 11 March 2014. </w:t>
      </w:r>
      <w:r w:rsidR="00862C01" w:rsidRPr="000A1EDD">
        <w:rPr>
          <w:rFonts w:asciiTheme="majorBidi" w:hAnsiTheme="majorBidi" w:cstheme="majorBidi"/>
        </w:rPr>
        <w:t>O</w:t>
      </w:r>
      <w:r w:rsidR="00545B38" w:rsidRPr="000A1EDD">
        <w:rPr>
          <w:rFonts w:asciiTheme="majorBidi" w:hAnsiTheme="majorBidi" w:cstheme="majorBidi"/>
        </w:rPr>
        <w:t xml:space="preserve">n 12 </w:t>
      </w:r>
      <w:r w:rsidR="00F42C24" w:rsidRPr="000A1EDD">
        <w:rPr>
          <w:rFonts w:asciiTheme="majorBidi" w:hAnsiTheme="majorBidi" w:cstheme="majorBidi"/>
        </w:rPr>
        <w:t>June</w:t>
      </w:r>
      <w:r w:rsidR="00545B38" w:rsidRPr="000A1EDD">
        <w:rPr>
          <w:rFonts w:asciiTheme="majorBidi" w:hAnsiTheme="majorBidi" w:cstheme="majorBidi"/>
        </w:rPr>
        <w:t xml:space="preserve"> 2014</w:t>
      </w:r>
      <w:r w:rsidR="00862C01" w:rsidRPr="000A1EDD">
        <w:rPr>
          <w:rFonts w:asciiTheme="majorBidi" w:hAnsiTheme="majorBidi" w:cstheme="majorBidi"/>
        </w:rPr>
        <w:t>,</w:t>
      </w:r>
      <w:r w:rsidRPr="000A1EDD">
        <w:rPr>
          <w:rFonts w:asciiTheme="majorBidi" w:hAnsiTheme="majorBidi" w:cstheme="majorBidi"/>
        </w:rPr>
        <w:t xml:space="preserve"> </w:t>
      </w:r>
      <w:r w:rsidR="00862C01" w:rsidRPr="000A1EDD">
        <w:rPr>
          <w:rFonts w:asciiTheme="majorBidi" w:hAnsiTheme="majorBidi" w:cstheme="majorBidi"/>
        </w:rPr>
        <w:t xml:space="preserve">the Court </w:t>
      </w:r>
      <w:r w:rsidR="00675DDE" w:rsidRPr="000A1EDD">
        <w:rPr>
          <w:rFonts w:asciiTheme="majorBidi" w:hAnsiTheme="majorBidi" w:cstheme="majorBidi"/>
        </w:rPr>
        <w:t>rejected his request</w:t>
      </w:r>
      <w:r w:rsidR="00545B38" w:rsidRPr="000A1EDD">
        <w:rPr>
          <w:rFonts w:asciiTheme="majorBidi" w:hAnsiTheme="majorBidi" w:cstheme="majorBidi"/>
        </w:rPr>
        <w:t xml:space="preserve">. </w:t>
      </w:r>
    </w:p>
    <w:p w:rsidR="007F47D7" w:rsidRPr="000A1EDD" w:rsidRDefault="00D90FB6" w:rsidP="000530B0">
      <w:pPr>
        <w:pStyle w:val="SingleTxtG"/>
        <w:rPr>
          <w:rFonts w:asciiTheme="majorBidi" w:hAnsiTheme="majorBidi" w:cstheme="majorBidi"/>
        </w:rPr>
      </w:pPr>
      <w:r w:rsidRPr="000A1EDD">
        <w:rPr>
          <w:rFonts w:asciiTheme="majorBidi" w:hAnsiTheme="majorBidi" w:cstheme="majorBidi"/>
        </w:rPr>
        <w:t>2.11</w:t>
      </w:r>
      <w:r w:rsidR="007F47D7" w:rsidRPr="000A1EDD">
        <w:rPr>
          <w:rFonts w:asciiTheme="majorBidi" w:hAnsiTheme="majorBidi" w:cstheme="majorBidi"/>
        </w:rPr>
        <w:tab/>
      </w:r>
      <w:r w:rsidRPr="000A1EDD">
        <w:rPr>
          <w:rFonts w:asciiTheme="majorBidi" w:hAnsiTheme="majorBidi" w:cstheme="majorBidi"/>
        </w:rPr>
        <w:t>According to the complainant, s</w:t>
      </w:r>
      <w:r w:rsidR="007F47D7" w:rsidRPr="000A1EDD">
        <w:rPr>
          <w:rFonts w:asciiTheme="majorBidi" w:hAnsiTheme="majorBidi" w:cstheme="majorBidi"/>
        </w:rPr>
        <w:t xml:space="preserve">ince his departure from Bangladesh, </w:t>
      </w:r>
      <w:r w:rsidR="00675DDE" w:rsidRPr="000A1EDD">
        <w:rPr>
          <w:rFonts w:asciiTheme="majorBidi" w:hAnsiTheme="majorBidi" w:cstheme="majorBidi"/>
        </w:rPr>
        <w:t>his</w:t>
      </w:r>
      <w:r w:rsidR="007F47D7" w:rsidRPr="000A1EDD">
        <w:rPr>
          <w:rFonts w:asciiTheme="majorBidi" w:hAnsiTheme="majorBidi" w:cstheme="majorBidi"/>
        </w:rPr>
        <w:t xml:space="preserve"> family has received several threats directed against him</w:t>
      </w:r>
      <w:r w:rsidR="00675DDE" w:rsidRPr="000A1EDD">
        <w:rPr>
          <w:rFonts w:asciiTheme="majorBidi" w:hAnsiTheme="majorBidi" w:cstheme="majorBidi"/>
        </w:rPr>
        <w:t>, t</w:t>
      </w:r>
      <w:r w:rsidR="007F47D7" w:rsidRPr="000A1EDD">
        <w:rPr>
          <w:rFonts w:asciiTheme="majorBidi" w:hAnsiTheme="majorBidi" w:cstheme="majorBidi"/>
        </w:rPr>
        <w:t>he most recent on 1 June 2012. Unknown persons have also visited the family home in</w:t>
      </w:r>
      <w:r w:rsidR="00675DDE" w:rsidRPr="000A1EDD">
        <w:rPr>
          <w:rFonts w:asciiTheme="majorBidi" w:hAnsiTheme="majorBidi" w:cstheme="majorBidi"/>
        </w:rPr>
        <w:t>quiring about</w:t>
      </w:r>
      <w:r w:rsidR="007F47D7" w:rsidRPr="000A1EDD">
        <w:rPr>
          <w:rFonts w:asciiTheme="majorBidi" w:hAnsiTheme="majorBidi" w:cstheme="majorBidi"/>
        </w:rPr>
        <w:t xml:space="preserve"> him several times.</w:t>
      </w:r>
    </w:p>
    <w:p w:rsidR="000B3F39" w:rsidRPr="000A1EDD" w:rsidRDefault="000B3F39" w:rsidP="00030C4B">
      <w:pPr>
        <w:pStyle w:val="SingleTxtG"/>
        <w:rPr>
          <w:rFonts w:asciiTheme="majorBidi" w:hAnsiTheme="majorBidi" w:cstheme="majorBidi"/>
        </w:rPr>
      </w:pPr>
      <w:r w:rsidRPr="000A1EDD">
        <w:rPr>
          <w:rFonts w:asciiTheme="majorBidi" w:hAnsiTheme="majorBidi" w:cstheme="majorBidi"/>
        </w:rPr>
        <w:lastRenderedPageBreak/>
        <w:t xml:space="preserve">2.12 </w:t>
      </w:r>
      <w:r w:rsidR="00030C4B" w:rsidRPr="000A1EDD">
        <w:rPr>
          <w:rFonts w:asciiTheme="majorBidi" w:hAnsiTheme="majorBidi" w:cstheme="majorBidi"/>
        </w:rPr>
        <w:tab/>
      </w:r>
      <w:r w:rsidR="00E25CB5" w:rsidRPr="000A1EDD">
        <w:rPr>
          <w:rFonts w:asciiTheme="majorBidi" w:hAnsiTheme="majorBidi" w:cstheme="majorBidi"/>
        </w:rPr>
        <w:t xml:space="preserve">On 22 August 2014, </w:t>
      </w:r>
      <w:r w:rsidR="00F42C24" w:rsidRPr="000A1EDD">
        <w:rPr>
          <w:rFonts w:asciiTheme="majorBidi" w:hAnsiTheme="majorBidi" w:cstheme="majorBidi"/>
        </w:rPr>
        <w:t xml:space="preserve">the complainant </w:t>
      </w:r>
      <w:r w:rsidR="00E25CB5" w:rsidRPr="000A1EDD">
        <w:rPr>
          <w:rFonts w:asciiTheme="majorBidi" w:hAnsiTheme="majorBidi" w:cstheme="majorBidi"/>
        </w:rPr>
        <w:t>appli</w:t>
      </w:r>
      <w:r w:rsidR="00675DDE" w:rsidRPr="000A1EDD">
        <w:rPr>
          <w:rFonts w:asciiTheme="majorBidi" w:hAnsiTheme="majorBidi" w:cstheme="majorBidi"/>
        </w:rPr>
        <w:t>ed</w:t>
      </w:r>
      <w:r w:rsidR="00E25CB5" w:rsidRPr="000A1EDD">
        <w:rPr>
          <w:rFonts w:asciiTheme="majorBidi" w:hAnsiTheme="majorBidi" w:cstheme="majorBidi"/>
        </w:rPr>
        <w:t xml:space="preserve"> for interim measures </w:t>
      </w:r>
      <w:r w:rsidR="00675DDE" w:rsidRPr="000A1EDD">
        <w:rPr>
          <w:rFonts w:asciiTheme="majorBidi" w:hAnsiTheme="majorBidi" w:cstheme="majorBidi"/>
        </w:rPr>
        <w:t>to</w:t>
      </w:r>
      <w:r w:rsidR="00E25CB5" w:rsidRPr="000A1EDD">
        <w:rPr>
          <w:rFonts w:asciiTheme="majorBidi" w:hAnsiTheme="majorBidi" w:cstheme="majorBidi"/>
        </w:rPr>
        <w:t xml:space="preserve"> the European Court of Human Rights</w:t>
      </w:r>
      <w:r w:rsidR="00E118A1" w:rsidRPr="000A1EDD">
        <w:rPr>
          <w:rFonts w:asciiTheme="majorBidi" w:hAnsiTheme="majorBidi" w:cstheme="majorBidi"/>
        </w:rPr>
        <w:t>.</w:t>
      </w:r>
      <w:r w:rsidR="00E25CB5" w:rsidRPr="000A1EDD">
        <w:rPr>
          <w:rFonts w:asciiTheme="majorBidi" w:hAnsiTheme="majorBidi" w:cstheme="majorBidi"/>
        </w:rPr>
        <w:t xml:space="preserve"> On 27 August 2014, the </w:t>
      </w:r>
      <w:r w:rsidR="00E118A1" w:rsidRPr="000A1EDD">
        <w:rPr>
          <w:rFonts w:asciiTheme="majorBidi" w:hAnsiTheme="majorBidi" w:cstheme="majorBidi"/>
        </w:rPr>
        <w:t xml:space="preserve">Court </w:t>
      </w:r>
      <w:r w:rsidR="00E25CB5" w:rsidRPr="000A1EDD">
        <w:rPr>
          <w:rFonts w:asciiTheme="majorBidi" w:hAnsiTheme="majorBidi" w:cstheme="majorBidi"/>
        </w:rPr>
        <w:t xml:space="preserve">rejected </w:t>
      </w:r>
      <w:r w:rsidR="00675DDE" w:rsidRPr="000A1EDD">
        <w:rPr>
          <w:rFonts w:asciiTheme="majorBidi" w:hAnsiTheme="majorBidi" w:cstheme="majorBidi"/>
        </w:rPr>
        <w:t xml:space="preserve">his </w:t>
      </w:r>
      <w:r w:rsidR="00E25CB5" w:rsidRPr="000A1EDD">
        <w:rPr>
          <w:rFonts w:asciiTheme="majorBidi" w:hAnsiTheme="majorBidi" w:cstheme="majorBidi"/>
        </w:rPr>
        <w:t>request</w:t>
      </w:r>
      <w:r w:rsidR="00CB56A6" w:rsidRPr="000A1EDD">
        <w:rPr>
          <w:rFonts w:asciiTheme="majorBidi" w:hAnsiTheme="majorBidi" w:cstheme="majorBidi"/>
        </w:rPr>
        <w:t>.</w:t>
      </w:r>
      <w:r w:rsidR="00030C4B" w:rsidRPr="000A1EDD">
        <w:rPr>
          <w:rStyle w:val="FootnoteReference"/>
          <w:rFonts w:asciiTheme="majorBidi" w:hAnsiTheme="majorBidi" w:cstheme="majorBidi"/>
        </w:rPr>
        <w:footnoteReference w:id="4"/>
      </w:r>
      <w:r w:rsidR="00E25CB5" w:rsidRPr="000A1EDD">
        <w:rPr>
          <w:rFonts w:asciiTheme="majorBidi" w:hAnsiTheme="majorBidi" w:cstheme="majorBidi"/>
        </w:rPr>
        <w:t xml:space="preserve"> In this connection, the complainant s</w:t>
      </w:r>
      <w:r w:rsidR="00A43471" w:rsidRPr="000A1EDD">
        <w:rPr>
          <w:rFonts w:asciiTheme="majorBidi" w:hAnsiTheme="majorBidi" w:cstheme="majorBidi"/>
        </w:rPr>
        <w:t xml:space="preserve">tates that his application to the </w:t>
      </w:r>
      <w:r w:rsidR="00E118A1" w:rsidRPr="000A1EDD">
        <w:rPr>
          <w:rFonts w:asciiTheme="majorBidi" w:hAnsiTheme="majorBidi" w:cstheme="majorBidi"/>
        </w:rPr>
        <w:t xml:space="preserve">Court </w:t>
      </w:r>
      <w:r w:rsidR="00A43471" w:rsidRPr="000A1EDD">
        <w:rPr>
          <w:rFonts w:asciiTheme="majorBidi" w:hAnsiTheme="majorBidi" w:cstheme="majorBidi"/>
        </w:rPr>
        <w:t xml:space="preserve">was rejected as inadmissible without a reason, and that his case has </w:t>
      </w:r>
      <w:r w:rsidR="00E118A1" w:rsidRPr="000A1EDD">
        <w:rPr>
          <w:rFonts w:asciiTheme="majorBidi" w:hAnsiTheme="majorBidi" w:cstheme="majorBidi"/>
        </w:rPr>
        <w:t xml:space="preserve">therefore </w:t>
      </w:r>
      <w:r w:rsidR="00A43471" w:rsidRPr="000A1EDD">
        <w:rPr>
          <w:rFonts w:asciiTheme="majorBidi" w:hAnsiTheme="majorBidi" w:cstheme="majorBidi"/>
        </w:rPr>
        <w:t>not been examined by any international court of settlement.</w:t>
      </w:r>
    </w:p>
    <w:p w:rsidR="007821E7" w:rsidRPr="000A1EDD" w:rsidRDefault="00CF0035" w:rsidP="00AD3171">
      <w:pPr>
        <w:pStyle w:val="H23G"/>
        <w:ind w:right="567"/>
        <w:jc w:val="both"/>
        <w:rPr>
          <w:rFonts w:asciiTheme="majorBidi" w:hAnsiTheme="majorBidi" w:cstheme="majorBidi"/>
          <w:snapToGrid w:val="0"/>
        </w:rPr>
      </w:pPr>
      <w:r w:rsidRPr="000A1EDD">
        <w:rPr>
          <w:rFonts w:asciiTheme="majorBidi" w:hAnsiTheme="majorBidi" w:cstheme="majorBidi"/>
          <w:snapToGrid w:val="0"/>
        </w:rPr>
        <w:tab/>
      </w:r>
      <w:r w:rsidR="007821E7" w:rsidRPr="000A1EDD">
        <w:rPr>
          <w:rFonts w:asciiTheme="majorBidi" w:hAnsiTheme="majorBidi" w:cstheme="majorBidi"/>
          <w:snapToGrid w:val="0"/>
        </w:rPr>
        <w:tab/>
      </w:r>
      <w:r w:rsidR="007F1728" w:rsidRPr="000A1EDD">
        <w:rPr>
          <w:rFonts w:asciiTheme="majorBidi" w:hAnsiTheme="majorBidi" w:cstheme="majorBidi"/>
          <w:snapToGrid w:val="0"/>
        </w:rPr>
        <w:t>T</w:t>
      </w:r>
      <w:r w:rsidR="007821E7" w:rsidRPr="000A1EDD">
        <w:rPr>
          <w:rFonts w:asciiTheme="majorBidi" w:hAnsiTheme="majorBidi" w:cstheme="majorBidi"/>
          <w:snapToGrid w:val="0"/>
        </w:rPr>
        <w:t>he complaint</w:t>
      </w:r>
    </w:p>
    <w:p w:rsidR="00147B55" w:rsidRPr="000A1EDD" w:rsidRDefault="001F3BCA" w:rsidP="00030C4B">
      <w:pPr>
        <w:pStyle w:val="SingleTxtG"/>
        <w:rPr>
          <w:rFonts w:asciiTheme="majorBidi" w:hAnsiTheme="majorBidi" w:cstheme="majorBidi"/>
        </w:rPr>
      </w:pPr>
      <w:r w:rsidRPr="000A1EDD">
        <w:rPr>
          <w:rFonts w:asciiTheme="majorBidi" w:hAnsiTheme="majorBidi" w:cstheme="majorBidi"/>
          <w:snapToGrid w:val="0"/>
        </w:rPr>
        <w:t>3.</w:t>
      </w:r>
      <w:r w:rsidR="00B60C42" w:rsidRPr="000A1EDD">
        <w:rPr>
          <w:rFonts w:asciiTheme="majorBidi" w:hAnsiTheme="majorBidi" w:cstheme="majorBidi"/>
          <w:snapToGrid w:val="0"/>
        </w:rPr>
        <w:t xml:space="preserve"> </w:t>
      </w:r>
      <w:r w:rsidR="00030C4B" w:rsidRPr="000A1EDD">
        <w:rPr>
          <w:rFonts w:asciiTheme="majorBidi" w:hAnsiTheme="majorBidi" w:cstheme="majorBidi"/>
          <w:snapToGrid w:val="0"/>
        </w:rPr>
        <w:tab/>
      </w:r>
      <w:r w:rsidR="00B60C42" w:rsidRPr="000A1EDD">
        <w:rPr>
          <w:rFonts w:asciiTheme="majorBidi" w:hAnsiTheme="majorBidi" w:cstheme="majorBidi"/>
        </w:rPr>
        <w:t xml:space="preserve">The complainant claims that by deporting him to Bangladesh, the State party would violate article 3 of the Convention. </w:t>
      </w:r>
      <w:r w:rsidR="00CD097C" w:rsidRPr="000A1EDD">
        <w:rPr>
          <w:rFonts w:asciiTheme="majorBidi" w:hAnsiTheme="majorBidi" w:cstheme="majorBidi"/>
        </w:rPr>
        <w:t>Owing</w:t>
      </w:r>
      <w:r w:rsidR="00B60C42" w:rsidRPr="000A1EDD">
        <w:rPr>
          <w:rFonts w:asciiTheme="majorBidi" w:hAnsiTheme="majorBidi" w:cstheme="majorBidi"/>
        </w:rPr>
        <w:t xml:space="preserve"> to his involvement in Jamaat-e-Islami, </w:t>
      </w:r>
      <w:r w:rsidR="00CD097C" w:rsidRPr="000A1EDD">
        <w:rPr>
          <w:rFonts w:asciiTheme="majorBidi" w:hAnsiTheme="majorBidi" w:cstheme="majorBidi"/>
        </w:rPr>
        <w:t xml:space="preserve">which is </w:t>
      </w:r>
      <w:r w:rsidR="00B60C42" w:rsidRPr="000A1EDD">
        <w:rPr>
          <w:rFonts w:asciiTheme="majorBidi" w:hAnsiTheme="majorBidi" w:cstheme="majorBidi"/>
        </w:rPr>
        <w:t>prohibited from participating in elections in Bangladesh, he fears persecut</w:t>
      </w:r>
      <w:r w:rsidR="00675DDE" w:rsidRPr="000A1EDD">
        <w:rPr>
          <w:rFonts w:asciiTheme="majorBidi" w:hAnsiTheme="majorBidi" w:cstheme="majorBidi"/>
        </w:rPr>
        <w:t>ion</w:t>
      </w:r>
      <w:r w:rsidR="00B60C42" w:rsidRPr="000A1EDD">
        <w:rPr>
          <w:rFonts w:asciiTheme="majorBidi" w:hAnsiTheme="majorBidi" w:cstheme="majorBidi"/>
        </w:rPr>
        <w:t xml:space="preserve"> by his political opponents there. </w:t>
      </w:r>
      <w:r w:rsidR="00675DDE" w:rsidRPr="000A1EDD">
        <w:rPr>
          <w:rFonts w:asciiTheme="majorBidi" w:hAnsiTheme="majorBidi" w:cstheme="majorBidi"/>
        </w:rPr>
        <w:t xml:space="preserve">He </w:t>
      </w:r>
      <w:r w:rsidR="00B60C42" w:rsidRPr="000A1EDD">
        <w:rPr>
          <w:rFonts w:asciiTheme="majorBidi" w:hAnsiTheme="majorBidi" w:cstheme="majorBidi"/>
        </w:rPr>
        <w:t xml:space="preserve">asserts that his opponents </w:t>
      </w:r>
      <w:r w:rsidR="00CD097C" w:rsidRPr="000A1EDD">
        <w:rPr>
          <w:rFonts w:asciiTheme="majorBidi" w:hAnsiTheme="majorBidi" w:cstheme="majorBidi"/>
        </w:rPr>
        <w:t xml:space="preserve">have </w:t>
      </w:r>
      <w:r w:rsidR="00B60C42" w:rsidRPr="000A1EDD">
        <w:rPr>
          <w:rFonts w:asciiTheme="majorBidi" w:hAnsiTheme="majorBidi" w:cstheme="majorBidi"/>
        </w:rPr>
        <w:t xml:space="preserve">already subjected him to torture once by beating, stabbing and burning him with cigarettes, resulting in his hospitalization. </w:t>
      </w:r>
      <w:r w:rsidR="00675DDE" w:rsidRPr="000A1EDD">
        <w:rPr>
          <w:rFonts w:asciiTheme="majorBidi" w:hAnsiTheme="majorBidi" w:cstheme="majorBidi"/>
        </w:rPr>
        <w:t>He</w:t>
      </w:r>
      <w:r w:rsidR="00B60C42" w:rsidRPr="000A1EDD">
        <w:rPr>
          <w:rFonts w:asciiTheme="majorBidi" w:hAnsiTheme="majorBidi" w:cstheme="majorBidi"/>
        </w:rPr>
        <w:t xml:space="preserve"> argues that because of widespread corruption in Bangladesh, he can</w:t>
      </w:r>
      <w:r w:rsidR="00CD097C" w:rsidRPr="000A1EDD">
        <w:rPr>
          <w:rFonts w:asciiTheme="majorBidi" w:hAnsiTheme="majorBidi" w:cstheme="majorBidi"/>
        </w:rPr>
        <w:t>not</w:t>
      </w:r>
      <w:r w:rsidR="00B60C42" w:rsidRPr="000A1EDD">
        <w:rPr>
          <w:rFonts w:asciiTheme="majorBidi" w:hAnsiTheme="majorBidi" w:cstheme="majorBidi"/>
        </w:rPr>
        <w:t xml:space="preserve"> rely on the authorities for protection, because both the police and other authorities will be used as a tool against him. The complainant also maintains that nothing supports the </w:t>
      </w:r>
      <w:r w:rsidR="00BA6C22" w:rsidRPr="000A1EDD">
        <w:rPr>
          <w:rFonts w:asciiTheme="majorBidi" w:hAnsiTheme="majorBidi" w:cstheme="majorBidi"/>
        </w:rPr>
        <w:t xml:space="preserve">statement </w:t>
      </w:r>
      <w:r w:rsidR="00B60C42" w:rsidRPr="000A1EDD">
        <w:rPr>
          <w:rFonts w:asciiTheme="majorBidi" w:hAnsiTheme="majorBidi" w:cstheme="majorBidi"/>
        </w:rPr>
        <w:t>of the Swedish authorities that the threat against his life would have diminished after eight years.</w:t>
      </w:r>
    </w:p>
    <w:p w:rsidR="007821E7" w:rsidRPr="000A1EDD" w:rsidRDefault="007821E7" w:rsidP="00AD3171">
      <w:pPr>
        <w:pStyle w:val="H23G"/>
        <w:ind w:right="567"/>
        <w:jc w:val="both"/>
        <w:rPr>
          <w:rFonts w:asciiTheme="majorBidi" w:hAnsiTheme="majorBidi" w:cstheme="majorBidi"/>
          <w:snapToGrid w:val="0"/>
        </w:rPr>
      </w:pPr>
      <w:r w:rsidRPr="000A1EDD">
        <w:rPr>
          <w:rFonts w:asciiTheme="majorBidi" w:hAnsiTheme="majorBidi" w:cstheme="majorBidi"/>
          <w:snapToGrid w:val="0"/>
        </w:rPr>
        <w:tab/>
      </w:r>
      <w:r w:rsidRPr="000A1EDD">
        <w:rPr>
          <w:rFonts w:asciiTheme="majorBidi" w:hAnsiTheme="majorBidi" w:cstheme="majorBidi"/>
          <w:snapToGrid w:val="0"/>
        </w:rPr>
        <w:tab/>
        <w:t xml:space="preserve">State party’s observations on </w:t>
      </w:r>
      <w:r w:rsidR="006A2B5E" w:rsidRPr="000A1EDD">
        <w:rPr>
          <w:rFonts w:asciiTheme="majorBidi" w:hAnsiTheme="majorBidi" w:cstheme="majorBidi"/>
          <w:snapToGrid w:val="0"/>
        </w:rPr>
        <w:t>admissibility</w:t>
      </w:r>
      <w:r w:rsidR="00597408" w:rsidRPr="000A1EDD">
        <w:rPr>
          <w:rFonts w:asciiTheme="majorBidi" w:hAnsiTheme="majorBidi" w:cstheme="majorBidi"/>
          <w:snapToGrid w:val="0"/>
        </w:rPr>
        <w:t xml:space="preserve"> and the merits</w:t>
      </w:r>
    </w:p>
    <w:p w:rsidR="00CE4917" w:rsidRPr="000A1EDD" w:rsidRDefault="007821E7" w:rsidP="00422B28">
      <w:pPr>
        <w:pStyle w:val="SingleTxtG"/>
        <w:rPr>
          <w:rFonts w:asciiTheme="majorBidi" w:hAnsiTheme="majorBidi" w:cstheme="majorBidi"/>
          <w:lang w:eastAsia="en-GB"/>
        </w:rPr>
      </w:pPr>
      <w:r w:rsidRPr="000A1EDD">
        <w:rPr>
          <w:rFonts w:asciiTheme="majorBidi" w:hAnsiTheme="majorBidi" w:cstheme="majorBidi"/>
          <w:snapToGrid w:val="0"/>
        </w:rPr>
        <w:t>4.1</w:t>
      </w:r>
      <w:r w:rsidRPr="000A1EDD">
        <w:rPr>
          <w:rFonts w:asciiTheme="majorBidi" w:hAnsiTheme="majorBidi" w:cstheme="majorBidi"/>
          <w:snapToGrid w:val="0"/>
        </w:rPr>
        <w:tab/>
      </w:r>
      <w:r w:rsidR="00E02CCE" w:rsidRPr="000A1EDD">
        <w:rPr>
          <w:rFonts w:asciiTheme="majorBidi" w:hAnsiTheme="majorBidi" w:cstheme="majorBidi"/>
          <w:snapToGrid w:val="0"/>
        </w:rPr>
        <w:t xml:space="preserve">On 27 March 2015, the State party submitted its observations </w:t>
      </w:r>
      <w:r w:rsidR="00BA6C22" w:rsidRPr="000A1EDD">
        <w:rPr>
          <w:rFonts w:asciiTheme="majorBidi" w:hAnsiTheme="majorBidi" w:cstheme="majorBidi"/>
          <w:snapToGrid w:val="0"/>
        </w:rPr>
        <w:t xml:space="preserve">on </w:t>
      </w:r>
      <w:r w:rsidR="00E02CCE" w:rsidRPr="000A1EDD">
        <w:rPr>
          <w:rFonts w:asciiTheme="majorBidi" w:hAnsiTheme="majorBidi" w:cstheme="majorBidi"/>
          <w:snapToGrid w:val="0"/>
        </w:rPr>
        <w:t xml:space="preserve">admissibility and </w:t>
      </w:r>
      <w:r w:rsidR="00CD097C" w:rsidRPr="000A1EDD">
        <w:rPr>
          <w:rFonts w:asciiTheme="majorBidi" w:hAnsiTheme="majorBidi" w:cstheme="majorBidi"/>
          <w:snapToGrid w:val="0"/>
        </w:rPr>
        <w:t xml:space="preserve">the </w:t>
      </w:r>
      <w:r w:rsidR="00E02CCE" w:rsidRPr="000A1EDD">
        <w:rPr>
          <w:rFonts w:asciiTheme="majorBidi" w:hAnsiTheme="majorBidi" w:cstheme="majorBidi"/>
          <w:snapToGrid w:val="0"/>
        </w:rPr>
        <w:t xml:space="preserve">merits. As to admissibility, the State party refers to article 22 </w:t>
      </w:r>
      <w:r w:rsidR="00422B28" w:rsidRPr="000A1EDD">
        <w:rPr>
          <w:rFonts w:asciiTheme="majorBidi" w:hAnsiTheme="majorBidi" w:cstheme="majorBidi"/>
          <w:snapToGrid w:val="0"/>
        </w:rPr>
        <w:t>(</w:t>
      </w:r>
      <w:r w:rsidR="00E02CCE" w:rsidRPr="000A1EDD">
        <w:rPr>
          <w:rFonts w:asciiTheme="majorBidi" w:hAnsiTheme="majorBidi" w:cstheme="majorBidi"/>
          <w:snapToGrid w:val="0"/>
        </w:rPr>
        <w:t>5</w:t>
      </w:r>
      <w:r w:rsidR="00422B28" w:rsidRPr="000A1EDD">
        <w:rPr>
          <w:rFonts w:asciiTheme="majorBidi" w:hAnsiTheme="majorBidi" w:cstheme="majorBidi"/>
          <w:snapToGrid w:val="0"/>
        </w:rPr>
        <w:t>)</w:t>
      </w:r>
      <w:r w:rsidR="00E02CCE" w:rsidRPr="000A1EDD">
        <w:rPr>
          <w:rFonts w:asciiTheme="majorBidi" w:hAnsiTheme="majorBidi" w:cstheme="majorBidi"/>
          <w:snapToGrid w:val="0"/>
        </w:rPr>
        <w:t xml:space="preserve"> (a) of the Convention and </w:t>
      </w:r>
      <w:r w:rsidR="00CE4917" w:rsidRPr="000A1EDD">
        <w:rPr>
          <w:rFonts w:asciiTheme="majorBidi" w:hAnsiTheme="majorBidi" w:cstheme="majorBidi"/>
          <w:snapToGrid w:val="0"/>
        </w:rPr>
        <w:t>observes</w:t>
      </w:r>
      <w:r w:rsidR="00E02CCE" w:rsidRPr="000A1EDD">
        <w:rPr>
          <w:rFonts w:asciiTheme="majorBidi" w:hAnsiTheme="majorBidi" w:cstheme="majorBidi"/>
          <w:snapToGrid w:val="0"/>
        </w:rPr>
        <w:t xml:space="preserve"> that </w:t>
      </w:r>
      <w:r w:rsidR="00CE4917" w:rsidRPr="000A1EDD">
        <w:rPr>
          <w:rFonts w:asciiTheme="majorBidi" w:hAnsiTheme="majorBidi" w:cstheme="majorBidi"/>
          <w:lang w:eastAsia="en-GB"/>
        </w:rPr>
        <w:t xml:space="preserve">it follows from the complainant’s submissions that he has previously </w:t>
      </w:r>
      <w:r w:rsidR="00C42711" w:rsidRPr="000A1EDD">
        <w:rPr>
          <w:rStyle w:val="SingleTxtGChar"/>
          <w:rFonts w:asciiTheme="majorBidi" w:hAnsiTheme="majorBidi" w:cstheme="majorBidi"/>
        </w:rPr>
        <w:t xml:space="preserve">lodged an application before the </w:t>
      </w:r>
      <w:r w:rsidR="00CD097C" w:rsidRPr="000A1EDD">
        <w:rPr>
          <w:rFonts w:asciiTheme="majorBidi" w:hAnsiTheme="majorBidi" w:cstheme="majorBidi"/>
        </w:rPr>
        <w:t>European Court of Human Rights,</w:t>
      </w:r>
      <w:r w:rsidR="00CD097C" w:rsidRPr="000A1EDD">
        <w:rPr>
          <w:rStyle w:val="SingleTxtGChar"/>
          <w:rFonts w:asciiTheme="majorBidi" w:hAnsiTheme="majorBidi" w:cstheme="majorBidi"/>
        </w:rPr>
        <w:t xml:space="preserve"> </w:t>
      </w:r>
      <w:r w:rsidR="00C42711" w:rsidRPr="000A1EDD">
        <w:rPr>
          <w:rStyle w:val="SingleTxtGChar"/>
          <w:rFonts w:asciiTheme="majorBidi" w:hAnsiTheme="majorBidi" w:cstheme="majorBidi"/>
        </w:rPr>
        <w:t xml:space="preserve">in which he also </w:t>
      </w:r>
      <w:r w:rsidR="00CD097C" w:rsidRPr="000A1EDD">
        <w:rPr>
          <w:rStyle w:val="SingleTxtGChar"/>
          <w:rFonts w:asciiTheme="majorBidi" w:hAnsiTheme="majorBidi" w:cstheme="majorBidi"/>
        </w:rPr>
        <w:t xml:space="preserve">made </w:t>
      </w:r>
      <w:r w:rsidR="00C42711" w:rsidRPr="000A1EDD">
        <w:rPr>
          <w:rStyle w:val="SingleTxtGChar"/>
          <w:rFonts w:asciiTheme="majorBidi" w:hAnsiTheme="majorBidi" w:cstheme="majorBidi"/>
        </w:rPr>
        <w:t>claim</w:t>
      </w:r>
      <w:r w:rsidR="00CD097C" w:rsidRPr="000A1EDD">
        <w:rPr>
          <w:rStyle w:val="SingleTxtGChar"/>
          <w:rFonts w:asciiTheme="majorBidi" w:hAnsiTheme="majorBidi" w:cstheme="majorBidi"/>
        </w:rPr>
        <w:t>s</w:t>
      </w:r>
      <w:r w:rsidR="00C42711" w:rsidRPr="000A1EDD">
        <w:rPr>
          <w:rStyle w:val="SingleTxtGChar"/>
          <w:rFonts w:asciiTheme="majorBidi" w:hAnsiTheme="majorBidi" w:cstheme="majorBidi"/>
        </w:rPr>
        <w:t xml:space="preserve"> about the alleged risk he would be subjected to if returned to Bangladesh. </w:t>
      </w:r>
      <w:r w:rsidR="00BA6C22" w:rsidRPr="000A1EDD">
        <w:rPr>
          <w:rStyle w:val="SingleTxtGChar"/>
          <w:rFonts w:asciiTheme="majorBidi" w:hAnsiTheme="majorBidi" w:cstheme="majorBidi"/>
        </w:rPr>
        <w:t xml:space="preserve">Thus, </w:t>
      </w:r>
      <w:r w:rsidR="00C42711" w:rsidRPr="000A1EDD">
        <w:rPr>
          <w:rStyle w:val="SingleTxtGChar"/>
          <w:rFonts w:asciiTheme="majorBidi" w:hAnsiTheme="majorBidi" w:cstheme="majorBidi"/>
        </w:rPr>
        <w:t xml:space="preserve">his application before the </w:t>
      </w:r>
      <w:r w:rsidR="00CD097C" w:rsidRPr="000A1EDD">
        <w:rPr>
          <w:rStyle w:val="SingleTxtGChar"/>
          <w:rFonts w:asciiTheme="majorBidi" w:hAnsiTheme="majorBidi" w:cstheme="majorBidi"/>
        </w:rPr>
        <w:t xml:space="preserve">Court </w:t>
      </w:r>
      <w:r w:rsidR="00C42711" w:rsidRPr="000A1EDD">
        <w:rPr>
          <w:rStyle w:val="SingleTxtGChar"/>
          <w:rFonts w:asciiTheme="majorBidi" w:hAnsiTheme="majorBidi" w:cstheme="majorBidi"/>
        </w:rPr>
        <w:t>and his complaint before the Committee refer to the same parties, same facts and the same substantive rights</w:t>
      </w:r>
      <w:r w:rsidR="00BA6C22" w:rsidRPr="000A1EDD">
        <w:rPr>
          <w:rStyle w:val="SingleTxtGChar"/>
          <w:rFonts w:asciiTheme="majorBidi" w:hAnsiTheme="majorBidi" w:cstheme="majorBidi"/>
        </w:rPr>
        <w:t xml:space="preserve">, i.e. </w:t>
      </w:r>
      <w:r w:rsidR="00C42711" w:rsidRPr="000A1EDD">
        <w:rPr>
          <w:rStyle w:val="SingleTxtGChar"/>
          <w:rFonts w:asciiTheme="majorBidi" w:hAnsiTheme="majorBidi" w:cstheme="majorBidi"/>
        </w:rPr>
        <w:t>the same matter.</w:t>
      </w:r>
      <w:r w:rsidR="00030C4B" w:rsidRPr="000A1EDD">
        <w:rPr>
          <w:rStyle w:val="FootnoteReference"/>
          <w:rFonts w:asciiTheme="majorBidi" w:hAnsiTheme="majorBidi" w:cstheme="majorBidi"/>
        </w:rPr>
        <w:footnoteReference w:id="5"/>
      </w:r>
      <w:r w:rsidR="00CE4917" w:rsidRPr="000A1EDD">
        <w:rPr>
          <w:rFonts w:asciiTheme="majorBidi" w:hAnsiTheme="majorBidi" w:cstheme="majorBidi"/>
          <w:lang w:eastAsia="en-GB"/>
        </w:rPr>
        <w:t xml:space="preserve"> </w:t>
      </w:r>
    </w:p>
    <w:p w:rsidR="00DD73B1" w:rsidRPr="000A1EDD" w:rsidRDefault="00276D41" w:rsidP="00344369">
      <w:pPr>
        <w:pStyle w:val="SingleTxtG"/>
        <w:rPr>
          <w:rFonts w:asciiTheme="majorBidi" w:hAnsiTheme="majorBidi" w:cstheme="majorBidi"/>
          <w:lang w:eastAsia="en-GB"/>
        </w:rPr>
      </w:pPr>
      <w:r w:rsidRPr="000A1EDD">
        <w:rPr>
          <w:rFonts w:asciiTheme="majorBidi" w:hAnsiTheme="majorBidi" w:cstheme="majorBidi"/>
          <w:lang w:eastAsia="en-GB"/>
        </w:rPr>
        <w:t xml:space="preserve">4.2 </w:t>
      </w:r>
      <w:r w:rsidR="00030C4B" w:rsidRPr="000A1EDD">
        <w:rPr>
          <w:rFonts w:asciiTheme="majorBidi" w:hAnsiTheme="majorBidi" w:cstheme="majorBidi"/>
          <w:lang w:eastAsia="en-GB"/>
        </w:rPr>
        <w:tab/>
      </w:r>
      <w:r w:rsidRPr="000A1EDD">
        <w:rPr>
          <w:rFonts w:asciiTheme="majorBidi" w:hAnsiTheme="majorBidi" w:cstheme="majorBidi"/>
          <w:lang w:eastAsia="en-GB"/>
        </w:rPr>
        <w:t>Contrary</w:t>
      </w:r>
      <w:r w:rsidR="00FD7B17" w:rsidRPr="000A1EDD">
        <w:rPr>
          <w:rFonts w:asciiTheme="majorBidi" w:hAnsiTheme="majorBidi" w:cstheme="majorBidi"/>
          <w:lang w:eastAsia="en-GB"/>
        </w:rPr>
        <w:t xml:space="preserve"> to the complainant’s view</w:t>
      </w:r>
      <w:r w:rsidRPr="000A1EDD">
        <w:rPr>
          <w:rFonts w:asciiTheme="majorBidi" w:hAnsiTheme="majorBidi" w:cstheme="majorBidi"/>
          <w:lang w:eastAsia="en-GB"/>
        </w:rPr>
        <w:t xml:space="preserve">, the </w:t>
      </w:r>
      <w:r w:rsidR="00CD097C" w:rsidRPr="000A1EDD">
        <w:rPr>
          <w:rFonts w:asciiTheme="majorBidi" w:hAnsiTheme="majorBidi" w:cstheme="majorBidi"/>
        </w:rPr>
        <w:t>European Court of Human Rights</w:t>
      </w:r>
      <w:r w:rsidRPr="000A1EDD">
        <w:rPr>
          <w:rFonts w:asciiTheme="majorBidi" w:hAnsiTheme="majorBidi" w:cstheme="majorBidi"/>
          <w:lang w:eastAsia="en-GB"/>
        </w:rPr>
        <w:t xml:space="preserve"> has examined the complaint within the meaning of article 22 </w:t>
      </w:r>
      <w:r w:rsidR="00422B28" w:rsidRPr="000A1EDD">
        <w:rPr>
          <w:rFonts w:asciiTheme="majorBidi" w:hAnsiTheme="majorBidi" w:cstheme="majorBidi"/>
          <w:lang w:eastAsia="en-GB"/>
        </w:rPr>
        <w:t>(</w:t>
      </w:r>
      <w:r w:rsidRPr="000A1EDD">
        <w:rPr>
          <w:rFonts w:asciiTheme="majorBidi" w:hAnsiTheme="majorBidi" w:cstheme="majorBidi"/>
          <w:lang w:eastAsia="en-GB"/>
        </w:rPr>
        <w:t>5</w:t>
      </w:r>
      <w:r w:rsidR="00422B28" w:rsidRPr="000A1EDD">
        <w:rPr>
          <w:rFonts w:asciiTheme="majorBidi" w:hAnsiTheme="majorBidi" w:cstheme="majorBidi"/>
          <w:lang w:eastAsia="en-GB"/>
        </w:rPr>
        <w:t>)</w:t>
      </w:r>
      <w:r w:rsidRPr="000A1EDD">
        <w:rPr>
          <w:rFonts w:asciiTheme="majorBidi" w:hAnsiTheme="majorBidi" w:cstheme="majorBidi"/>
          <w:lang w:eastAsia="en-GB"/>
        </w:rPr>
        <w:t xml:space="preserve"> (a) of the Convention. According to the decision</w:t>
      </w:r>
      <w:r w:rsidR="00CD097C" w:rsidRPr="000A1EDD">
        <w:rPr>
          <w:rFonts w:asciiTheme="majorBidi" w:hAnsiTheme="majorBidi" w:cstheme="majorBidi"/>
          <w:lang w:eastAsia="en-GB"/>
        </w:rPr>
        <w:t xml:space="preserve"> of the Court</w:t>
      </w:r>
      <w:r w:rsidRPr="000A1EDD">
        <w:rPr>
          <w:rFonts w:asciiTheme="majorBidi" w:hAnsiTheme="majorBidi" w:cstheme="majorBidi"/>
          <w:lang w:eastAsia="en-GB"/>
        </w:rPr>
        <w:t xml:space="preserve">, the application was inadmissible as </w:t>
      </w:r>
      <w:r w:rsidR="00FD7B17" w:rsidRPr="000A1EDD">
        <w:rPr>
          <w:rFonts w:asciiTheme="majorBidi" w:hAnsiTheme="majorBidi" w:cstheme="majorBidi"/>
          <w:lang w:eastAsia="en-GB"/>
        </w:rPr>
        <w:t>his</w:t>
      </w:r>
      <w:r w:rsidRPr="000A1EDD">
        <w:rPr>
          <w:rFonts w:asciiTheme="majorBidi" w:hAnsiTheme="majorBidi" w:cstheme="majorBidi"/>
          <w:lang w:eastAsia="en-GB"/>
        </w:rPr>
        <w:t xml:space="preserve"> complaint, in </w:t>
      </w:r>
      <w:r w:rsidR="00EE6527" w:rsidRPr="000A1EDD">
        <w:rPr>
          <w:rFonts w:asciiTheme="majorBidi" w:hAnsiTheme="majorBidi" w:cstheme="majorBidi"/>
          <w:lang w:eastAsia="en-GB"/>
        </w:rPr>
        <w:t xml:space="preserve">the </w:t>
      </w:r>
      <w:r w:rsidRPr="000A1EDD">
        <w:rPr>
          <w:rFonts w:asciiTheme="majorBidi" w:hAnsiTheme="majorBidi" w:cstheme="majorBidi"/>
          <w:lang w:eastAsia="en-GB"/>
        </w:rPr>
        <w:t xml:space="preserve">light of the material </w:t>
      </w:r>
      <w:r w:rsidR="00BA6C22" w:rsidRPr="000A1EDD">
        <w:rPr>
          <w:rFonts w:asciiTheme="majorBidi" w:hAnsiTheme="majorBidi" w:cstheme="majorBidi"/>
          <w:lang w:eastAsia="en-GB"/>
        </w:rPr>
        <w:t>on file</w:t>
      </w:r>
      <w:r w:rsidRPr="000A1EDD">
        <w:rPr>
          <w:rFonts w:asciiTheme="majorBidi" w:hAnsiTheme="majorBidi" w:cstheme="majorBidi"/>
          <w:lang w:eastAsia="en-GB"/>
        </w:rPr>
        <w:t xml:space="preserve">, did not disclose any appearance of a violation of the rights and freedoms set out in the European Convention </w:t>
      </w:r>
      <w:r w:rsidR="00CD097C" w:rsidRPr="000A1EDD">
        <w:rPr>
          <w:rFonts w:asciiTheme="majorBidi" w:hAnsiTheme="majorBidi" w:cstheme="majorBidi"/>
          <w:lang w:eastAsia="en-GB"/>
        </w:rPr>
        <w:t xml:space="preserve">on Human Rights </w:t>
      </w:r>
      <w:r w:rsidRPr="000A1EDD">
        <w:rPr>
          <w:rFonts w:asciiTheme="majorBidi" w:hAnsiTheme="majorBidi" w:cstheme="majorBidi"/>
          <w:lang w:eastAsia="en-GB"/>
        </w:rPr>
        <w:t xml:space="preserve">or its protocols. </w:t>
      </w:r>
      <w:r w:rsidR="00BA6C22" w:rsidRPr="000A1EDD">
        <w:rPr>
          <w:rFonts w:asciiTheme="majorBidi" w:hAnsiTheme="majorBidi" w:cstheme="majorBidi"/>
          <w:lang w:eastAsia="en-GB"/>
        </w:rPr>
        <w:t>Thus</w:t>
      </w:r>
      <w:r w:rsidRPr="000A1EDD">
        <w:rPr>
          <w:rStyle w:val="SingleTxtGChar"/>
          <w:rFonts w:asciiTheme="majorBidi" w:hAnsiTheme="majorBidi" w:cstheme="majorBidi"/>
        </w:rPr>
        <w:t xml:space="preserve">, the State party holds that the wording of the decision by the </w:t>
      </w:r>
      <w:r w:rsidR="00CD097C" w:rsidRPr="000A1EDD">
        <w:rPr>
          <w:rStyle w:val="SingleTxtGChar"/>
          <w:rFonts w:asciiTheme="majorBidi" w:hAnsiTheme="majorBidi" w:cstheme="majorBidi"/>
        </w:rPr>
        <w:t xml:space="preserve">Court </w:t>
      </w:r>
      <w:r w:rsidRPr="000A1EDD">
        <w:rPr>
          <w:rStyle w:val="SingleTxtGChar"/>
          <w:rFonts w:asciiTheme="majorBidi" w:hAnsiTheme="majorBidi" w:cstheme="majorBidi"/>
        </w:rPr>
        <w:t>strongly indicates that the complainant’s application was declared inadmissible for reasons related to the substance of his application, rather than on purely procedural grounds. Accordingly, t</w:t>
      </w:r>
      <w:r w:rsidR="00BA6C22" w:rsidRPr="000A1EDD">
        <w:rPr>
          <w:rStyle w:val="SingleTxtGChar"/>
          <w:rFonts w:asciiTheme="majorBidi" w:hAnsiTheme="majorBidi" w:cstheme="majorBidi"/>
        </w:rPr>
        <w:t xml:space="preserve">he State party considers that </w:t>
      </w:r>
      <w:r w:rsidRPr="000A1EDD">
        <w:rPr>
          <w:rStyle w:val="SingleTxtGChar"/>
          <w:rFonts w:asciiTheme="majorBidi" w:hAnsiTheme="majorBidi" w:cstheme="majorBidi"/>
        </w:rPr>
        <w:t xml:space="preserve">the </w:t>
      </w:r>
      <w:r w:rsidR="00CD097C" w:rsidRPr="000A1EDD">
        <w:rPr>
          <w:rStyle w:val="SingleTxtGChar"/>
          <w:rFonts w:asciiTheme="majorBidi" w:hAnsiTheme="majorBidi" w:cstheme="majorBidi"/>
        </w:rPr>
        <w:t xml:space="preserve">Court </w:t>
      </w:r>
      <w:r w:rsidRPr="000A1EDD">
        <w:rPr>
          <w:rStyle w:val="SingleTxtGChar"/>
          <w:rFonts w:asciiTheme="majorBidi" w:hAnsiTheme="majorBidi" w:cstheme="majorBidi"/>
        </w:rPr>
        <w:t xml:space="preserve">has examined the complainant’s application within the meaning of article 22 </w:t>
      </w:r>
      <w:r w:rsidR="00344369" w:rsidRPr="000A1EDD">
        <w:rPr>
          <w:rStyle w:val="SingleTxtGChar"/>
          <w:rFonts w:asciiTheme="majorBidi" w:hAnsiTheme="majorBidi" w:cstheme="majorBidi"/>
        </w:rPr>
        <w:t>(</w:t>
      </w:r>
      <w:r w:rsidRPr="000A1EDD">
        <w:rPr>
          <w:rStyle w:val="SingleTxtGChar"/>
          <w:rFonts w:asciiTheme="majorBidi" w:hAnsiTheme="majorBidi" w:cstheme="majorBidi"/>
        </w:rPr>
        <w:t>5</w:t>
      </w:r>
      <w:r w:rsidR="00344369" w:rsidRPr="000A1EDD">
        <w:rPr>
          <w:rStyle w:val="SingleTxtGChar"/>
          <w:rFonts w:asciiTheme="majorBidi" w:hAnsiTheme="majorBidi" w:cstheme="majorBidi"/>
        </w:rPr>
        <w:t>)</w:t>
      </w:r>
      <w:r w:rsidRPr="000A1EDD">
        <w:rPr>
          <w:rStyle w:val="SingleTxtGChar"/>
          <w:rFonts w:asciiTheme="majorBidi" w:hAnsiTheme="majorBidi" w:cstheme="majorBidi"/>
        </w:rPr>
        <w:t xml:space="preserve"> (a) of the Convention</w:t>
      </w:r>
      <w:r w:rsidR="00265D2E" w:rsidRPr="000A1EDD">
        <w:rPr>
          <w:rStyle w:val="FootnoteReference"/>
          <w:rFonts w:asciiTheme="majorBidi" w:hAnsiTheme="majorBidi" w:cstheme="majorBidi"/>
        </w:rPr>
        <w:footnoteReference w:id="6"/>
      </w:r>
      <w:r w:rsidR="00BA6C22" w:rsidRPr="000A1EDD">
        <w:rPr>
          <w:rStyle w:val="SingleTxtGChar"/>
          <w:rFonts w:asciiTheme="majorBidi" w:hAnsiTheme="majorBidi" w:cstheme="majorBidi"/>
        </w:rPr>
        <w:t xml:space="preserve"> and </w:t>
      </w:r>
      <w:r w:rsidR="00DD73B1" w:rsidRPr="000A1EDD">
        <w:rPr>
          <w:rStyle w:val="SingleTxtGChar"/>
          <w:rFonts w:asciiTheme="majorBidi" w:hAnsiTheme="majorBidi" w:cstheme="majorBidi"/>
        </w:rPr>
        <w:t xml:space="preserve">therefore </w:t>
      </w:r>
      <w:r w:rsidR="00E7692D" w:rsidRPr="000A1EDD">
        <w:rPr>
          <w:rFonts w:asciiTheme="majorBidi" w:hAnsiTheme="majorBidi" w:cstheme="majorBidi"/>
          <w:lang w:eastAsia="en-GB"/>
        </w:rPr>
        <w:t xml:space="preserve">the present complaint is inadmissible pursuant to article 22 </w:t>
      </w:r>
      <w:r w:rsidR="00344369" w:rsidRPr="000A1EDD">
        <w:rPr>
          <w:rFonts w:asciiTheme="majorBidi" w:hAnsiTheme="majorBidi" w:cstheme="majorBidi"/>
          <w:lang w:eastAsia="en-GB"/>
        </w:rPr>
        <w:t>(</w:t>
      </w:r>
      <w:r w:rsidR="00E7692D" w:rsidRPr="000A1EDD">
        <w:rPr>
          <w:rFonts w:asciiTheme="majorBidi" w:hAnsiTheme="majorBidi" w:cstheme="majorBidi"/>
          <w:lang w:eastAsia="en-GB"/>
        </w:rPr>
        <w:t>5</w:t>
      </w:r>
      <w:r w:rsidR="00344369" w:rsidRPr="000A1EDD">
        <w:rPr>
          <w:rFonts w:asciiTheme="majorBidi" w:hAnsiTheme="majorBidi" w:cstheme="majorBidi"/>
          <w:lang w:eastAsia="en-GB"/>
        </w:rPr>
        <w:t>)</w:t>
      </w:r>
      <w:r w:rsidR="00E7692D" w:rsidRPr="000A1EDD">
        <w:rPr>
          <w:rFonts w:asciiTheme="majorBidi" w:hAnsiTheme="majorBidi" w:cstheme="majorBidi"/>
          <w:lang w:eastAsia="en-GB"/>
        </w:rPr>
        <w:t xml:space="preserve"> (a).</w:t>
      </w:r>
      <w:r w:rsidR="00265D2E" w:rsidRPr="000A1EDD">
        <w:rPr>
          <w:rStyle w:val="FootnoteReference"/>
          <w:rFonts w:asciiTheme="majorBidi" w:hAnsiTheme="majorBidi" w:cstheme="majorBidi"/>
          <w:lang w:eastAsia="en-GB"/>
        </w:rPr>
        <w:footnoteReference w:id="7"/>
      </w:r>
      <w:r w:rsidR="00202EA7" w:rsidRPr="000A1EDD">
        <w:rPr>
          <w:rFonts w:asciiTheme="majorBidi" w:hAnsiTheme="majorBidi" w:cstheme="majorBidi"/>
          <w:lang w:eastAsia="en-GB"/>
        </w:rPr>
        <w:t xml:space="preserve"> </w:t>
      </w:r>
    </w:p>
    <w:p w:rsidR="00E146B6" w:rsidRPr="000A1EDD" w:rsidRDefault="00147B55" w:rsidP="006F3454">
      <w:pPr>
        <w:pStyle w:val="SingleTxtG"/>
        <w:rPr>
          <w:rFonts w:asciiTheme="majorBidi" w:hAnsiTheme="majorBidi" w:cstheme="majorBidi"/>
          <w:lang w:eastAsia="en-GB"/>
        </w:rPr>
      </w:pPr>
      <w:r w:rsidRPr="000A1EDD">
        <w:rPr>
          <w:rFonts w:asciiTheme="majorBidi" w:hAnsiTheme="majorBidi" w:cstheme="majorBidi"/>
          <w:snapToGrid w:val="0"/>
        </w:rPr>
        <w:lastRenderedPageBreak/>
        <w:t>4.</w:t>
      </w:r>
      <w:r w:rsidR="000E0066" w:rsidRPr="000A1EDD">
        <w:rPr>
          <w:rFonts w:asciiTheme="majorBidi" w:hAnsiTheme="majorBidi" w:cstheme="majorBidi"/>
          <w:snapToGrid w:val="0"/>
        </w:rPr>
        <w:t>3</w:t>
      </w:r>
      <w:r w:rsidRPr="000A1EDD">
        <w:rPr>
          <w:rFonts w:asciiTheme="majorBidi" w:hAnsiTheme="majorBidi" w:cstheme="majorBidi"/>
          <w:snapToGrid w:val="0"/>
        </w:rPr>
        <w:tab/>
      </w:r>
      <w:r w:rsidR="00E146B6" w:rsidRPr="000A1EDD">
        <w:rPr>
          <w:rFonts w:asciiTheme="majorBidi" w:hAnsiTheme="majorBidi" w:cstheme="majorBidi"/>
          <w:lang w:eastAsia="en-GB"/>
        </w:rPr>
        <w:t>The State party further notes that the complainant’s assertion that he is at risk of being treated in a manner that would amount to a breach of article 3 of the Convention if returned to Bangladesh fails to rise to the minimum level of substantiation required for</w:t>
      </w:r>
      <w:r w:rsidR="00246D19" w:rsidRPr="000A1EDD">
        <w:rPr>
          <w:rFonts w:asciiTheme="majorBidi" w:hAnsiTheme="majorBidi" w:cstheme="majorBidi"/>
          <w:lang w:eastAsia="en-GB"/>
        </w:rPr>
        <w:t xml:space="preserve"> purposes of admissibility. The</w:t>
      </w:r>
      <w:r w:rsidR="00E146B6" w:rsidRPr="000A1EDD">
        <w:rPr>
          <w:rFonts w:asciiTheme="majorBidi" w:hAnsiTheme="majorBidi" w:cstheme="majorBidi"/>
          <w:lang w:eastAsia="en-GB"/>
        </w:rPr>
        <w:t xml:space="preserve"> complaint is </w:t>
      </w:r>
      <w:r w:rsidR="00BA6C22" w:rsidRPr="000A1EDD">
        <w:rPr>
          <w:rFonts w:asciiTheme="majorBidi" w:hAnsiTheme="majorBidi" w:cstheme="majorBidi"/>
          <w:lang w:eastAsia="en-GB"/>
        </w:rPr>
        <w:t xml:space="preserve">therefore </w:t>
      </w:r>
      <w:r w:rsidR="00E146B6" w:rsidRPr="000A1EDD">
        <w:rPr>
          <w:rFonts w:asciiTheme="majorBidi" w:hAnsiTheme="majorBidi" w:cstheme="majorBidi"/>
          <w:lang w:eastAsia="en-GB"/>
        </w:rPr>
        <w:t xml:space="preserve">manifestly unfounded and thus inadmissible pursuant to article 22 </w:t>
      </w:r>
      <w:r w:rsidR="00EE6527" w:rsidRPr="000A1EDD">
        <w:rPr>
          <w:rFonts w:asciiTheme="majorBidi" w:hAnsiTheme="majorBidi" w:cstheme="majorBidi"/>
          <w:lang w:eastAsia="en-GB"/>
        </w:rPr>
        <w:t>(</w:t>
      </w:r>
      <w:r w:rsidR="00E146B6" w:rsidRPr="000A1EDD">
        <w:rPr>
          <w:rFonts w:asciiTheme="majorBidi" w:hAnsiTheme="majorBidi" w:cstheme="majorBidi"/>
          <w:lang w:eastAsia="en-GB"/>
        </w:rPr>
        <w:t>2</w:t>
      </w:r>
      <w:r w:rsidR="00EE6527" w:rsidRPr="000A1EDD">
        <w:rPr>
          <w:rFonts w:asciiTheme="majorBidi" w:hAnsiTheme="majorBidi" w:cstheme="majorBidi"/>
          <w:lang w:eastAsia="en-GB"/>
        </w:rPr>
        <w:t>)</w:t>
      </w:r>
      <w:r w:rsidR="00E146B6" w:rsidRPr="000A1EDD">
        <w:rPr>
          <w:rFonts w:asciiTheme="majorBidi" w:hAnsiTheme="majorBidi" w:cstheme="majorBidi"/>
          <w:lang w:eastAsia="en-GB"/>
        </w:rPr>
        <w:t xml:space="preserve"> of the Convention and rule 113 (b) of the Committee’s rules of procedure.</w:t>
      </w:r>
      <w:r w:rsidR="00265D2E" w:rsidRPr="000A1EDD">
        <w:rPr>
          <w:rStyle w:val="FootnoteReference"/>
          <w:rFonts w:asciiTheme="majorBidi" w:hAnsiTheme="majorBidi" w:cstheme="majorBidi"/>
          <w:lang w:eastAsia="en-GB"/>
        </w:rPr>
        <w:footnoteReference w:id="8"/>
      </w:r>
      <w:r w:rsidR="00E146B6" w:rsidRPr="000A1EDD">
        <w:rPr>
          <w:rFonts w:asciiTheme="majorBidi" w:hAnsiTheme="majorBidi" w:cstheme="majorBidi"/>
          <w:lang w:eastAsia="en-GB"/>
        </w:rPr>
        <w:t xml:space="preserve"> </w:t>
      </w:r>
    </w:p>
    <w:p w:rsidR="000C5EBD" w:rsidRPr="000A1EDD" w:rsidRDefault="000C5EBD" w:rsidP="006F3454">
      <w:pPr>
        <w:pStyle w:val="SingleTxtG"/>
        <w:rPr>
          <w:rFonts w:asciiTheme="majorBidi" w:hAnsiTheme="majorBidi" w:cstheme="majorBidi"/>
        </w:rPr>
      </w:pPr>
      <w:r w:rsidRPr="000A1EDD">
        <w:rPr>
          <w:rFonts w:asciiTheme="majorBidi" w:hAnsiTheme="majorBidi" w:cstheme="majorBidi"/>
        </w:rPr>
        <w:t>4.</w:t>
      </w:r>
      <w:r w:rsidR="000E0066" w:rsidRPr="000A1EDD">
        <w:rPr>
          <w:rFonts w:asciiTheme="majorBidi" w:hAnsiTheme="majorBidi" w:cstheme="majorBidi"/>
        </w:rPr>
        <w:t>4</w:t>
      </w:r>
      <w:r w:rsidRPr="000A1EDD">
        <w:rPr>
          <w:rFonts w:asciiTheme="majorBidi" w:hAnsiTheme="majorBidi" w:cstheme="majorBidi"/>
        </w:rPr>
        <w:t xml:space="preserve"> </w:t>
      </w:r>
      <w:r w:rsidRPr="000A1EDD">
        <w:rPr>
          <w:rFonts w:asciiTheme="majorBidi" w:hAnsiTheme="majorBidi" w:cstheme="majorBidi"/>
        </w:rPr>
        <w:tab/>
        <w:t xml:space="preserve">The State party notes that when determining whether the forced return of a person to another country would constitute a violation of article 3, the Committee must take into account all relevant considerations, including the existence of a consistent pattern of gross, flagrant or mass violations of human rights in that country. However, the aim of such a determination is to establish whether the individual concerned would be personally at risk of being subjected to torture in the country of return. The existence of a consistent pattern of gross, flagrant or mass violations of human rights in a country does not in itself constitute a sufficient ground for determining that a particular person would be in danger of being subjected to torture there. For a violation of article 3 to be established, additional grounds must exist showing </w:t>
      </w:r>
      <w:r w:rsidR="00BA6C22" w:rsidRPr="000A1EDD">
        <w:rPr>
          <w:rFonts w:asciiTheme="majorBidi" w:hAnsiTheme="majorBidi" w:cstheme="majorBidi"/>
        </w:rPr>
        <w:t>a</w:t>
      </w:r>
      <w:r w:rsidRPr="000A1EDD">
        <w:rPr>
          <w:rFonts w:asciiTheme="majorBidi" w:hAnsiTheme="majorBidi" w:cstheme="majorBidi"/>
        </w:rPr>
        <w:t xml:space="preserve"> personal risk.</w:t>
      </w:r>
      <w:r w:rsidR="00265D2E" w:rsidRPr="000A1EDD">
        <w:rPr>
          <w:rStyle w:val="FootnoteReference"/>
          <w:rFonts w:asciiTheme="majorBidi" w:hAnsiTheme="majorBidi" w:cstheme="majorBidi"/>
        </w:rPr>
        <w:footnoteReference w:id="9"/>
      </w:r>
      <w:r w:rsidRPr="000A1EDD">
        <w:rPr>
          <w:rFonts w:asciiTheme="majorBidi" w:hAnsiTheme="majorBidi" w:cstheme="majorBidi"/>
        </w:rPr>
        <w:t xml:space="preserve"> </w:t>
      </w:r>
    </w:p>
    <w:p w:rsidR="000C5EBD" w:rsidRPr="000A1EDD" w:rsidRDefault="000C5EBD" w:rsidP="006F3454">
      <w:pPr>
        <w:pStyle w:val="SingleTxtG"/>
        <w:rPr>
          <w:rFonts w:asciiTheme="majorBidi" w:eastAsia="Garamond" w:hAnsiTheme="majorBidi" w:cstheme="majorBidi"/>
        </w:rPr>
      </w:pPr>
      <w:r w:rsidRPr="000A1EDD">
        <w:rPr>
          <w:rFonts w:asciiTheme="majorBidi" w:hAnsiTheme="majorBidi" w:cstheme="majorBidi"/>
        </w:rPr>
        <w:t>4.</w:t>
      </w:r>
      <w:r w:rsidR="000E0066" w:rsidRPr="000A1EDD">
        <w:rPr>
          <w:rFonts w:asciiTheme="majorBidi" w:hAnsiTheme="majorBidi" w:cstheme="majorBidi"/>
        </w:rPr>
        <w:t>5</w:t>
      </w:r>
      <w:r w:rsidRPr="000A1EDD">
        <w:rPr>
          <w:rFonts w:asciiTheme="majorBidi" w:hAnsiTheme="majorBidi" w:cstheme="majorBidi"/>
        </w:rPr>
        <w:t xml:space="preserve"> </w:t>
      </w:r>
      <w:r w:rsidRPr="000A1EDD">
        <w:rPr>
          <w:rFonts w:asciiTheme="majorBidi" w:hAnsiTheme="majorBidi" w:cstheme="majorBidi"/>
        </w:rPr>
        <w:tab/>
      </w:r>
      <w:r w:rsidR="00BA6C22" w:rsidRPr="000A1EDD">
        <w:rPr>
          <w:rFonts w:asciiTheme="majorBidi" w:hAnsiTheme="majorBidi" w:cstheme="majorBidi"/>
        </w:rPr>
        <w:t>T</w:t>
      </w:r>
      <w:r w:rsidRPr="000A1EDD">
        <w:rPr>
          <w:rFonts w:asciiTheme="majorBidi" w:hAnsiTheme="majorBidi" w:cstheme="majorBidi"/>
        </w:rPr>
        <w:t xml:space="preserve">he State party notes that when determining whether the forced return of the complainant to Bangladesh would constitute a breach of article 3 of the Convention, the following considerations are relevant: (a) the general human rights situation in </w:t>
      </w:r>
      <w:r w:rsidR="00BA6C22" w:rsidRPr="000A1EDD">
        <w:rPr>
          <w:rFonts w:asciiTheme="majorBidi" w:hAnsiTheme="majorBidi" w:cstheme="majorBidi"/>
        </w:rPr>
        <w:t>Bangladesh</w:t>
      </w:r>
      <w:r w:rsidRPr="000A1EDD">
        <w:rPr>
          <w:rFonts w:asciiTheme="majorBidi" w:hAnsiTheme="majorBidi" w:cstheme="majorBidi"/>
        </w:rPr>
        <w:t xml:space="preserve"> and, in particular, (b) the personal risk </w:t>
      </w:r>
      <w:r w:rsidR="000D01CC" w:rsidRPr="000A1EDD">
        <w:rPr>
          <w:rFonts w:asciiTheme="majorBidi" w:hAnsiTheme="majorBidi" w:cstheme="majorBidi"/>
        </w:rPr>
        <w:t xml:space="preserve">to </w:t>
      </w:r>
      <w:r w:rsidRPr="000A1EDD">
        <w:rPr>
          <w:rFonts w:asciiTheme="majorBidi" w:hAnsiTheme="majorBidi" w:cstheme="majorBidi"/>
        </w:rPr>
        <w:t xml:space="preserve">the complainant </w:t>
      </w:r>
      <w:r w:rsidR="000D01CC" w:rsidRPr="000A1EDD">
        <w:rPr>
          <w:rFonts w:asciiTheme="majorBidi" w:hAnsiTheme="majorBidi" w:cstheme="majorBidi"/>
        </w:rPr>
        <w:t xml:space="preserve">of </w:t>
      </w:r>
      <w:r w:rsidRPr="000A1EDD">
        <w:rPr>
          <w:rFonts w:asciiTheme="majorBidi" w:hAnsiTheme="majorBidi" w:cstheme="majorBidi"/>
        </w:rPr>
        <w:t xml:space="preserve">being subjected to torture there. </w:t>
      </w:r>
    </w:p>
    <w:p w:rsidR="000C5EBD" w:rsidRPr="000A1EDD" w:rsidRDefault="000C5EBD" w:rsidP="006F3454">
      <w:pPr>
        <w:pStyle w:val="SingleTxtG"/>
        <w:rPr>
          <w:rFonts w:asciiTheme="majorBidi" w:eastAsia="Garamond" w:hAnsiTheme="majorBidi" w:cstheme="majorBidi"/>
        </w:rPr>
      </w:pPr>
      <w:r w:rsidRPr="000A1EDD">
        <w:rPr>
          <w:rFonts w:asciiTheme="majorBidi" w:eastAsia="Garamond" w:hAnsiTheme="majorBidi" w:cstheme="majorBidi"/>
        </w:rPr>
        <w:t>4.</w:t>
      </w:r>
      <w:r w:rsidR="000E0066" w:rsidRPr="000A1EDD">
        <w:rPr>
          <w:rFonts w:asciiTheme="majorBidi" w:eastAsia="Garamond" w:hAnsiTheme="majorBidi" w:cstheme="majorBidi"/>
        </w:rPr>
        <w:t>6</w:t>
      </w:r>
      <w:r w:rsidRPr="000A1EDD">
        <w:rPr>
          <w:rFonts w:asciiTheme="majorBidi" w:eastAsia="Garamond" w:hAnsiTheme="majorBidi" w:cstheme="majorBidi"/>
        </w:rPr>
        <w:t xml:space="preserve"> </w:t>
      </w:r>
      <w:r w:rsidRPr="000A1EDD">
        <w:rPr>
          <w:rFonts w:asciiTheme="majorBidi" w:eastAsia="Garamond" w:hAnsiTheme="majorBidi" w:cstheme="majorBidi"/>
        </w:rPr>
        <w:tab/>
      </w:r>
      <w:r w:rsidR="00BA6C22" w:rsidRPr="000A1EDD">
        <w:rPr>
          <w:rFonts w:asciiTheme="majorBidi" w:eastAsia="Garamond" w:hAnsiTheme="majorBidi" w:cstheme="majorBidi"/>
        </w:rPr>
        <w:t>T</w:t>
      </w:r>
      <w:r w:rsidRPr="000A1EDD">
        <w:rPr>
          <w:rFonts w:asciiTheme="majorBidi" w:eastAsia="Garamond" w:hAnsiTheme="majorBidi" w:cstheme="majorBidi"/>
        </w:rPr>
        <w:t>he State party recalls the Committee’s jurisprudence, according to which the burden of proof rests with complainants, who must present an arguable case establishing that they run a foreseeable, real and personal risk of being subjected to torture.</w:t>
      </w:r>
      <w:r w:rsidR="00265D2E" w:rsidRPr="000A1EDD">
        <w:rPr>
          <w:rStyle w:val="FootnoteReference"/>
          <w:rFonts w:asciiTheme="majorBidi" w:eastAsia="Garamond" w:hAnsiTheme="majorBidi" w:cstheme="majorBidi"/>
        </w:rPr>
        <w:footnoteReference w:id="10"/>
      </w:r>
      <w:r w:rsidRPr="000A1EDD">
        <w:rPr>
          <w:rFonts w:asciiTheme="majorBidi" w:eastAsia="Garamond" w:hAnsiTheme="majorBidi" w:cstheme="majorBidi"/>
        </w:rPr>
        <w:t xml:space="preserve"> </w:t>
      </w:r>
      <w:r w:rsidR="00BA6C22" w:rsidRPr="000A1EDD">
        <w:rPr>
          <w:rFonts w:asciiTheme="majorBidi" w:eastAsia="Garamond" w:hAnsiTheme="majorBidi" w:cstheme="majorBidi"/>
        </w:rPr>
        <w:t>Such</w:t>
      </w:r>
      <w:r w:rsidR="000D01CC" w:rsidRPr="000A1EDD">
        <w:rPr>
          <w:rFonts w:asciiTheme="majorBidi" w:eastAsia="Garamond" w:hAnsiTheme="majorBidi" w:cstheme="majorBidi"/>
        </w:rPr>
        <w:t xml:space="preserve"> a</w:t>
      </w:r>
      <w:r w:rsidRPr="000A1EDD">
        <w:rPr>
          <w:rFonts w:asciiTheme="majorBidi" w:eastAsia="Garamond" w:hAnsiTheme="majorBidi" w:cstheme="majorBidi"/>
        </w:rPr>
        <w:t xml:space="preserve"> risk must be assessed on grounds that go beyond mere theory or suspicion. Although the risk does not have to meet the test of being highly probable, it must be personal and present.</w:t>
      </w:r>
      <w:r w:rsidR="00265D2E" w:rsidRPr="000A1EDD">
        <w:rPr>
          <w:rStyle w:val="FootnoteReference"/>
          <w:rFonts w:asciiTheme="majorBidi" w:eastAsia="Garamond" w:hAnsiTheme="majorBidi" w:cstheme="majorBidi"/>
        </w:rPr>
        <w:footnoteReference w:id="11"/>
      </w:r>
      <w:r w:rsidRPr="000A1EDD">
        <w:rPr>
          <w:rFonts w:asciiTheme="majorBidi" w:eastAsia="Garamond" w:hAnsiTheme="majorBidi" w:cstheme="majorBidi"/>
        </w:rPr>
        <w:t xml:space="preserve"> </w:t>
      </w:r>
    </w:p>
    <w:p w:rsidR="00A60926" w:rsidRPr="000A1EDD" w:rsidRDefault="000C5EBD" w:rsidP="006F3454">
      <w:pPr>
        <w:pStyle w:val="SingleTxtG"/>
        <w:rPr>
          <w:rFonts w:asciiTheme="majorBidi" w:hAnsiTheme="majorBidi" w:cstheme="majorBidi"/>
          <w:color w:val="000000"/>
          <w:lang w:eastAsia="en-GB"/>
        </w:rPr>
      </w:pPr>
      <w:r w:rsidRPr="000A1EDD">
        <w:rPr>
          <w:rFonts w:asciiTheme="majorBidi" w:hAnsiTheme="majorBidi" w:cstheme="majorBidi"/>
        </w:rPr>
        <w:t>4.</w:t>
      </w:r>
      <w:r w:rsidR="000E0066" w:rsidRPr="000A1EDD">
        <w:rPr>
          <w:rFonts w:asciiTheme="majorBidi" w:hAnsiTheme="majorBidi" w:cstheme="majorBidi"/>
        </w:rPr>
        <w:t>7</w:t>
      </w:r>
      <w:r w:rsidRPr="000A1EDD">
        <w:rPr>
          <w:rFonts w:asciiTheme="majorBidi" w:hAnsiTheme="majorBidi" w:cstheme="majorBidi"/>
        </w:rPr>
        <w:t xml:space="preserve"> </w:t>
      </w:r>
      <w:r w:rsidRPr="000A1EDD">
        <w:rPr>
          <w:rFonts w:asciiTheme="majorBidi" w:hAnsiTheme="majorBidi" w:cstheme="majorBidi"/>
        </w:rPr>
        <w:tab/>
      </w:r>
      <w:r w:rsidR="00BA6C22" w:rsidRPr="000A1EDD">
        <w:rPr>
          <w:rFonts w:asciiTheme="majorBidi" w:hAnsiTheme="majorBidi" w:cstheme="majorBidi"/>
        </w:rPr>
        <w:t>T</w:t>
      </w:r>
      <w:r w:rsidRPr="000A1EDD">
        <w:rPr>
          <w:rFonts w:asciiTheme="majorBidi" w:hAnsiTheme="majorBidi" w:cstheme="majorBidi"/>
        </w:rPr>
        <w:t>he State party notes that, given that Bangladesh</w:t>
      </w:r>
      <w:r w:rsidRPr="000A1EDD">
        <w:rPr>
          <w:rFonts w:asciiTheme="majorBidi" w:eastAsia="Garamond" w:hAnsiTheme="majorBidi" w:cstheme="majorBidi"/>
        </w:rPr>
        <w:t xml:space="preserve"> is a party to the Convention</w:t>
      </w:r>
      <w:r w:rsidR="00C537EC" w:rsidRPr="000A1EDD">
        <w:rPr>
          <w:rFonts w:asciiTheme="majorBidi" w:eastAsia="Garamond" w:hAnsiTheme="majorBidi" w:cstheme="majorBidi"/>
        </w:rPr>
        <w:t xml:space="preserve"> and</w:t>
      </w:r>
      <w:r w:rsidRPr="000A1EDD">
        <w:rPr>
          <w:rFonts w:asciiTheme="majorBidi" w:eastAsia="Garamond" w:hAnsiTheme="majorBidi" w:cstheme="majorBidi"/>
        </w:rPr>
        <w:t xml:space="preserve"> to the International Covenant on Civil and Political Rights, it assumes that the Committee is well aware of the general human rights situation in that country. </w:t>
      </w:r>
      <w:r w:rsidR="00BA6C22" w:rsidRPr="000A1EDD">
        <w:rPr>
          <w:rFonts w:asciiTheme="majorBidi" w:eastAsia="Garamond" w:hAnsiTheme="majorBidi" w:cstheme="majorBidi"/>
        </w:rPr>
        <w:t>T</w:t>
      </w:r>
      <w:r w:rsidRPr="000A1EDD">
        <w:rPr>
          <w:rFonts w:asciiTheme="majorBidi" w:eastAsia="Garamond" w:hAnsiTheme="majorBidi" w:cstheme="majorBidi"/>
        </w:rPr>
        <w:t xml:space="preserve">he State party therefore finds it sufficient to refer to the information regarding the human rights situation in Bangladesh, which can be found in </w:t>
      </w:r>
      <w:r w:rsidR="00F921DF" w:rsidRPr="000A1EDD">
        <w:rPr>
          <w:rFonts w:asciiTheme="majorBidi" w:eastAsia="Garamond" w:hAnsiTheme="majorBidi" w:cstheme="majorBidi"/>
        </w:rPr>
        <w:t xml:space="preserve">a number of </w:t>
      </w:r>
      <w:r w:rsidRPr="000A1EDD">
        <w:rPr>
          <w:rFonts w:asciiTheme="majorBidi" w:eastAsia="Garamond" w:hAnsiTheme="majorBidi" w:cstheme="majorBidi"/>
        </w:rPr>
        <w:t>recent reports</w:t>
      </w:r>
      <w:r w:rsidR="00F921DF" w:rsidRPr="000A1EDD">
        <w:rPr>
          <w:rFonts w:asciiTheme="majorBidi" w:eastAsia="Garamond" w:hAnsiTheme="majorBidi" w:cstheme="majorBidi"/>
        </w:rPr>
        <w:t>.</w:t>
      </w:r>
      <w:r w:rsidR="00F921DF" w:rsidRPr="000A1EDD">
        <w:rPr>
          <w:rStyle w:val="FootnoteReference"/>
          <w:rFonts w:asciiTheme="majorBidi" w:eastAsia="Garamond" w:hAnsiTheme="majorBidi" w:cstheme="majorBidi"/>
        </w:rPr>
        <w:footnoteReference w:id="12"/>
      </w:r>
      <w:r w:rsidRPr="000A1EDD">
        <w:rPr>
          <w:rFonts w:asciiTheme="majorBidi" w:hAnsiTheme="majorBidi" w:cstheme="majorBidi"/>
          <w:color w:val="000000"/>
          <w:sz w:val="23"/>
          <w:szCs w:val="23"/>
          <w:lang w:eastAsia="en-GB"/>
        </w:rPr>
        <w:t xml:space="preserve"> </w:t>
      </w:r>
    </w:p>
    <w:p w:rsidR="00793FBC" w:rsidRPr="000A1EDD" w:rsidRDefault="00A60926" w:rsidP="000D2EB0">
      <w:pPr>
        <w:pStyle w:val="SingleTxtG"/>
        <w:rPr>
          <w:rFonts w:asciiTheme="majorBidi" w:eastAsia="Garamond" w:hAnsiTheme="majorBidi" w:cstheme="majorBidi"/>
        </w:rPr>
      </w:pPr>
      <w:r w:rsidRPr="000A1EDD">
        <w:rPr>
          <w:rFonts w:asciiTheme="majorBidi" w:hAnsiTheme="majorBidi" w:cstheme="majorBidi"/>
          <w:color w:val="000000"/>
          <w:lang w:eastAsia="en-GB"/>
        </w:rPr>
        <w:t>4.</w:t>
      </w:r>
      <w:r w:rsidR="000E0066" w:rsidRPr="000A1EDD">
        <w:rPr>
          <w:rFonts w:asciiTheme="majorBidi" w:hAnsiTheme="majorBidi" w:cstheme="majorBidi"/>
          <w:color w:val="000000"/>
          <w:lang w:eastAsia="en-GB"/>
        </w:rPr>
        <w:t>8</w:t>
      </w:r>
      <w:r w:rsidRPr="000A1EDD">
        <w:rPr>
          <w:rFonts w:asciiTheme="majorBidi" w:hAnsiTheme="majorBidi" w:cstheme="majorBidi"/>
          <w:color w:val="000000"/>
          <w:lang w:eastAsia="en-GB"/>
        </w:rPr>
        <w:t xml:space="preserve"> </w:t>
      </w:r>
      <w:r w:rsidR="000D2EB0" w:rsidRPr="000A1EDD">
        <w:rPr>
          <w:rFonts w:asciiTheme="majorBidi" w:hAnsiTheme="majorBidi" w:cstheme="majorBidi"/>
          <w:color w:val="000000"/>
          <w:lang w:eastAsia="en-GB"/>
        </w:rPr>
        <w:tab/>
      </w:r>
      <w:r w:rsidR="00FC6BF1" w:rsidRPr="000A1EDD">
        <w:rPr>
          <w:rFonts w:asciiTheme="majorBidi" w:hAnsiTheme="majorBidi" w:cstheme="majorBidi"/>
          <w:color w:val="000000"/>
          <w:lang w:eastAsia="en-GB"/>
        </w:rPr>
        <w:t>T</w:t>
      </w:r>
      <w:r w:rsidRPr="000A1EDD">
        <w:rPr>
          <w:rFonts w:asciiTheme="majorBidi" w:eastAsia="Garamond" w:hAnsiTheme="majorBidi" w:cstheme="majorBidi"/>
        </w:rPr>
        <w:t xml:space="preserve">he State party submits that while it does not underestimate the concerns that may legitimately be expressed with regard to the negative human rights developments in Bangladesh in 2013, </w:t>
      </w:r>
      <w:r w:rsidRPr="000A1EDD">
        <w:rPr>
          <w:rFonts w:asciiTheme="majorBidi" w:hAnsiTheme="majorBidi" w:cstheme="majorBidi"/>
          <w:color w:val="000000"/>
          <w:lang w:eastAsia="en-GB"/>
        </w:rPr>
        <w:t xml:space="preserve">the current situation, as described in the above-mentioned reports, </w:t>
      </w:r>
      <w:r w:rsidRPr="000A1EDD">
        <w:rPr>
          <w:rFonts w:asciiTheme="majorBidi" w:hAnsiTheme="majorBidi" w:cstheme="majorBidi"/>
          <w:lang w:eastAsia="en-GB"/>
        </w:rPr>
        <w:t>is not in itself</w:t>
      </w:r>
      <w:r w:rsidRPr="000A1EDD">
        <w:rPr>
          <w:rFonts w:asciiTheme="majorBidi" w:eastAsia="Garamond" w:hAnsiTheme="majorBidi" w:cstheme="majorBidi"/>
        </w:rPr>
        <w:t xml:space="preserve"> sufficient to establish that the deportation of the complainant would entail a </w:t>
      </w:r>
      <w:r w:rsidRPr="000A1EDD">
        <w:rPr>
          <w:rFonts w:asciiTheme="majorBidi" w:eastAsia="Garamond" w:hAnsiTheme="majorBidi" w:cstheme="majorBidi"/>
        </w:rPr>
        <w:lastRenderedPageBreak/>
        <w:t>violation of article 3 of the Convention.</w:t>
      </w:r>
      <w:r w:rsidR="002D5D69" w:rsidRPr="000A1EDD">
        <w:rPr>
          <w:rStyle w:val="FootnoteReference"/>
          <w:rFonts w:asciiTheme="majorBidi" w:eastAsia="Garamond" w:hAnsiTheme="majorBidi" w:cstheme="majorBidi"/>
        </w:rPr>
        <w:footnoteReference w:id="13"/>
      </w:r>
      <w:r w:rsidRPr="000A1EDD">
        <w:rPr>
          <w:rFonts w:asciiTheme="majorBidi" w:eastAsia="Garamond" w:hAnsiTheme="majorBidi" w:cstheme="majorBidi"/>
        </w:rPr>
        <w:t xml:space="preserve"> Therefore, the State party contends that the removal of the complainant to Bangladesh would only entail a breach of the Convention if he could show that he would be personally at risk of being subjected to treatment </w:t>
      </w:r>
      <w:r w:rsidR="000D2EB0" w:rsidRPr="000A1EDD">
        <w:rPr>
          <w:rFonts w:asciiTheme="majorBidi" w:eastAsia="Garamond" w:hAnsiTheme="majorBidi" w:cstheme="majorBidi"/>
        </w:rPr>
        <w:t xml:space="preserve">contrary to article 3. However, </w:t>
      </w:r>
      <w:r w:rsidRPr="000A1EDD">
        <w:rPr>
          <w:rFonts w:asciiTheme="majorBidi" w:eastAsia="Garamond" w:hAnsiTheme="majorBidi" w:cstheme="majorBidi"/>
        </w:rPr>
        <w:t xml:space="preserve">the complainant has failed to </w:t>
      </w:r>
      <w:r w:rsidR="0070345A" w:rsidRPr="000A1EDD">
        <w:rPr>
          <w:rFonts w:asciiTheme="majorBidi" w:eastAsia="Garamond" w:hAnsiTheme="majorBidi" w:cstheme="majorBidi"/>
        </w:rPr>
        <w:t>do so</w:t>
      </w:r>
      <w:r w:rsidRPr="000A1EDD">
        <w:rPr>
          <w:rFonts w:asciiTheme="majorBidi" w:eastAsia="Garamond" w:hAnsiTheme="majorBidi" w:cstheme="majorBidi"/>
        </w:rPr>
        <w:t>.</w:t>
      </w:r>
    </w:p>
    <w:p w:rsidR="00E3386A" w:rsidRPr="000A1EDD" w:rsidRDefault="003F0464" w:rsidP="000D2EB0">
      <w:pPr>
        <w:pStyle w:val="SingleTxtG"/>
        <w:rPr>
          <w:rFonts w:asciiTheme="majorBidi" w:eastAsia="Garamond" w:hAnsiTheme="majorBidi" w:cstheme="majorBidi"/>
        </w:rPr>
      </w:pPr>
      <w:r w:rsidRPr="000A1EDD">
        <w:rPr>
          <w:rFonts w:asciiTheme="majorBidi" w:hAnsiTheme="majorBidi" w:cstheme="majorBidi"/>
          <w:lang w:eastAsia="en-GB"/>
        </w:rPr>
        <w:t>4.</w:t>
      </w:r>
      <w:r w:rsidR="000E0066" w:rsidRPr="000A1EDD">
        <w:rPr>
          <w:rFonts w:asciiTheme="majorBidi" w:hAnsiTheme="majorBidi" w:cstheme="majorBidi"/>
          <w:lang w:eastAsia="en-GB"/>
        </w:rPr>
        <w:t>9</w:t>
      </w:r>
      <w:r w:rsidRPr="000A1EDD">
        <w:rPr>
          <w:rFonts w:asciiTheme="majorBidi" w:hAnsiTheme="majorBidi" w:cstheme="majorBidi"/>
          <w:lang w:eastAsia="en-GB"/>
        </w:rPr>
        <w:t xml:space="preserve"> </w:t>
      </w:r>
      <w:r w:rsidR="000D2EB0" w:rsidRPr="000A1EDD">
        <w:rPr>
          <w:rFonts w:asciiTheme="majorBidi" w:hAnsiTheme="majorBidi" w:cstheme="majorBidi"/>
          <w:lang w:eastAsia="en-GB"/>
        </w:rPr>
        <w:tab/>
      </w:r>
      <w:r w:rsidR="00793FBC" w:rsidRPr="000A1EDD">
        <w:rPr>
          <w:rFonts w:asciiTheme="majorBidi" w:eastAsia="Garamond" w:hAnsiTheme="majorBidi" w:cstheme="majorBidi"/>
        </w:rPr>
        <w:t xml:space="preserve">The State party adds that several provisions in the Swedish Aliens Act reflect the same principles as those laid down in article 3 of the Convention. </w:t>
      </w:r>
      <w:r w:rsidR="001640A0" w:rsidRPr="000A1EDD">
        <w:rPr>
          <w:rFonts w:asciiTheme="majorBidi" w:eastAsia="Garamond" w:hAnsiTheme="majorBidi" w:cstheme="majorBidi"/>
        </w:rPr>
        <w:t>T</w:t>
      </w:r>
      <w:r w:rsidR="00793FBC" w:rsidRPr="000A1EDD">
        <w:rPr>
          <w:rFonts w:asciiTheme="majorBidi" w:eastAsia="Garamond" w:hAnsiTheme="majorBidi" w:cstheme="majorBidi"/>
        </w:rPr>
        <w:t xml:space="preserve">he Swedish migration authorities apply the same test when </w:t>
      </w:r>
      <w:r w:rsidR="001640A0" w:rsidRPr="000A1EDD">
        <w:rPr>
          <w:rFonts w:asciiTheme="majorBidi" w:eastAsia="Garamond" w:hAnsiTheme="majorBidi" w:cstheme="majorBidi"/>
        </w:rPr>
        <w:t>examining asylum</w:t>
      </w:r>
      <w:r w:rsidR="00793FBC" w:rsidRPr="000A1EDD">
        <w:rPr>
          <w:rFonts w:asciiTheme="majorBidi" w:eastAsia="Garamond" w:hAnsiTheme="majorBidi" w:cstheme="majorBidi"/>
        </w:rPr>
        <w:t xml:space="preserve"> application</w:t>
      </w:r>
      <w:r w:rsidR="001640A0" w:rsidRPr="000A1EDD">
        <w:rPr>
          <w:rFonts w:asciiTheme="majorBidi" w:eastAsia="Garamond" w:hAnsiTheme="majorBidi" w:cstheme="majorBidi"/>
        </w:rPr>
        <w:t>s</w:t>
      </w:r>
      <w:r w:rsidR="00793FBC" w:rsidRPr="000A1EDD">
        <w:rPr>
          <w:rFonts w:asciiTheme="majorBidi" w:eastAsia="Garamond" w:hAnsiTheme="majorBidi" w:cstheme="majorBidi"/>
        </w:rPr>
        <w:t xml:space="preserve"> as </w:t>
      </w:r>
      <w:r w:rsidR="007A7078" w:rsidRPr="000A1EDD">
        <w:rPr>
          <w:rFonts w:asciiTheme="majorBidi" w:eastAsia="Garamond" w:hAnsiTheme="majorBidi" w:cstheme="majorBidi"/>
        </w:rPr>
        <w:t>that</w:t>
      </w:r>
      <w:r w:rsidR="00793FBC" w:rsidRPr="000A1EDD">
        <w:rPr>
          <w:rFonts w:asciiTheme="majorBidi" w:eastAsia="Garamond" w:hAnsiTheme="majorBidi" w:cstheme="majorBidi"/>
        </w:rPr>
        <w:t xml:space="preserve"> applied by the Committee when examining </w:t>
      </w:r>
      <w:r w:rsidR="001640A0" w:rsidRPr="000A1EDD">
        <w:rPr>
          <w:rFonts w:asciiTheme="majorBidi" w:eastAsia="Garamond" w:hAnsiTheme="majorBidi" w:cstheme="majorBidi"/>
        </w:rPr>
        <w:t xml:space="preserve">individual </w:t>
      </w:r>
      <w:r w:rsidR="00793FBC" w:rsidRPr="000A1EDD">
        <w:rPr>
          <w:rFonts w:asciiTheme="majorBidi" w:eastAsia="Garamond" w:hAnsiTheme="majorBidi" w:cstheme="majorBidi"/>
        </w:rPr>
        <w:t xml:space="preserve">complaints under </w:t>
      </w:r>
      <w:r w:rsidR="001640A0" w:rsidRPr="000A1EDD">
        <w:rPr>
          <w:rFonts w:asciiTheme="majorBidi" w:eastAsia="Garamond" w:hAnsiTheme="majorBidi" w:cstheme="majorBidi"/>
        </w:rPr>
        <w:t xml:space="preserve">article 3 of </w:t>
      </w:r>
      <w:r w:rsidR="00793FBC" w:rsidRPr="000A1EDD">
        <w:rPr>
          <w:rFonts w:asciiTheme="majorBidi" w:eastAsia="Garamond" w:hAnsiTheme="majorBidi" w:cstheme="majorBidi"/>
        </w:rPr>
        <w:t xml:space="preserve">the Convention. The fact that such a test has been applied in the present case is </w:t>
      </w:r>
      <w:r w:rsidR="001640A0" w:rsidRPr="000A1EDD">
        <w:rPr>
          <w:rFonts w:asciiTheme="majorBidi" w:eastAsia="Garamond" w:hAnsiTheme="majorBidi" w:cstheme="majorBidi"/>
        </w:rPr>
        <w:t>shown</w:t>
      </w:r>
      <w:r w:rsidR="00793FBC" w:rsidRPr="000A1EDD">
        <w:rPr>
          <w:rFonts w:asciiTheme="majorBidi" w:eastAsia="Garamond" w:hAnsiTheme="majorBidi" w:cstheme="majorBidi"/>
        </w:rPr>
        <w:t xml:space="preserve"> by the reference of the Swedish authorities in their decisions relating to the present case to sections 1, 2 and 2 (a) of chapter 4 of the Aliens Act. Furthermore, according to sections 1</w:t>
      </w:r>
      <w:r w:rsidR="00C51347">
        <w:rPr>
          <w:rFonts w:asciiTheme="majorBidi" w:eastAsia="Garamond" w:hAnsiTheme="majorBidi" w:cstheme="majorBidi"/>
          <w:b/>
        </w:rPr>
        <w:t>-</w:t>
      </w:r>
      <w:r w:rsidR="00793FBC" w:rsidRPr="000A1EDD">
        <w:rPr>
          <w:rFonts w:asciiTheme="majorBidi" w:eastAsia="Garamond" w:hAnsiTheme="majorBidi" w:cstheme="majorBidi"/>
        </w:rPr>
        <w:t>3 of chapter 12 of the Aliens Act, expulsion may never be enforced to a country where there are reasonable grounds to assume that the alien would be in danger of being subjected, inter alia, to torture or other inhuman or degrading treatment or punishment</w:t>
      </w:r>
      <w:r w:rsidR="007A7078" w:rsidRPr="000A1EDD">
        <w:rPr>
          <w:rFonts w:asciiTheme="majorBidi" w:eastAsia="Garamond" w:hAnsiTheme="majorBidi" w:cstheme="majorBidi"/>
        </w:rPr>
        <w:t>,</w:t>
      </w:r>
      <w:r w:rsidR="00793FBC" w:rsidRPr="000A1EDD">
        <w:rPr>
          <w:rFonts w:asciiTheme="majorBidi" w:eastAsia="Garamond" w:hAnsiTheme="majorBidi" w:cstheme="majorBidi"/>
        </w:rPr>
        <w:t xml:space="preserve"> or to a country where the alien is not protected from being sent to </w:t>
      </w:r>
      <w:r w:rsidR="007A7078" w:rsidRPr="000A1EDD">
        <w:rPr>
          <w:rFonts w:asciiTheme="majorBidi" w:eastAsia="Garamond" w:hAnsiTheme="majorBidi" w:cstheme="majorBidi"/>
        </w:rPr>
        <w:t xml:space="preserve">a </w:t>
      </w:r>
      <w:r w:rsidR="00793FBC" w:rsidRPr="000A1EDD">
        <w:rPr>
          <w:rFonts w:asciiTheme="majorBidi" w:eastAsia="Garamond" w:hAnsiTheme="majorBidi" w:cstheme="majorBidi"/>
        </w:rPr>
        <w:t>country</w:t>
      </w:r>
      <w:r w:rsidR="004B6330" w:rsidRPr="000A1EDD">
        <w:rPr>
          <w:rFonts w:asciiTheme="majorBidi" w:eastAsia="Garamond" w:hAnsiTheme="majorBidi" w:cstheme="majorBidi"/>
        </w:rPr>
        <w:t xml:space="preserve"> where he would be in such danger</w:t>
      </w:r>
      <w:r w:rsidR="00793FBC" w:rsidRPr="000A1EDD">
        <w:rPr>
          <w:rFonts w:asciiTheme="majorBidi" w:eastAsia="Garamond" w:hAnsiTheme="majorBidi" w:cstheme="majorBidi"/>
        </w:rPr>
        <w:t>.</w:t>
      </w:r>
      <w:r w:rsidR="00E3386A" w:rsidRPr="000A1EDD">
        <w:rPr>
          <w:rFonts w:asciiTheme="majorBidi" w:eastAsia="Garamond" w:hAnsiTheme="majorBidi" w:cstheme="majorBidi"/>
        </w:rPr>
        <w:t xml:space="preserve"> </w:t>
      </w:r>
    </w:p>
    <w:p w:rsidR="00E3386A" w:rsidRPr="000A1EDD" w:rsidRDefault="00E3386A" w:rsidP="000D2EB0">
      <w:pPr>
        <w:pStyle w:val="SingleTxtG"/>
        <w:rPr>
          <w:rFonts w:asciiTheme="majorBidi" w:hAnsiTheme="majorBidi" w:cstheme="majorBidi"/>
        </w:rPr>
      </w:pPr>
      <w:r w:rsidRPr="000A1EDD">
        <w:rPr>
          <w:rFonts w:asciiTheme="majorBidi" w:eastAsia="Garamond" w:hAnsiTheme="majorBidi" w:cstheme="majorBidi"/>
        </w:rPr>
        <w:t>4.</w:t>
      </w:r>
      <w:r w:rsidR="000E0066" w:rsidRPr="000A1EDD">
        <w:rPr>
          <w:rFonts w:asciiTheme="majorBidi" w:eastAsia="Garamond" w:hAnsiTheme="majorBidi" w:cstheme="majorBidi"/>
        </w:rPr>
        <w:t>10</w:t>
      </w:r>
      <w:r w:rsidRPr="000A1EDD">
        <w:rPr>
          <w:rFonts w:asciiTheme="majorBidi" w:eastAsia="Garamond" w:hAnsiTheme="majorBidi" w:cstheme="majorBidi"/>
        </w:rPr>
        <w:t xml:space="preserve"> </w:t>
      </w:r>
      <w:r w:rsidR="000D2EB0" w:rsidRPr="000A1EDD">
        <w:rPr>
          <w:rFonts w:asciiTheme="majorBidi" w:eastAsia="Garamond" w:hAnsiTheme="majorBidi" w:cstheme="majorBidi"/>
        </w:rPr>
        <w:tab/>
      </w:r>
      <w:r w:rsidRPr="000A1EDD">
        <w:rPr>
          <w:rFonts w:asciiTheme="majorBidi" w:eastAsia="Garamond" w:hAnsiTheme="majorBidi" w:cstheme="majorBidi"/>
        </w:rPr>
        <w:t xml:space="preserve">The State party adds that its national authorities are in a very good position to assess the information submitted by asylum seekers and to appraise </w:t>
      </w:r>
      <w:r w:rsidR="001640A0" w:rsidRPr="000A1EDD">
        <w:rPr>
          <w:rFonts w:asciiTheme="majorBidi" w:eastAsia="Garamond" w:hAnsiTheme="majorBidi" w:cstheme="majorBidi"/>
        </w:rPr>
        <w:t>its</w:t>
      </w:r>
      <w:r w:rsidRPr="000A1EDD">
        <w:rPr>
          <w:rFonts w:asciiTheme="majorBidi" w:eastAsia="Garamond" w:hAnsiTheme="majorBidi" w:cstheme="majorBidi"/>
        </w:rPr>
        <w:t xml:space="preserve"> credibility. In the present case, the Migration Agency (formerly </w:t>
      </w:r>
      <w:r w:rsidR="004B6330" w:rsidRPr="000A1EDD">
        <w:rPr>
          <w:rFonts w:asciiTheme="majorBidi" w:eastAsia="Garamond" w:hAnsiTheme="majorBidi" w:cstheme="majorBidi"/>
        </w:rPr>
        <w:t xml:space="preserve">the </w:t>
      </w:r>
      <w:r w:rsidRPr="000A1EDD">
        <w:rPr>
          <w:rFonts w:asciiTheme="majorBidi" w:eastAsia="Garamond" w:hAnsiTheme="majorBidi" w:cstheme="majorBidi"/>
        </w:rPr>
        <w:t>Migration Board) thorough</w:t>
      </w:r>
      <w:r w:rsidR="001640A0" w:rsidRPr="000A1EDD">
        <w:rPr>
          <w:rFonts w:asciiTheme="majorBidi" w:eastAsia="Garamond" w:hAnsiTheme="majorBidi" w:cstheme="majorBidi"/>
        </w:rPr>
        <w:t>ly</w:t>
      </w:r>
      <w:r w:rsidRPr="000A1EDD">
        <w:rPr>
          <w:rFonts w:asciiTheme="majorBidi" w:eastAsia="Garamond" w:hAnsiTheme="majorBidi" w:cstheme="majorBidi"/>
        </w:rPr>
        <w:t xml:space="preserve"> examin</w:t>
      </w:r>
      <w:r w:rsidR="001640A0" w:rsidRPr="000A1EDD">
        <w:rPr>
          <w:rFonts w:asciiTheme="majorBidi" w:eastAsia="Garamond" w:hAnsiTheme="majorBidi" w:cstheme="majorBidi"/>
        </w:rPr>
        <w:t>ed</w:t>
      </w:r>
      <w:r w:rsidRPr="000A1EDD">
        <w:rPr>
          <w:rFonts w:asciiTheme="majorBidi" w:eastAsia="Garamond" w:hAnsiTheme="majorBidi" w:cstheme="majorBidi"/>
        </w:rPr>
        <w:t xml:space="preserve"> the complainant’s case</w:t>
      </w:r>
      <w:r w:rsidR="001640A0" w:rsidRPr="000A1EDD">
        <w:rPr>
          <w:rFonts w:asciiTheme="majorBidi" w:eastAsia="Garamond" w:hAnsiTheme="majorBidi" w:cstheme="majorBidi"/>
        </w:rPr>
        <w:t xml:space="preserve"> and </w:t>
      </w:r>
      <w:r w:rsidRPr="000A1EDD">
        <w:rPr>
          <w:rFonts w:asciiTheme="majorBidi" w:hAnsiTheme="majorBidi" w:cstheme="majorBidi"/>
        </w:rPr>
        <w:t>conducted three interviews before re</w:t>
      </w:r>
      <w:r w:rsidR="001640A0" w:rsidRPr="000A1EDD">
        <w:rPr>
          <w:rFonts w:asciiTheme="majorBidi" w:hAnsiTheme="majorBidi" w:cstheme="majorBidi"/>
        </w:rPr>
        <w:t xml:space="preserve">jecting the </w:t>
      </w:r>
      <w:r w:rsidRPr="000A1EDD">
        <w:rPr>
          <w:rFonts w:asciiTheme="majorBidi" w:hAnsiTheme="majorBidi" w:cstheme="majorBidi"/>
        </w:rPr>
        <w:t xml:space="preserve">application. </w:t>
      </w:r>
      <w:r w:rsidRPr="000A1EDD">
        <w:rPr>
          <w:rFonts w:asciiTheme="majorBidi" w:hAnsiTheme="majorBidi" w:cstheme="majorBidi"/>
          <w:color w:val="000000"/>
          <w:lang w:eastAsia="en-GB"/>
        </w:rPr>
        <w:t xml:space="preserve">The interviews were conducted </w:t>
      </w:r>
      <w:r w:rsidR="007A7078" w:rsidRPr="000A1EDD">
        <w:rPr>
          <w:rFonts w:asciiTheme="majorBidi" w:hAnsiTheme="majorBidi" w:cstheme="majorBidi"/>
          <w:color w:val="000000"/>
          <w:lang w:eastAsia="en-GB"/>
        </w:rPr>
        <w:t xml:space="preserve">through </w:t>
      </w:r>
      <w:r w:rsidRPr="000A1EDD">
        <w:rPr>
          <w:rFonts w:asciiTheme="majorBidi" w:hAnsiTheme="majorBidi" w:cstheme="majorBidi"/>
          <w:color w:val="000000"/>
          <w:lang w:eastAsia="en-GB"/>
        </w:rPr>
        <w:t>an interpreter, whom the complainant confirmed that he understood well. During the asylum interview</w:t>
      </w:r>
      <w:r w:rsidR="007A7078" w:rsidRPr="000A1EDD">
        <w:rPr>
          <w:rFonts w:asciiTheme="majorBidi" w:hAnsiTheme="majorBidi" w:cstheme="majorBidi"/>
          <w:color w:val="000000"/>
          <w:lang w:eastAsia="en-GB"/>
        </w:rPr>
        <w:t>,</w:t>
      </w:r>
      <w:r w:rsidR="00895183" w:rsidRPr="000A1EDD">
        <w:rPr>
          <w:rFonts w:asciiTheme="majorBidi" w:hAnsiTheme="majorBidi" w:cstheme="majorBidi"/>
          <w:color w:val="000000"/>
          <w:lang w:eastAsia="en-GB"/>
        </w:rPr>
        <w:t xml:space="preserve"> </w:t>
      </w:r>
      <w:r w:rsidRPr="000A1EDD">
        <w:rPr>
          <w:rFonts w:asciiTheme="majorBidi" w:hAnsiTheme="majorBidi" w:cstheme="majorBidi"/>
          <w:color w:val="000000"/>
          <w:lang w:eastAsia="en-GB"/>
        </w:rPr>
        <w:t>last</w:t>
      </w:r>
      <w:r w:rsidR="001640A0" w:rsidRPr="000A1EDD">
        <w:rPr>
          <w:rFonts w:asciiTheme="majorBidi" w:hAnsiTheme="majorBidi" w:cstheme="majorBidi"/>
          <w:color w:val="000000"/>
          <w:lang w:eastAsia="en-GB"/>
        </w:rPr>
        <w:t>ing</w:t>
      </w:r>
      <w:r w:rsidRPr="000A1EDD">
        <w:rPr>
          <w:rFonts w:asciiTheme="majorBidi" w:hAnsiTheme="majorBidi" w:cstheme="majorBidi"/>
          <w:color w:val="000000"/>
          <w:lang w:eastAsia="en-GB"/>
        </w:rPr>
        <w:t xml:space="preserve"> for two and a half hours, the complainant’s legal counsel was also present. </w:t>
      </w:r>
      <w:r w:rsidRPr="000A1EDD">
        <w:rPr>
          <w:rFonts w:asciiTheme="majorBidi" w:hAnsiTheme="majorBidi" w:cstheme="majorBidi"/>
        </w:rPr>
        <w:t xml:space="preserve">The purpose of the interviews was to give the complainant an opportunity to explain the reasons for his need for protection orally and all the facts he </w:t>
      </w:r>
      <w:r w:rsidRPr="000A1EDD">
        <w:rPr>
          <w:rFonts w:asciiTheme="majorBidi" w:hAnsiTheme="majorBidi" w:cstheme="majorBidi"/>
          <w:color w:val="000000"/>
          <w:lang w:eastAsia="en-GB"/>
        </w:rPr>
        <w:t>considered to be of relevance</w:t>
      </w:r>
      <w:r w:rsidRPr="000A1EDD">
        <w:rPr>
          <w:rFonts w:asciiTheme="majorBidi" w:hAnsiTheme="majorBidi" w:cstheme="majorBidi"/>
          <w:lang w:eastAsia="en-GB"/>
        </w:rPr>
        <w:t xml:space="preserve">. </w:t>
      </w:r>
      <w:r w:rsidRPr="000A1EDD">
        <w:rPr>
          <w:rFonts w:asciiTheme="majorBidi" w:hAnsiTheme="majorBidi" w:cstheme="majorBidi"/>
          <w:color w:val="000000"/>
          <w:lang w:eastAsia="en-GB"/>
        </w:rPr>
        <w:t>After the asylum in</w:t>
      </w:r>
      <w:r w:rsidRPr="000A1EDD">
        <w:rPr>
          <w:rFonts w:asciiTheme="majorBidi" w:hAnsiTheme="majorBidi" w:cstheme="majorBidi"/>
          <w:lang w:eastAsia="en-GB"/>
        </w:rPr>
        <w:t>terview, the complainant stated</w:t>
      </w:r>
      <w:r w:rsidRPr="000A1EDD">
        <w:rPr>
          <w:rFonts w:asciiTheme="majorBidi" w:hAnsiTheme="majorBidi" w:cstheme="majorBidi"/>
          <w:color w:val="000000"/>
          <w:lang w:eastAsia="en-GB"/>
        </w:rPr>
        <w:t xml:space="preserve"> that he believed he had presented all his reasons for seeking asylum. Furthermore, the complainant’s legal counsel was invited to submit observations and comments on the minutes from the interview. </w:t>
      </w:r>
      <w:r w:rsidRPr="000A1EDD">
        <w:rPr>
          <w:rFonts w:asciiTheme="majorBidi" w:hAnsiTheme="majorBidi" w:cstheme="majorBidi"/>
          <w:lang w:eastAsia="en-GB"/>
        </w:rPr>
        <w:t>Accordingly, the State party maintains that t</w:t>
      </w:r>
      <w:r w:rsidRPr="000A1EDD">
        <w:rPr>
          <w:rFonts w:asciiTheme="majorBidi" w:hAnsiTheme="majorBidi" w:cstheme="majorBidi"/>
          <w:color w:val="000000"/>
          <w:lang w:eastAsia="en-GB"/>
        </w:rPr>
        <w:t xml:space="preserve">he complainant has had several opportunities to explain </w:t>
      </w:r>
      <w:r w:rsidR="001640A0" w:rsidRPr="000A1EDD">
        <w:rPr>
          <w:rFonts w:asciiTheme="majorBidi" w:hAnsiTheme="majorBidi" w:cstheme="majorBidi"/>
          <w:color w:val="000000"/>
          <w:lang w:eastAsia="en-GB"/>
        </w:rPr>
        <w:t xml:space="preserve">all </w:t>
      </w:r>
      <w:r w:rsidRPr="000A1EDD">
        <w:rPr>
          <w:rFonts w:asciiTheme="majorBidi" w:hAnsiTheme="majorBidi" w:cstheme="majorBidi"/>
          <w:color w:val="000000"/>
          <w:lang w:eastAsia="en-GB"/>
        </w:rPr>
        <w:t xml:space="preserve">relevant facts and circumstances in support of his claim and to argue his case, both orally and in writing. </w:t>
      </w:r>
      <w:r w:rsidR="001640A0" w:rsidRPr="000A1EDD">
        <w:rPr>
          <w:rFonts w:asciiTheme="majorBidi" w:hAnsiTheme="majorBidi" w:cstheme="majorBidi"/>
          <w:color w:val="000000"/>
          <w:lang w:eastAsia="en-GB"/>
        </w:rPr>
        <w:t xml:space="preserve">Thus, </w:t>
      </w:r>
      <w:r w:rsidRPr="000A1EDD">
        <w:rPr>
          <w:rFonts w:asciiTheme="majorBidi" w:hAnsiTheme="majorBidi" w:cstheme="majorBidi"/>
        </w:rPr>
        <w:t xml:space="preserve">it must be considered that the Migration Agency and the Migration Court had sufficient information, together with the facts and documentation in the case, to ensure that they had a solid basis for making a well-informed, transparent and reasonable risk assessment of the complainant’s need </w:t>
      </w:r>
      <w:r w:rsidR="001640A0" w:rsidRPr="000A1EDD">
        <w:rPr>
          <w:rFonts w:asciiTheme="majorBidi" w:hAnsiTheme="majorBidi" w:cstheme="majorBidi"/>
        </w:rPr>
        <w:t>of</w:t>
      </w:r>
      <w:r w:rsidRPr="000A1EDD">
        <w:rPr>
          <w:rFonts w:asciiTheme="majorBidi" w:hAnsiTheme="majorBidi" w:cstheme="majorBidi"/>
        </w:rPr>
        <w:t xml:space="preserve"> protection.</w:t>
      </w:r>
    </w:p>
    <w:p w:rsidR="00913FFF" w:rsidRPr="000A1EDD" w:rsidRDefault="00642D46" w:rsidP="000D2EB0">
      <w:pPr>
        <w:pStyle w:val="SingleTxtG"/>
        <w:rPr>
          <w:rFonts w:asciiTheme="majorBidi" w:eastAsia="Garamond" w:hAnsiTheme="majorBidi" w:cstheme="majorBidi"/>
        </w:rPr>
      </w:pPr>
      <w:r w:rsidRPr="000A1EDD">
        <w:rPr>
          <w:rFonts w:asciiTheme="majorBidi" w:hAnsiTheme="majorBidi" w:cstheme="majorBidi"/>
        </w:rPr>
        <w:t>4.1</w:t>
      </w:r>
      <w:r w:rsidR="000E0066" w:rsidRPr="000A1EDD">
        <w:rPr>
          <w:rFonts w:asciiTheme="majorBidi" w:hAnsiTheme="majorBidi" w:cstheme="majorBidi"/>
        </w:rPr>
        <w:t>1</w:t>
      </w:r>
      <w:r w:rsidRPr="000A1EDD">
        <w:rPr>
          <w:rFonts w:asciiTheme="majorBidi" w:hAnsiTheme="majorBidi" w:cstheme="majorBidi"/>
        </w:rPr>
        <w:t xml:space="preserve"> </w:t>
      </w:r>
      <w:r w:rsidR="000D2EB0" w:rsidRPr="000A1EDD">
        <w:rPr>
          <w:rFonts w:asciiTheme="majorBidi" w:hAnsiTheme="majorBidi" w:cstheme="majorBidi"/>
        </w:rPr>
        <w:tab/>
      </w:r>
      <w:r w:rsidRPr="000A1EDD">
        <w:rPr>
          <w:rFonts w:asciiTheme="majorBidi" w:eastAsia="Garamond" w:hAnsiTheme="majorBidi" w:cstheme="majorBidi"/>
        </w:rPr>
        <w:t>In th</w:t>
      </w:r>
      <w:r w:rsidR="004B6330" w:rsidRPr="000A1EDD">
        <w:rPr>
          <w:rFonts w:asciiTheme="majorBidi" w:eastAsia="Garamond" w:hAnsiTheme="majorBidi" w:cstheme="majorBidi"/>
        </w:rPr>
        <w:t>at</w:t>
      </w:r>
      <w:r w:rsidRPr="000A1EDD">
        <w:rPr>
          <w:rFonts w:asciiTheme="majorBidi" w:eastAsia="Garamond" w:hAnsiTheme="majorBidi" w:cstheme="majorBidi"/>
        </w:rPr>
        <w:t xml:space="preserve"> connection, the State party recalls </w:t>
      </w:r>
      <w:r w:rsidR="001640A0" w:rsidRPr="000A1EDD">
        <w:rPr>
          <w:rFonts w:asciiTheme="majorBidi" w:eastAsia="Garamond" w:hAnsiTheme="majorBidi" w:cstheme="majorBidi"/>
        </w:rPr>
        <w:t xml:space="preserve">that the </w:t>
      </w:r>
      <w:r w:rsidRPr="000A1EDD">
        <w:rPr>
          <w:rFonts w:asciiTheme="majorBidi" w:eastAsia="Garamond" w:hAnsiTheme="majorBidi" w:cstheme="majorBidi"/>
        </w:rPr>
        <w:t>Committee</w:t>
      </w:r>
      <w:r w:rsidR="001640A0" w:rsidRPr="000A1EDD">
        <w:rPr>
          <w:rFonts w:asciiTheme="majorBidi" w:eastAsia="Garamond" w:hAnsiTheme="majorBidi" w:cstheme="majorBidi"/>
        </w:rPr>
        <w:t xml:space="preserve"> repeatedly holds that it </w:t>
      </w:r>
      <w:r w:rsidRPr="000A1EDD">
        <w:rPr>
          <w:rFonts w:asciiTheme="majorBidi" w:eastAsia="Garamond" w:hAnsiTheme="majorBidi" w:cstheme="majorBidi"/>
        </w:rPr>
        <w:t>is not an appellate, quasi-judicial or administrative body and that considerable weight will be given to findings of facts that are made by organs of the State party concerned</w:t>
      </w:r>
      <w:r w:rsidRPr="000A1EDD">
        <w:rPr>
          <w:rFonts w:asciiTheme="majorBidi" w:hAnsiTheme="majorBidi" w:cstheme="majorBidi"/>
        </w:rPr>
        <w:t>.</w:t>
      </w:r>
      <w:r w:rsidR="0067055C" w:rsidRPr="000A1EDD">
        <w:rPr>
          <w:rStyle w:val="FootnoteReference"/>
          <w:rFonts w:asciiTheme="majorBidi" w:hAnsiTheme="majorBidi" w:cstheme="majorBidi"/>
        </w:rPr>
        <w:footnoteReference w:id="14"/>
      </w:r>
      <w:r w:rsidRPr="000A1EDD">
        <w:rPr>
          <w:rFonts w:asciiTheme="majorBidi" w:hAnsiTheme="majorBidi" w:cstheme="majorBidi"/>
        </w:rPr>
        <w:t xml:space="preserve"> Moreover, </w:t>
      </w:r>
      <w:r w:rsidR="001640A0" w:rsidRPr="000A1EDD">
        <w:rPr>
          <w:rFonts w:asciiTheme="majorBidi" w:hAnsiTheme="majorBidi" w:cstheme="majorBidi"/>
        </w:rPr>
        <w:t>in its case</w:t>
      </w:r>
      <w:r w:rsidR="004B6330" w:rsidRPr="000A1EDD">
        <w:rPr>
          <w:rFonts w:asciiTheme="majorBidi" w:hAnsiTheme="majorBidi" w:cstheme="majorBidi"/>
        </w:rPr>
        <w:t xml:space="preserve"> </w:t>
      </w:r>
      <w:r w:rsidR="001640A0" w:rsidRPr="000A1EDD">
        <w:rPr>
          <w:rFonts w:asciiTheme="majorBidi" w:hAnsiTheme="majorBidi" w:cstheme="majorBidi"/>
        </w:rPr>
        <w:t xml:space="preserve">law, </w:t>
      </w:r>
      <w:r w:rsidRPr="000A1EDD">
        <w:rPr>
          <w:rFonts w:asciiTheme="majorBidi" w:hAnsiTheme="majorBidi" w:cstheme="majorBidi"/>
        </w:rPr>
        <w:t xml:space="preserve">the Committee </w:t>
      </w:r>
      <w:r w:rsidR="001640A0" w:rsidRPr="000A1EDD">
        <w:rPr>
          <w:rFonts w:asciiTheme="majorBidi" w:hAnsiTheme="majorBidi" w:cstheme="majorBidi"/>
        </w:rPr>
        <w:t xml:space="preserve">also reiterates </w:t>
      </w:r>
      <w:r w:rsidRPr="000A1EDD">
        <w:rPr>
          <w:rFonts w:asciiTheme="majorBidi" w:hAnsiTheme="majorBidi" w:cstheme="majorBidi"/>
        </w:rPr>
        <w:t>that it is for the courts of the States parties to the Convention, and not for the Committee, to evaluate the facts and evidence in a particular case, unless it can be ascertained that the manner in which such facts and evidence were evaluated was clearly arbitrary or amounted to a denial of justice.</w:t>
      </w:r>
      <w:r w:rsidR="0067055C" w:rsidRPr="000A1EDD">
        <w:rPr>
          <w:rStyle w:val="FootnoteReference"/>
          <w:rFonts w:asciiTheme="majorBidi" w:hAnsiTheme="majorBidi" w:cstheme="majorBidi"/>
        </w:rPr>
        <w:footnoteReference w:id="15"/>
      </w:r>
      <w:r w:rsidR="00756561" w:rsidRPr="000A1EDD">
        <w:rPr>
          <w:rFonts w:asciiTheme="majorBidi" w:hAnsiTheme="majorBidi" w:cstheme="majorBidi"/>
        </w:rPr>
        <w:t xml:space="preserve"> </w:t>
      </w:r>
      <w:r w:rsidR="008A4A45" w:rsidRPr="000A1EDD">
        <w:rPr>
          <w:rFonts w:asciiTheme="majorBidi" w:eastAsia="Garamond" w:hAnsiTheme="majorBidi" w:cstheme="majorBidi"/>
        </w:rPr>
        <w:t xml:space="preserve">The State party contends, in the light of the above and given that the Migration Agency and the </w:t>
      </w:r>
      <w:r w:rsidR="004B6330" w:rsidRPr="000A1EDD">
        <w:rPr>
          <w:rFonts w:asciiTheme="majorBidi" w:eastAsia="Garamond" w:hAnsiTheme="majorBidi" w:cstheme="majorBidi"/>
        </w:rPr>
        <w:t xml:space="preserve">Migration Court </w:t>
      </w:r>
      <w:r w:rsidR="008A4A45" w:rsidRPr="000A1EDD">
        <w:rPr>
          <w:rFonts w:asciiTheme="majorBidi" w:eastAsia="Garamond" w:hAnsiTheme="majorBidi" w:cstheme="majorBidi"/>
        </w:rPr>
        <w:t xml:space="preserve">are specialized bodies with particular expertise in the field of asylum law and practice, that there is no reason to conclude that the national rulings were inadequate or that the outcome of the proceedings was arbitrary or amounting to a denial of justice. </w:t>
      </w:r>
    </w:p>
    <w:p w:rsidR="009A3FC9" w:rsidRPr="000A1EDD" w:rsidRDefault="008A4A45" w:rsidP="0067055C">
      <w:pPr>
        <w:pStyle w:val="SingleTxtG"/>
        <w:rPr>
          <w:rFonts w:asciiTheme="majorBidi" w:hAnsiTheme="majorBidi" w:cstheme="majorBidi"/>
          <w:lang w:eastAsia="en-GB"/>
        </w:rPr>
      </w:pPr>
      <w:r w:rsidRPr="000A1EDD">
        <w:rPr>
          <w:rFonts w:asciiTheme="majorBidi" w:eastAsia="Garamond" w:hAnsiTheme="majorBidi" w:cstheme="majorBidi"/>
        </w:rPr>
        <w:lastRenderedPageBreak/>
        <w:t>4.1</w:t>
      </w:r>
      <w:r w:rsidR="000E0066" w:rsidRPr="000A1EDD">
        <w:rPr>
          <w:rFonts w:asciiTheme="majorBidi" w:eastAsia="Garamond" w:hAnsiTheme="majorBidi" w:cstheme="majorBidi"/>
        </w:rPr>
        <w:t>2</w:t>
      </w:r>
      <w:r w:rsidRPr="000A1EDD">
        <w:rPr>
          <w:rFonts w:asciiTheme="majorBidi" w:eastAsia="Garamond" w:hAnsiTheme="majorBidi" w:cstheme="majorBidi"/>
        </w:rPr>
        <w:t xml:space="preserve"> </w:t>
      </w:r>
      <w:r w:rsidR="00913FFF" w:rsidRPr="000A1EDD">
        <w:rPr>
          <w:rFonts w:asciiTheme="majorBidi" w:eastAsia="Garamond" w:hAnsiTheme="majorBidi" w:cstheme="majorBidi"/>
        </w:rPr>
        <w:tab/>
      </w:r>
      <w:r w:rsidR="00756561" w:rsidRPr="000A1EDD">
        <w:rPr>
          <w:rFonts w:asciiTheme="majorBidi" w:eastAsia="Garamond" w:hAnsiTheme="majorBidi" w:cstheme="majorBidi"/>
        </w:rPr>
        <w:t xml:space="preserve">Further, </w:t>
      </w:r>
      <w:r w:rsidR="00913FFF" w:rsidRPr="000A1EDD">
        <w:rPr>
          <w:rFonts w:asciiTheme="majorBidi" w:eastAsia="Garamond" w:hAnsiTheme="majorBidi" w:cstheme="majorBidi"/>
        </w:rPr>
        <w:t>the State party</w:t>
      </w:r>
      <w:r w:rsidR="00913FFF" w:rsidRPr="000A1EDD">
        <w:rPr>
          <w:rFonts w:asciiTheme="majorBidi" w:hAnsiTheme="majorBidi" w:cstheme="majorBidi"/>
        </w:rPr>
        <w:t xml:space="preserve">, as </w:t>
      </w:r>
      <w:r w:rsidR="004B6330" w:rsidRPr="000A1EDD">
        <w:rPr>
          <w:rFonts w:asciiTheme="majorBidi" w:hAnsiTheme="majorBidi" w:cstheme="majorBidi"/>
        </w:rPr>
        <w:t xml:space="preserve">do </w:t>
      </w:r>
      <w:r w:rsidR="00913FFF" w:rsidRPr="000A1EDD">
        <w:rPr>
          <w:rFonts w:asciiTheme="majorBidi" w:hAnsiTheme="majorBidi" w:cstheme="majorBidi"/>
        </w:rPr>
        <w:t xml:space="preserve">its migration authorities, finds that </w:t>
      </w:r>
      <w:r w:rsidR="00913FFF" w:rsidRPr="000A1EDD">
        <w:rPr>
          <w:rFonts w:asciiTheme="majorBidi" w:hAnsiTheme="majorBidi" w:cstheme="majorBidi"/>
          <w:lang w:eastAsia="en-GB"/>
        </w:rPr>
        <w:t xml:space="preserve">the asylum account invoked by the complainant </w:t>
      </w:r>
      <w:r w:rsidR="003C1305" w:rsidRPr="000A1EDD">
        <w:rPr>
          <w:rFonts w:asciiTheme="majorBidi" w:hAnsiTheme="majorBidi" w:cstheme="majorBidi"/>
          <w:lang w:eastAsia="en-GB"/>
        </w:rPr>
        <w:t>before the domestic authorities</w:t>
      </w:r>
      <w:r w:rsidR="00913FFF" w:rsidRPr="000A1EDD">
        <w:rPr>
          <w:rFonts w:asciiTheme="majorBidi" w:hAnsiTheme="majorBidi" w:cstheme="majorBidi"/>
          <w:lang w:eastAsia="en-GB"/>
        </w:rPr>
        <w:t xml:space="preserve"> was vague, lacking in detail and, in some respects, even contradictory. </w:t>
      </w:r>
      <w:r w:rsidR="004B6330" w:rsidRPr="000A1EDD">
        <w:rPr>
          <w:rFonts w:asciiTheme="majorBidi" w:hAnsiTheme="majorBidi" w:cstheme="majorBidi"/>
          <w:lang w:eastAsia="en-GB"/>
        </w:rPr>
        <w:t>H</w:t>
      </w:r>
      <w:r w:rsidR="00913FFF" w:rsidRPr="000A1EDD">
        <w:rPr>
          <w:rFonts w:asciiTheme="majorBidi" w:hAnsiTheme="majorBidi" w:cstheme="majorBidi"/>
          <w:lang w:eastAsia="en-GB"/>
        </w:rPr>
        <w:t>e acknowledged shortcomings in various aspects of his asylum account</w:t>
      </w:r>
      <w:r w:rsidR="00224890" w:rsidRPr="000A1EDD">
        <w:rPr>
          <w:rFonts w:asciiTheme="majorBidi" w:hAnsiTheme="majorBidi" w:cstheme="majorBidi"/>
          <w:lang w:eastAsia="en-GB"/>
        </w:rPr>
        <w:t xml:space="preserve"> before the Committee</w:t>
      </w:r>
      <w:r w:rsidR="00913FFF" w:rsidRPr="000A1EDD">
        <w:rPr>
          <w:rFonts w:asciiTheme="majorBidi" w:hAnsiTheme="majorBidi" w:cstheme="majorBidi"/>
          <w:lang w:eastAsia="en-GB"/>
        </w:rPr>
        <w:t xml:space="preserve">, even though he tried to be very clear in describing his activities </w:t>
      </w:r>
      <w:r w:rsidR="003C1305" w:rsidRPr="000A1EDD">
        <w:rPr>
          <w:rFonts w:asciiTheme="majorBidi" w:hAnsiTheme="majorBidi" w:cstheme="majorBidi"/>
          <w:lang w:eastAsia="en-GB"/>
        </w:rPr>
        <w:t xml:space="preserve">during the asylum </w:t>
      </w:r>
      <w:r w:rsidR="00913FFF" w:rsidRPr="000A1EDD">
        <w:rPr>
          <w:rFonts w:asciiTheme="majorBidi" w:hAnsiTheme="majorBidi" w:cstheme="majorBidi"/>
          <w:lang w:eastAsia="en-GB"/>
        </w:rPr>
        <w:t>proceedings. He has, however, held that th</w:t>
      </w:r>
      <w:r w:rsidR="00224890" w:rsidRPr="000A1EDD">
        <w:rPr>
          <w:rFonts w:asciiTheme="majorBidi" w:hAnsiTheme="majorBidi" w:cstheme="majorBidi"/>
          <w:lang w:eastAsia="en-GB"/>
        </w:rPr>
        <w:t>ose</w:t>
      </w:r>
      <w:r w:rsidR="00913FFF" w:rsidRPr="000A1EDD">
        <w:rPr>
          <w:rFonts w:asciiTheme="majorBidi" w:hAnsiTheme="majorBidi" w:cstheme="majorBidi"/>
          <w:lang w:eastAsia="en-GB"/>
        </w:rPr>
        <w:t xml:space="preserve"> shortcomings may be </w:t>
      </w:r>
      <w:r w:rsidR="00224890" w:rsidRPr="000A1EDD">
        <w:rPr>
          <w:rFonts w:asciiTheme="majorBidi" w:hAnsiTheme="majorBidi" w:cstheme="majorBidi"/>
          <w:lang w:eastAsia="en-GB"/>
        </w:rPr>
        <w:t xml:space="preserve">owing </w:t>
      </w:r>
      <w:r w:rsidR="00913FFF" w:rsidRPr="000A1EDD">
        <w:rPr>
          <w:rFonts w:asciiTheme="majorBidi" w:hAnsiTheme="majorBidi" w:cstheme="majorBidi"/>
          <w:lang w:eastAsia="en-GB"/>
        </w:rPr>
        <w:t xml:space="preserve">to interpretation </w:t>
      </w:r>
      <w:r w:rsidR="003C1305" w:rsidRPr="000A1EDD">
        <w:rPr>
          <w:rFonts w:asciiTheme="majorBidi" w:hAnsiTheme="majorBidi" w:cstheme="majorBidi"/>
          <w:lang w:eastAsia="en-GB"/>
        </w:rPr>
        <w:t>problems</w:t>
      </w:r>
      <w:r w:rsidR="00224890" w:rsidRPr="000A1EDD">
        <w:rPr>
          <w:rFonts w:asciiTheme="majorBidi" w:hAnsiTheme="majorBidi" w:cstheme="majorBidi"/>
          <w:lang w:eastAsia="en-GB"/>
        </w:rPr>
        <w:t>,</w:t>
      </w:r>
      <w:r w:rsidR="003C1305" w:rsidRPr="000A1EDD">
        <w:rPr>
          <w:rFonts w:asciiTheme="majorBidi" w:hAnsiTheme="majorBidi" w:cstheme="majorBidi"/>
          <w:lang w:eastAsia="en-GB"/>
        </w:rPr>
        <w:t xml:space="preserve"> </w:t>
      </w:r>
      <w:r w:rsidR="00913FFF" w:rsidRPr="000A1EDD">
        <w:rPr>
          <w:rFonts w:asciiTheme="majorBidi" w:hAnsiTheme="majorBidi" w:cstheme="majorBidi"/>
          <w:lang w:eastAsia="en-GB"/>
        </w:rPr>
        <w:t xml:space="preserve">or that the asylum officer did not properly </w:t>
      </w:r>
      <w:r w:rsidR="00224890" w:rsidRPr="000A1EDD">
        <w:rPr>
          <w:rFonts w:asciiTheme="majorBidi" w:hAnsiTheme="majorBidi" w:cstheme="majorBidi"/>
          <w:lang w:eastAsia="en-GB"/>
        </w:rPr>
        <w:t xml:space="preserve">take </w:t>
      </w:r>
      <w:r w:rsidR="003C1305" w:rsidRPr="000A1EDD">
        <w:rPr>
          <w:rFonts w:asciiTheme="majorBidi" w:hAnsiTheme="majorBidi" w:cstheme="majorBidi"/>
          <w:lang w:eastAsia="en-GB"/>
        </w:rPr>
        <w:t>note</w:t>
      </w:r>
      <w:r w:rsidR="00224890" w:rsidRPr="000A1EDD">
        <w:rPr>
          <w:rFonts w:asciiTheme="majorBidi" w:hAnsiTheme="majorBidi" w:cstheme="majorBidi"/>
          <w:lang w:eastAsia="en-GB"/>
        </w:rPr>
        <w:t>s of</w:t>
      </w:r>
      <w:r w:rsidR="00913FFF" w:rsidRPr="000A1EDD">
        <w:rPr>
          <w:rFonts w:asciiTheme="majorBidi" w:hAnsiTheme="majorBidi" w:cstheme="majorBidi"/>
          <w:lang w:eastAsia="en-GB"/>
        </w:rPr>
        <w:t xml:space="preserve"> his account. He has furthermore stated that he and his counsel have not done a full review of the minutes from the asylum interview. In th</w:t>
      </w:r>
      <w:r w:rsidR="00224890" w:rsidRPr="000A1EDD">
        <w:rPr>
          <w:rFonts w:asciiTheme="majorBidi" w:hAnsiTheme="majorBidi" w:cstheme="majorBidi"/>
          <w:lang w:eastAsia="en-GB"/>
        </w:rPr>
        <w:t>at</w:t>
      </w:r>
      <w:r w:rsidR="00913FFF" w:rsidRPr="000A1EDD">
        <w:rPr>
          <w:rFonts w:asciiTheme="majorBidi" w:hAnsiTheme="majorBidi" w:cstheme="majorBidi"/>
          <w:lang w:eastAsia="en-GB"/>
        </w:rPr>
        <w:t xml:space="preserve"> regard, the State party reiterates that the complainant has had the opportunity to explain the relevant facts and circumstances in support of his claim and to argue his case during the domestic proceedings, orally as well as in writing, and that </w:t>
      </w:r>
      <w:r w:rsidR="00224890" w:rsidRPr="000A1EDD">
        <w:rPr>
          <w:rFonts w:asciiTheme="majorBidi" w:hAnsiTheme="majorBidi" w:cstheme="majorBidi"/>
          <w:lang w:eastAsia="en-GB"/>
        </w:rPr>
        <w:t xml:space="preserve">during the interviews </w:t>
      </w:r>
      <w:r w:rsidR="00913FFF" w:rsidRPr="000A1EDD">
        <w:rPr>
          <w:rFonts w:asciiTheme="majorBidi" w:hAnsiTheme="majorBidi" w:cstheme="majorBidi"/>
          <w:lang w:eastAsia="en-GB"/>
        </w:rPr>
        <w:t>he had access to a public counsel and a</w:t>
      </w:r>
      <w:r w:rsidR="003C1305" w:rsidRPr="000A1EDD">
        <w:rPr>
          <w:rFonts w:asciiTheme="majorBidi" w:hAnsiTheme="majorBidi" w:cstheme="majorBidi"/>
          <w:lang w:eastAsia="en-GB"/>
        </w:rPr>
        <w:t xml:space="preserve"> qualified</w:t>
      </w:r>
      <w:r w:rsidR="00913FFF" w:rsidRPr="000A1EDD">
        <w:rPr>
          <w:rFonts w:asciiTheme="majorBidi" w:hAnsiTheme="majorBidi" w:cstheme="majorBidi"/>
          <w:lang w:eastAsia="en-GB"/>
        </w:rPr>
        <w:t xml:space="preserve"> interpreter. </w:t>
      </w:r>
      <w:r w:rsidR="003C1305" w:rsidRPr="000A1EDD">
        <w:rPr>
          <w:rFonts w:asciiTheme="majorBidi" w:hAnsiTheme="majorBidi" w:cstheme="majorBidi"/>
          <w:lang w:eastAsia="en-GB"/>
        </w:rPr>
        <w:t xml:space="preserve">Following </w:t>
      </w:r>
      <w:r w:rsidR="00913FFF" w:rsidRPr="000A1EDD">
        <w:rPr>
          <w:rFonts w:asciiTheme="majorBidi" w:hAnsiTheme="majorBidi" w:cstheme="majorBidi"/>
          <w:lang w:eastAsia="en-GB"/>
        </w:rPr>
        <w:t>the asylum interview</w:t>
      </w:r>
      <w:r w:rsidR="003C1305" w:rsidRPr="000A1EDD">
        <w:rPr>
          <w:rFonts w:asciiTheme="majorBidi" w:hAnsiTheme="majorBidi" w:cstheme="majorBidi"/>
          <w:lang w:eastAsia="en-GB"/>
        </w:rPr>
        <w:t xml:space="preserve">, </w:t>
      </w:r>
      <w:r w:rsidR="00913FFF" w:rsidRPr="000A1EDD">
        <w:rPr>
          <w:rFonts w:asciiTheme="majorBidi" w:hAnsiTheme="majorBidi" w:cstheme="majorBidi"/>
          <w:lang w:eastAsia="en-GB"/>
        </w:rPr>
        <w:t xml:space="preserve">the complainant </w:t>
      </w:r>
      <w:r w:rsidR="003C1305" w:rsidRPr="000A1EDD">
        <w:rPr>
          <w:rFonts w:asciiTheme="majorBidi" w:hAnsiTheme="majorBidi" w:cstheme="majorBidi"/>
          <w:lang w:eastAsia="en-GB"/>
        </w:rPr>
        <w:t xml:space="preserve">confirmed </w:t>
      </w:r>
      <w:r w:rsidR="00913FFF" w:rsidRPr="000A1EDD">
        <w:rPr>
          <w:rFonts w:asciiTheme="majorBidi" w:hAnsiTheme="majorBidi" w:cstheme="majorBidi"/>
          <w:lang w:eastAsia="en-GB"/>
        </w:rPr>
        <w:t>that he ha</w:t>
      </w:r>
      <w:r w:rsidR="003C1305" w:rsidRPr="000A1EDD">
        <w:rPr>
          <w:rFonts w:asciiTheme="majorBidi" w:hAnsiTheme="majorBidi" w:cstheme="majorBidi"/>
          <w:lang w:eastAsia="en-GB"/>
        </w:rPr>
        <w:t>d</w:t>
      </w:r>
      <w:r w:rsidR="00913FFF" w:rsidRPr="000A1EDD">
        <w:rPr>
          <w:rFonts w:asciiTheme="majorBidi" w:hAnsiTheme="majorBidi" w:cstheme="majorBidi"/>
          <w:lang w:eastAsia="en-GB"/>
        </w:rPr>
        <w:t xml:space="preserve"> invoked all the reasons for seeking protection. In addition, the complainant and his counsel have also had the opportunity to review and submit observations and comments on the minutes from the interview. </w:t>
      </w:r>
    </w:p>
    <w:p w:rsidR="00BF05BA" w:rsidRPr="000A1EDD" w:rsidRDefault="00756561" w:rsidP="0067055C">
      <w:pPr>
        <w:pStyle w:val="SingleTxtG"/>
        <w:rPr>
          <w:rFonts w:asciiTheme="majorBidi" w:hAnsiTheme="majorBidi" w:cstheme="majorBidi"/>
          <w:lang w:eastAsia="en-GB"/>
        </w:rPr>
      </w:pPr>
      <w:r w:rsidRPr="000A1EDD">
        <w:rPr>
          <w:rFonts w:asciiTheme="majorBidi" w:hAnsiTheme="majorBidi" w:cstheme="majorBidi"/>
          <w:lang w:eastAsia="en-GB"/>
        </w:rPr>
        <w:t>4.1</w:t>
      </w:r>
      <w:r w:rsidR="000E0066" w:rsidRPr="000A1EDD">
        <w:rPr>
          <w:rFonts w:asciiTheme="majorBidi" w:hAnsiTheme="majorBidi" w:cstheme="majorBidi"/>
          <w:lang w:eastAsia="en-GB"/>
        </w:rPr>
        <w:t>3</w:t>
      </w:r>
      <w:r w:rsidR="009A3FC9" w:rsidRPr="000A1EDD">
        <w:rPr>
          <w:rFonts w:asciiTheme="majorBidi" w:hAnsiTheme="majorBidi" w:cstheme="majorBidi"/>
          <w:lang w:eastAsia="en-GB"/>
        </w:rPr>
        <w:t xml:space="preserve"> </w:t>
      </w:r>
      <w:r w:rsidR="0067055C" w:rsidRPr="000A1EDD">
        <w:rPr>
          <w:rFonts w:asciiTheme="majorBidi" w:hAnsiTheme="majorBidi" w:cstheme="majorBidi"/>
          <w:lang w:eastAsia="en-GB"/>
        </w:rPr>
        <w:tab/>
      </w:r>
      <w:r w:rsidR="00BF05BA" w:rsidRPr="000A1EDD">
        <w:rPr>
          <w:rFonts w:asciiTheme="majorBidi" w:hAnsiTheme="majorBidi" w:cstheme="majorBidi"/>
          <w:lang w:eastAsia="en-GB"/>
        </w:rPr>
        <w:t>T</w:t>
      </w:r>
      <w:r w:rsidR="009A3FC9" w:rsidRPr="000A1EDD">
        <w:rPr>
          <w:rFonts w:asciiTheme="majorBidi" w:hAnsiTheme="majorBidi" w:cstheme="majorBidi"/>
          <w:lang w:eastAsia="en-GB"/>
        </w:rPr>
        <w:t>he State party</w:t>
      </w:r>
      <w:r w:rsidR="00BF05BA" w:rsidRPr="000A1EDD">
        <w:rPr>
          <w:rFonts w:asciiTheme="majorBidi" w:hAnsiTheme="majorBidi" w:cstheme="majorBidi"/>
          <w:lang w:eastAsia="en-GB"/>
        </w:rPr>
        <w:t xml:space="preserve"> further</w:t>
      </w:r>
      <w:r w:rsidR="009A3FC9" w:rsidRPr="000A1EDD">
        <w:rPr>
          <w:rFonts w:asciiTheme="majorBidi" w:hAnsiTheme="majorBidi" w:cstheme="majorBidi"/>
          <w:lang w:eastAsia="en-GB"/>
        </w:rPr>
        <w:t xml:space="preserve"> points out </w:t>
      </w:r>
      <w:r w:rsidR="00F76590" w:rsidRPr="000A1EDD">
        <w:rPr>
          <w:rFonts w:asciiTheme="majorBidi" w:hAnsiTheme="majorBidi" w:cstheme="majorBidi"/>
          <w:lang w:eastAsia="en-GB"/>
        </w:rPr>
        <w:t>that</w:t>
      </w:r>
      <w:r w:rsidR="009A3FC9" w:rsidRPr="000A1EDD">
        <w:rPr>
          <w:rFonts w:asciiTheme="majorBidi" w:hAnsiTheme="majorBidi" w:cstheme="majorBidi"/>
          <w:lang w:eastAsia="en-GB"/>
        </w:rPr>
        <w:t xml:space="preserve"> </w:t>
      </w:r>
      <w:r w:rsidR="00F76590" w:rsidRPr="000A1EDD">
        <w:rPr>
          <w:rFonts w:asciiTheme="majorBidi" w:hAnsiTheme="majorBidi" w:cstheme="majorBidi"/>
          <w:lang w:eastAsia="en-GB"/>
        </w:rPr>
        <w:t>t</w:t>
      </w:r>
      <w:r w:rsidR="009A3FC9" w:rsidRPr="000A1EDD">
        <w:rPr>
          <w:rFonts w:asciiTheme="majorBidi" w:hAnsiTheme="majorBidi" w:cstheme="majorBidi"/>
          <w:lang w:eastAsia="en-GB"/>
        </w:rPr>
        <w:t xml:space="preserve">o substantiate his identity, the complainant submitted his national passport, a birth certificate, a population register certificate, a certificate of marital status and a certificate from the population register concerning his family situation. </w:t>
      </w:r>
      <w:r w:rsidR="00AE36AF" w:rsidRPr="000A1EDD">
        <w:rPr>
          <w:rFonts w:asciiTheme="majorBidi" w:hAnsiTheme="majorBidi" w:cstheme="majorBidi"/>
          <w:lang w:eastAsia="en-GB"/>
        </w:rPr>
        <w:t>It notes that t</w:t>
      </w:r>
      <w:r w:rsidR="009A3FC9" w:rsidRPr="000A1EDD">
        <w:rPr>
          <w:rFonts w:asciiTheme="majorBidi" w:hAnsiTheme="majorBidi" w:cstheme="majorBidi"/>
          <w:lang w:eastAsia="en-GB"/>
        </w:rPr>
        <w:t>he national p</w:t>
      </w:r>
      <w:r w:rsidR="00AE36AF" w:rsidRPr="000A1EDD">
        <w:rPr>
          <w:rFonts w:asciiTheme="majorBidi" w:hAnsiTheme="majorBidi" w:cstheme="majorBidi"/>
          <w:lang w:eastAsia="en-GB"/>
        </w:rPr>
        <w:t xml:space="preserve">assport </w:t>
      </w:r>
      <w:r w:rsidR="009A3FC9" w:rsidRPr="000A1EDD">
        <w:rPr>
          <w:rFonts w:asciiTheme="majorBidi" w:hAnsiTheme="majorBidi" w:cstheme="majorBidi"/>
          <w:lang w:eastAsia="en-GB"/>
        </w:rPr>
        <w:t xml:space="preserve">submitted was issued by the Embassy of Bangladesh in Rome after he had been in contact with the Bangladesh Consulate in Greece. According to the complainant, he presented a population register certificate in connection with his application at the Consulate in Greece that was procured with the help of his father. Therefore, the complainant did not have any contact himself with the authorities in his country of origin to get the documents issued. </w:t>
      </w:r>
      <w:r w:rsidR="00AE36AF" w:rsidRPr="000A1EDD">
        <w:rPr>
          <w:rFonts w:asciiTheme="majorBidi" w:hAnsiTheme="majorBidi" w:cstheme="majorBidi"/>
          <w:lang w:eastAsia="en-GB"/>
        </w:rPr>
        <w:t>In th</w:t>
      </w:r>
      <w:r w:rsidR="00224890" w:rsidRPr="000A1EDD">
        <w:rPr>
          <w:rFonts w:asciiTheme="majorBidi" w:hAnsiTheme="majorBidi" w:cstheme="majorBidi"/>
          <w:lang w:eastAsia="en-GB"/>
        </w:rPr>
        <w:t>at</w:t>
      </w:r>
      <w:r w:rsidR="00AE36AF" w:rsidRPr="000A1EDD">
        <w:rPr>
          <w:rFonts w:asciiTheme="majorBidi" w:hAnsiTheme="majorBidi" w:cstheme="majorBidi"/>
          <w:lang w:eastAsia="en-GB"/>
        </w:rPr>
        <w:t xml:space="preserve"> connection, the State party </w:t>
      </w:r>
      <w:r w:rsidR="001706AC" w:rsidRPr="000A1EDD">
        <w:rPr>
          <w:rFonts w:asciiTheme="majorBidi" w:hAnsiTheme="majorBidi" w:cstheme="majorBidi"/>
          <w:lang w:eastAsia="en-GB"/>
        </w:rPr>
        <w:t xml:space="preserve">notes that </w:t>
      </w:r>
      <w:r w:rsidR="009A3FC9" w:rsidRPr="000A1EDD">
        <w:rPr>
          <w:rFonts w:asciiTheme="majorBidi" w:hAnsiTheme="majorBidi" w:cstheme="majorBidi"/>
          <w:lang w:eastAsia="en-GB"/>
        </w:rPr>
        <w:t xml:space="preserve">the Migration Agency found that the population register certificate that formed the basis of the passport application was deemed to be of a “simple nature”. In addition, the Migration Agency made reference to information from the Embassy of Sweden in Dhaka according to which forged legal documents, such as birth certificates and other </w:t>
      </w:r>
      <w:r w:rsidR="00BF05BA" w:rsidRPr="000A1EDD">
        <w:rPr>
          <w:rFonts w:asciiTheme="majorBidi" w:hAnsiTheme="majorBidi" w:cstheme="majorBidi"/>
          <w:lang w:eastAsia="en-GB"/>
        </w:rPr>
        <w:t>documents</w:t>
      </w:r>
      <w:r w:rsidR="00224890" w:rsidRPr="000A1EDD">
        <w:rPr>
          <w:rFonts w:asciiTheme="majorBidi" w:hAnsiTheme="majorBidi" w:cstheme="majorBidi"/>
          <w:lang w:eastAsia="en-GB"/>
        </w:rPr>
        <w:t>,</w:t>
      </w:r>
      <w:r w:rsidR="009A3FC9" w:rsidRPr="000A1EDD">
        <w:rPr>
          <w:rFonts w:asciiTheme="majorBidi" w:hAnsiTheme="majorBidi" w:cstheme="majorBidi"/>
          <w:lang w:eastAsia="en-GB"/>
        </w:rPr>
        <w:t xml:space="preserve"> are common in Bangladesh. </w:t>
      </w:r>
      <w:r w:rsidR="00224890" w:rsidRPr="000A1EDD">
        <w:rPr>
          <w:rFonts w:asciiTheme="majorBidi" w:hAnsiTheme="majorBidi" w:cstheme="majorBidi"/>
          <w:lang w:eastAsia="en-GB"/>
        </w:rPr>
        <w:t>Further</w:t>
      </w:r>
      <w:r w:rsidR="009A3FC9" w:rsidRPr="000A1EDD">
        <w:rPr>
          <w:rFonts w:asciiTheme="majorBidi" w:hAnsiTheme="majorBidi" w:cstheme="majorBidi"/>
          <w:lang w:eastAsia="en-GB"/>
        </w:rPr>
        <w:t xml:space="preserve">, the other documents that the complainant submitted to support his identity </w:t>
      </w:r>
      <w:r w:rsidR="00224890" w:rsidRPr="000A1EDD">
        <w:rPr>
          <w:rFonts w:asciiTheme="majorBidi" w:hAnsiTheme="majorBidi" w:cstheme="majorBidi"/>
          <w:lang w:eastAsia="en-GB"/>
        </w:rPr>
        <w:t xml:space="preserve">were also </w:t>
      </w:r>
      <w:r w:rsidR="009A3FC9" w:rsidRPr="000A1EDD">
        <w:rPr>
          <w:rFonts w:asciiTheme="majorBidi" w:hAnsiTheme="majorBidi" w:cstheme="majorBidi"/>
          <w:lang w:eastAsia="en-GB"/>
        </w:rPr>
        <w:t xml:space="preserve">deemed to be of a </w:t>
      </w:r>
      <w:r w:rsidR="005464D8" w:rsidRPr="000A1EDD">
        <w:rPr>
          <w:rFonts w:asciiTheme="majorBidi" w:hAnsiTheme="majorBidi" w:cstheme="majorBidi"/>
          <w:lang w:eastAsia="en-GB"/>
        </w:rPr>
        <w:t>“</w:t>
      </w:r>
      <w:r w:rsidR="009A3FC9" w:rsidRPr="000A1EDD">
        <w:rPr>
          <w:rFonts w:asciiTheme="majorBidi" w:hAnsiTheme="majorBidi" w:cstheme="majorBidi"/>
          <w:lang w:eastAsia="en-GB"/>
        </w:rPr>
        <w:t>simple nature</w:t>
      </w:r>
      <w:r w:rsidR="005464D8" w:rsidRPr="000A1EDD">
        <w:rPr>
          <w:rFonts w:asciiTheme="majorBidi" w:hAnsiTheme="majorBidi" w:cstheme="majorBidi"/>
          <w:lang w:eastAsia="en-GB"/>
        </w:rPr>
        <w:t>”</w:t>
      </w:r>
      <w:r w:rsidR="009A3FC9" w:rsidRPr="000A1EDD">
        <w:rPr>
          <w:rFonts w:asciiTheme="majorBidi" w:hAnsiTheme="majorBidi" w:cstheme="majorBidi"/>
          <w:lang w:eastAsia="en-GB"/>
        </w:rPr>
        <w:t xml:space="preserve"> and could not plausibly demonstrate the complainant’s identity. </w:t>
      </w:r>
      <w:r w:rsidR="005464D8" w:rsidRPr="000A1EDD">
        <w:rPr>
          <w:rFonts w:asciiTheme="majorBidi" w:hAnsiTheme="majorBidi" w:cstheme="majorBidi"/>
          <w:lang w:eastAsia="en-GB"/>
        </w:rPr>
        <w:t>In th</w:t>
      </w:r>
      <w:r w:rsidR="00224890" w:rsidRPr="000A1EDD">
        <w:rPr>
          <w:rFonts w:asciiTheme="majorBidi" w:hAnsiTheme="majorBidi" w:cstheme="majorBidi"/>
          <w:lang w:eastAsia="en-GB"/>
        </w:rPr>
        <w:t>at</w:t>
      </w:r>
      <w:r w:rsidR="005464D8" w:rsidRPr="000A1EDD">
        <w:rPr>
          <w:rFonts w:asciiTheme="majorBidi" w:hAnsiTheme="majorBidi" w:cstheme="majorBidi"/>
          <w:lang w:eastAsia="en-GB"/>
        </w:rPr>
        <w:t xml:space="preserve"> context, the State party</w:t>
      </w:r>
      <w:r w:rsidR="009A3FC9" w:rsidRPr="000A1EDD">
        <w:rPr>
          <w:rFonts w:asciiTheme="majorBidi" w:hAnsiTheme="majorBidi" w:cstheme="majorBidi"/>
          <w:lang w:eastAsia="en-GB"/>
        </w:rPr>
        <w:t xml:space="preserve"> agrees with the </w:t>
      </w:r>
      <w:r w:rsidR="00224890" w:rsidRPr="000A1EDD">
        <w:rPr>
          <w:rFonts w:asciiTheme="majorBidi" w:hAnsiTheme="majorBidi" w:cstheme="majorBidi"/>
          <w:lang w:eastAsia="en-GB"/>
        </w:rPr>
        <w:t xml:space="preserve">finding of the </w:t>
      </w:r>
      <w:r w:rsidR="009A3FC9" w:rsidRPr="000A1EDD">
        <w:rPr>
          <w:rFonts w:asciiTheme="majorBidi" w:hAnsiTheme="majorBidi" w:cstheme="majorBidi"/>
          <w:lang w:eastAsia="en-GB"/>
        </w:rPr>
        <w:t>Migration Agency that the complainant ha</w:t>
      </w:r>
      <w:r w:rsidR="00224890" w:rsidRPr="000A1EDD">
        <w:rPr>
          <w:rFonts w:asciiTheme="majorBidi" w:hAnsiTheme="majorBidi" w:cstheme="majorBidi"/>
          <w:lang w:eastAsia="en-GB"/>
        </w:rPr>
        <w:t>s</w:t>
      </w:r>
      <w:r w:rsidR="009A3FC9" w:rsidRPr="000A1EDD">
        <w:rPr>
          <w:rFonts w:asciiTheme="majorBidi" w:hAnsiTheme="majorBidi" w:cstheme="majorBidi"/>
          <w:lang w:eastAsia="en-GB"/>
        </w:rPr>
        <w:t xml:space="preserve"> failed to plausibly </w:t>
      </w:r>
      <w:r w:rsidR="006C563E" w:rsidRPr="000A1EDD">
        <w:rPr>
          <w:rFonts w:asciiTheme="majorBidi" w:hAnsiTheme="majorBidi" w:cstheme="majorBidi"/>
          <w:lang w:eastAsia="en-GB"/>
        </w:rPr>
        <w:t>“</w:t>
      </w:r>
      <w:r w:rsidR="009A3FC9" w:rsidRPr="000A1EDD">
        <w:rPr>
          <w:rFonts w:asciiTheme="majorBidi" w:hAnsiTheme="majorBidi" w:cstheme="majorBidi"/>
          <w:lang w:eastAsia="en-GB"/>
        </w:rPr>
        <w:t>demonstrate his identity</w:t>
      </w:r>
      <w:r w:rsidR="006C563E" w:rsidRPr="000A1EDD">
        <w:rPr>
          <w:rFonts w:asciiTheme="majorBidi" w:hAnsiTheme="majorBidi" w:cstheme="majorBidi"/>
          <w:lang w:eastAsia="en-GB"/>
        </w:rPr>
        <w:t>”</w:t>
      </w:r>
      <w:r w:rsidR="009A3FC9" w:rsidRPr="000A1EDD">
        <w:rPr>
          <w:rFonts w:asciiTheme="majorBidi" w:hAnsiTheme="majorBidi" w:cstheme="majorBidi"/>
          <w:lang w:eastAsia="en-GB"/>
        </w:rPr>
        <w:t xml:space="preserve">. </w:t>
      </w:r>
    </w:p>
    <w:p w:rsidR="00A8067B" w:rsidRPr="000A1EDD" w:rsidRDefault="00BF05BA" w:rsidP="005D4C10">
      <w:pPr>
        <w:pStyle w:val="SingleTxtG"/>
        <w:rPr>
          <w:rFonts w:asciiTheme="majorBidi" w:hAnsiTheme="majorBidi" w:cstheme="majorBidi"/>
          <w:lang w:eastAsia="en-GB"/>
        </w:rPr>
      </w:pPr>
      <w:r w:rsidRPr="000A1EDD">
        <w:rPr>
          <w:rFonts w:asciiTheme="majorBidi" w:hAnsiTheme="majorBidi" w:cstheme="majorBidi"/>
          <w:lang w:eastAsia="en-GB"/>
        </w:rPr>
        <w:t>4.1</w:t>
      </w:r>
      <w:r w:rsidR="000E0066" w:rsidRPr="000A1EDD">
        <w:rPr>
          <w:rFonts w:asciiTheme="majorBidi" w:hAnsiTheme="majorBidi" w:cstheme="majorBidi"/>
          <w:lang w:eastAsia="en-GB"/>
        </w:rPr>
        <w:t>4</w:t>
      </w:r>
      <w:r w:rsidRPr="000A1EDD">
        <w:rPr>
          <w:rFonts w:asciiTheme="majorBidi" w:hAnsiTheme="majorBidi" w:cstheme="majorBidi"/>
          <w:lang w:eastAsia="en-GB"/>
        </w:rPr>
        <w:t xml:space="preserve"> </w:t>
      </w:r>
      <w:r w:rsidR="005D4C10" w:rsidRPr="000A1EDD">
        <w:rPr>
          <w:rFonts w:asciiTheme="majorBidi" w:hAnsiTheme="majorBidi" w:cstheme="majorBidi"/>
          <w:lang w:eastAsia="en-GB"/>
        </w:rPr>
        <w:tab/>
      </w:r>
      <w:r w:rsidR="00453736" w:rsidRPr="000A1EDD">
        <w:rPr>
          <w:rFonts w:asciiTheme="majorBidi" w:hAnsiTheme="majorBidi" w:cstheme="majorBidi"/>
          <w:lang w:eastAsia="en-GB"/>
        </w:rPr>
        <w:t>D</w:t>
      </w:r>
      <w:r w:rsidR="00A8067B" w:rsidRPr="000A1EDD">
        <w:rPr>
          <w:rFonts w:asciiTheme="majorBidi" w:hAnsiTheme="majorBidi" w:cstheme="majorBidi"/>
          <w:lang w:eastAsia="en-GB"/>
        </w:rPr>
        <w:t>uring his asylum proceedings</w:t>
      </w:r>
      <w:r w:rsidRPr="000A1EDD">
        <w:rPr>
          <w:rFonts w:asciiTheme="majorBidi" w:hAnsiTheme="majorBidi" w:cstheme="majorBidi"/>
          <w:lang w:eastAsia="en-GB"/>
        </w:rPr>
        <w:t>, the complainant submitted a new passport</w:t>
      </w:r>
      <w:r w:rsidR="00224890" w:rsidRPr="000A1EDD">
        <w:rPr>
          <w:rFonts w:asciiTheme="majorBidi" w:hAnsiTheme="majorBidi" w:cstheme="majorBidi"/>
          <w:lang w:eastAsia="en-GB"/>
        </w:rPr>
        <w:t>,</w:t>
      </w:r>
      <w:r w:rsidRPr="000A1EDD">
        <w:rPr>
          <w:rFonts w:asciiTheme="majorBidi" w:hAnsiTheme="majorBidi" w:cstheme="majorBidi"/>
          <w:lang w:eastAsia="en-GB"/>
        </w:rPr>
        <w:t xml:space="preserve"> issued on 11 September 2013 by the Embassy of Bangladesh in Stockholm. It is clear from the investigation in the case that the new passport was issued on the basis of the old passport. In th</w:t>
      </w:r>
      <w:r w:rsidR="00224890" w:rsidRPr="000A1EDD">
        <w:rPr>
          <w:rFonts w:asciiTheme="majorBidi" w:hAnsiTheme="majorBidi" w:cstheme="majorBidi"/>
          <w:lang w:eastAsia="en-GB"/>
        </w:rPr>
        <w:t>at</w:t>
      </w:r>
      <w:r w:rsidRPr="000A1EDD">
        <w:rPr>
          <w:rFonts w:asciiTheme="majorBidi" w:hAnsiTheme="majorBidi" w:cstheme="majorBidi"/>
          <w:lang w:eastAsia="en-GB"/>
        </w:rPr>
        <w:t xml:space="preserve"> regard, the State party, </w:t>
      </w:r>
      <w:r w:rsidR="00224890" w:rsidRPr="000A1EDD">
        <w:rPr>
          <w:rFonts w:asciiTheme="majorBidi" w:hAnsiTheme="majorBidi" w:cstheme="majorBidi"/>
          <w:lang w:eastAsia="en-GB"/>
        </w:rPr>
        <w:t>as along with</w:t>
      </w:r>
      <w:r w:rsidRPr="000A1EDD">
        <w:rPr>
          <w:rFonts w:asciiTheme="majorBidi" w:hAnsiTheme="majorBidi" w:cstheme="majorBidi"/>
          <w:lang w:eastAsia="en-GB"/>
        </w:rPr>
        <w:t xml:space="preserve"> the Migration Court, notes that the new passport could not plausibly </w:t>
      </w:r>
      <w:r w:rsidR="000515F9" w:rsidRPr="000A1EDD">
        <w:rPr>
          <w:rFonts w:asciiTheme="majorBidi" w:hAnsiTheme="majorBidi" w:cstheme="majorBidi"/>
          <w:lang w:eastAsia="en-GB"/>
        </w:rPr>
        <w:t>“</w:t>
      </w:r>
      <w:r w:rsidRPr="000A1EDD">
        <w:rPr>
          <w:rFonts w:asciiTheme="majorBidi" w:hAnsiTheme="majorBidi" w:cstheme="majorBidi"/>
          <w:lang w:eastAsia="en-GB"/>
        </w:rPr>
        <w:t>demonstrate the complainant’s identity</w:t>
      </w:r>
      <w:r w:rsidR="000515F9" w:rsidRPr="000A1EDD">
        <w:rPr>
          <w:rFonts w:asciiTheme="majorBidi" w:hAnsiTheme="majorBidi" w:cstheme="majorBidi"/>
          <w:lang w:eastAsia="en-GB"/>
        </w:rPr>
        <w:t>”</w:t>
      </w:r>
      <w:r w:rsidRPr="000A1EDD">
        <w:rPr>
          <w:rFonts w:asciiTheme="majorBidi" w:hAnsiTheme="majorBidi" w:cstheme="majorBidi"/>
          <w:lang w:eastAsia="en-GB"/>
        </w:rPr>
        <w:t xml:space="preserve"> either, as the previous passport had not plausibly demonstrated his identity. This was </w:t>
      </w:r>
      <w:r w:rsidR="00224890" w:rsidRPr="000A1EDD">
        <w:rPr>
          <w:rFonts w:asciiTheme="majorBidi" w:hAnsiTheme="majorBidi" w:cstheme="majorBidi"/>
          <w:lang w:eastAsia="en-GB"/>
        </w:rPr>
        <w:t>owing</w:t>
      </w:r>
      <w:r w:rsidRPr="000A1EDD">
        <w:rPr>
          <w:rFonts w:asciiTheme="majorBidi" w:hAnsiTheme="majorBidi" w:cstheme="majorBidi"/>
          <w:lang w:eastAsia="en-GB"/>
        </w:rPr>
        <w:t xml:space="preserve"> to doubts about the documents on the basis of which the passport was issued </w:t>
      </w:r>
      <w:r w:rsidR="00224890" w:rsidRPr="000A1EDD">
        <w:rPr>
          <w:rFonts w:asciiTheme="majorBidi" w:hAnsiTheme="majorBidi" w:cstheme="majorBidi"/>
          <w:lang w:eastAsia="en-GB"/>
        </w:rPr>
        <w:t>and</w:t>
      </w:r>
      <w:r w:rsidRPr="000A1EDD">
        <w:rPr>
          <w:rFonts w:asciiTheme="majorBidi" w:hAnsiTheme="majorBidi" w:cstheme="majorBidi"/>
          <w:lang w:eastAsia="en-GB"/>
        </w:rPr>
        <w:t xml:space="preserve"> the appearance and authenticity of the passport. Nor had the complainant been able to plausibly </w:t>
      </w:r>
      <w:r w:rsidR="000515F9" w:rsidRPr="000A1EDD">
        <w:rPr>
          <w:rFonts w:asciiTheme="majorBidi" w:hAnsiTheme="majorBidi" w:cstheme="majorBidi"/>
          <w:lang w:eastAsia="en-GB"/>
        </w:rPr>
        <w:t>“</w:t>
      </w:r>
      <w:r w:rsidRPr="000A1EDD">
        <w:rPr>
          <w:rFonts w:asciiTheme="majorBidi" w:hAnsiTheme="majorBidi" w:cstheme="majorBidi"/>
          <w:lang w:eastAsia="en-GB"/>
        </w:rPr>
        <w:t>demonstrate his identity</w:t>
      </w:r>
      <w:r w:rsidR="000515F9" w:rsidRPr="000A1EDD">
        <w:rPr>
          <w:rFonts w:asciiTheme="majorBidi" w:hAnsiTheme="majorBidi" w:cstheme="majorBidi"/>
          <w:lang w:eastAsia="en-GB"/>
        </w:rPr>
        <w:t>”</w:t>
      </w:r>
      <w:r w:rsidRPr="000A1EDD">
        <w:rPr>
          <w:rFonts w:asciiTheme="majorBidi" w:hAnsiTheme="majorBidi" w:cstheme="majorBidi"/>
          <w:lang w:eastAsia="en-GB"/>
        </w:rPr>
        <w:t xml:space="preserve"> on the basis of other documents submitted</w:t>
      </w:r>
      <w:r w:rsidR="000515F9" w:rsidRPr="000A1EDD">
        <w:rPr>
          <w:rFonts w:asciiTheme="majorBidi" w:hAnsiTheme="majorBidi" w:cstheme="majorBidi"/>
          <w:lang w:eastAsia="en-GB"/>
        </w:rPr>
        <w:t xml:space="preserve"> by him</w:t>
      </w:r>
      <w:r w:rsidRPr="000A1EDD">
        <w:rPr>
          <w:rFonts w:asciiTheme="majorBidi" w:hAnsiTheme="majorBidi" w:cstheme="majorBidi"/>
          <w:lang w:eastAsia="en-GB"/>
        </w:rPr>
        <w:t xml:space="preserve">. In addition, the State party notes that that the complainant has on several occasions contacted the authorities in his country of origin and had matters dealt with, in particular, concerning </w:t>
      </w:r>
      <w:r w:rsidR="00224890" w:rsidRPr="000A1EDD">
        <w:rPr>
          <w:rFonts w:asciiTheme="majorBidi" w:hAnsiTheme="majorBidi" w:cstheme="majorBidi"/>
          <w:lang w:eastAsia="en-GB"/>
        </w:rPr>
        <w:t>t</w:t>
      </w:r>
      <w:r w:rsidRPr="000A1EDD">
        <w:rPr>
          <w:rFonts w:asciiTheme="majorBidi" w:hAnsiTheme="majorBidi" w:cstheme="majorBidi"/>
          <w:lang w:eastAsia="en-GB"/>
        </w:rPr>
        <w:t xml:space="preserve">he issuance of </w:t>
      </w:r>
      <w:r w:rsidR="00453736" w:rsidRPr="000A1EDD">
        <w:rPr>
          <w:rFonts w:asciiTheme="majorBidi" w:hAnsiTheme="majorBidi" w:cstheme="majorBidi"/>
          <w:lang w:eastAsia="en-GB"/>
        </w:rPr>
        <w:t>the</w:t>
      </w:r>
      <w:r w:rsidRPr="000A1EDD">
        <w:rPr>
          <w:rFonts w:asciiTheme="majorBidi" w:hAnsiTheme="majorBidi" w:cstheme="majorBidi"/>
          <w:lang w:eastAsia="en-GB"/>
        </w:rPr>
        <w:t xml:space="preserve"> passport. </w:t>
      </w:r>
      <w:r w:rsidR="00453736" w:rsidRPr="000A1EDD">
        <w:rPr>
          <w:rFonts w:asciiTheme="majorBidi" w:hAnsiTheme="majorBidi" w:cstheme="majorBidi"/>
          <w:lang w:eastAsia="en-GB"/>
        </w:rPr>
        <w:t>T</w:t>
      </w:r>
      <w:r w:rsidRPr="000A1EDD">
        <w:rPr>
          <w:rFonts w:asciiTheme="majorBidi" w:hAnsiTheme="majorBidi" w:cstheme="majorBidi"/>
          <w:lang w:eastAsia="en-GB"/>
        </w:rPr>
        <w:t>h</w:t>
      </w:r>
      <w:r w:rsidR="00224890" w:rsidRPr="000A1EDD">
        <w:rPr>
          <w:rFonts w:asciiTheme="majorBidi" w:hAnsiTheme="majorBidi" w:cstheme="majorBidi"/>
          <w:lang w:eastAsia="en-GB"/>
        </w:rPr>
        <w:t>ose</w:t>
      </w:r>
      <w:r w:rsidRPr="000A1EDD">
        <w:rPr>
          <w:rFonts w:asciiTheme="majorBidi" w:hAnsiTheme="majorBidi" w:cstheme="majorBidi"/>
          <w:lang w:eastAsia="en-GB"/>
        </w:rPr>
        <w:t xml:space="preserve"> circumstances indicate that the complainant does not feel a well-founded fear of being subjected to treatment by the authorities</w:t>
      </w:r>
      <w:r w:rsidR="00224890" w:rsidRPr="000A1EDD">
        <w:rPr>
          <w:rFonts w:asciiTheme="majorBidi" w:hAnsiTheme="majorBidi" w:cstheme="majorBidi"/>
          <w:lang w:eastAsia="en-GB"/>
        </w:rPr>
        <w:t>,</w:t>
      </w:r>
      <w:r w:rsidRPr="000A1EDD">
        <w:rPr>
          <w:rFonts w:asciiTheme="majorBidi" w:hAnsiTheme="majorBidi" w:cstheme="majorBidi"/>
          <w:lang w:eastAsia="en-GB"/>
        </w:rPr>
        <w:t xml:space="preserve"> constituting grounds for protection</w:t>
      </w:r>
      <w:r w:rsidR="00224890" w:rsidRPr="000A1EDD">
        <w:rPr>
          <w:rFonts w:asciiTheme="majorBidi" w:hAnsiTheme="majorBidi" w:cstheme="majorBidi"/>
          <w:lang w:eastAsia="en-GB"/>
        </w:rPr>
        <w:t>,</w:t>
      </w:r>
      <w:r w:rsidRPr="000A1EDD">
        <w:rPr>
          <w:rFonts w:asciiTheme="majorBidi" w:hAnsiTheme="majorBidi" w:cstheme="majorBidi"/>
          <w:lang w:eastAsia="en-GB"/>
        </w:rPr>
        <w:t xml:space="preserve"> and also that he would not be of interest to the authorities. </w:t>
      </w:r>
    </w:p>
    <w:p w:rsidR="00A8067B" w:rsidRPr="000A1EDD" w:rsidRDefault="000515F9" w:rsidP="005D4C10">
      <w:pPr>
        <w:pStyle w:val="SingleTxtG"/>
        <w:rPr>
          <w:rFonts w:asciiTheme="majorBidi" w:hAnsiTheme="majorBidi" w:cstheme="majorBidi"/>
          <w:lang w:eastAsia="en-GB"/>
        </w:rPr>
      </w:pPr>
      <w:r w:rsidRPr="000A1EDD">
        <w:rPr>
          <w:rFonts w:asciiTheme="majorBidi" w:hAnsiTheme="majorBidi" w:cstheme="majorBidi"/>
          <w:lang w:eastAsia="en-GB"/>
        </w:rPr>
        <w:t>4.1</w:t>
      </w:r>
      <w:r w:rsidR="00895183" w:rsidRPr="000A1EDD">
        <w:rPr>
          <w:rFonts w:asciiTheme="majorBidi" w:hAnsiTheme="majorBidi" w:cstheme="majorBidi"/>
          <w:lang w:eastAsia="en-GB"/>
        </w:rPr>
        <w:t>5</w:t>
      </w:r>
      <w:r w:rsidR="00A8067B" w:rsidRPr="000A1EDD">
        <w:rPr>
          <w:rFonts w:asciiTheme="majorBidi" w:hAnsiTheme="majorBidi" w:cstheme="majorBidi"/>
          <w:lang w:eastAsia="en-GB"/>
        </w:rPr>
        <w:t xml:space="preserve"> </w:t>
      </w:r>
      <w:r w:rsidR="005D4C10" w:rsidRPr="000A1EDD">
        <w:rPr>
          <w:rFonts w:asciiTheme="majorBidi" w:hAnsiTheme="majorBidi" w:cstheme="majorBidi"/>
          <w:lang w:eastAsia="en-GB"/>
        </w:rPr>
        <w:tab/>
      </w:r>
      <w:r w:rsidR="00453736" w:rsidRPr="000A1EDD">
        <w:rPr>
          <w:rFonts w:asciiTheme="majorBidi" w:hAnsiTheme="majorBidi" w:cstheme="majorBidi"/>
          <w:lang w:eastAsia="en-GB"/>
        </w:rPr>
        <w:t>A</w:t>
      </w:r>
      <w:r w:rsidR="00A8067B" w:rsidRPr="000A1EDD">
        <w:rPr>
          <w:rFonts w:asciiTheme="majorBidi" w:hAnsiTheme="majorBidi" w:cstheme="majorBidi"/>
          <w:lang w:eastAsia="en-GB"/>
        </w:rPr>
        <w:t>ccording to the complainant’s own account, he has, since he was young, been politically and religiously active in the Islamic party Jamaat-e-Islami and its student organi</w:t>
      </w:r>
      <w:r w:rsidR="00224890" w:rsidRPr="000A1EDD">
        <w:rPr>
          <w:rFonts w:asciiTheme="majorBidi" w:hAnsiTheme="majorBidi" w:cstheme="majorBidi"/>
          <w:lang w:eastAsia="en-GB"/>
        </w:rPr>
        <w:t>z</w:t>
      </w:r>
      <w:r w:rsidR="00A8067B" w:rsidRPr="000A1EDD">
        <w:rPr>
          <w:rFonts w:asciiTheme="majorBidi" w:hAnsiTheme="majorBidi" w:cstheme="majorBidi"/>
          <w:lang w:eastAsia="en-GB"/>
        </w:rPr>
        <w:t>ation Islami Chatra Shibir. During the domestic asylum proceedings, he submitted a membership document of Jamaat-e-Islami in order to substantiate his need for protection. Furthermore, he held that he was kidnapped in March 2005 from outside his shop by unknown masked people who took him to an isolated area</w:t>
      </w:r>
      <w:r w:rsidR="00224890" w:rsidRPr="000A1EDD">
        <w:rPr>
          <w:rFonts w:asciiTheme="majorBidi" w:hAnsiTheme="majorBidi" w:cstheme="majorBidi"/>
          <w:lang w:eastAsia="en-GB"/>
        </w:rPr>
        <w:t>,</w:t>
      </w:r>
      <w:r w:rsidR="00A8067B" w:rsidRPr="000A1EDD">
        <w:rPr>
          <w:rFonts w:asciiTheme="majorBidi" w:hAnsiTheme="majorBidi" w:cstheme="majorBidi"/>
          <w:lang w:eastAsia="en-GB"/>
        </w:rPr>
        <w:t xml:space="preserve"> where he was subjected to </w:t>
      </w:r>
      <w:r w:rsidR="00A8067B" w:rsidRPr="000A1EDD">
        <w:rPr>
          <w:rFonts w:asciiTheme="majorBidi" w:hAnsiTheme="majorBidi" w:cstheme="majorBidi"/>
          <w:lang w:eastAsia="en-GB"/>
        </w:rPr>
        <w:lastRenderedPageBreak/>
        <w:t xml:space="preserve">serious violence. In support of his claim, he submitted to the Migration Agency a medical certificate from his country of origin and to the Migration Court an </w:t>
      </w:r>
      <w:r w:rsidR="00DA566E" w:rsidRPr="000A1EDD">
        <w:rPr>
          <w:rFonts w:asciiTheme="majorBidi" w:hAnsiTheme="majorBidi" w:cstheme="majorBidi"/>
          <w:lang w:eastAsia="en-GB"/>
        </w:rPr>
        <w:t>“invalidity”</w:t>
      </w:r>
      <w:r w:rsidR="00A8067B" w:rsidRPr="000A1EDD">
        <w:rPr>
          <w:rFonts w:asciiTheme="majorBidi" w:hAnsiTheme="majorBidi" w:cstheme="majorBidi"/>
          <w:lang w:eastAsia="en-GB"/>
        </w:rPr>
        <w:t xml:space="preserve"> certificate issued in Sweden. The complainant also submitted copies of court documents from </w:t>
      </w:r>
      <w:r w:rsidR="00453736" w:rsidRPr="000A1EDD">
        <w:rPr>
          <w:rFonts w:asciiTheme="majorBidi" w:hAnsiTheme="majorBidi" w:cstheme="majorBidi"/>
          <w:lang w:eastAsia="en-GB"/>
        </w:rPr>
        <w:t>Bangladesh</w:t>
      </w:r>
      <w:r w:rsidR="00A8067B" w:rsidRPr="000A1EDD">
        <w:rPr>
          <w:rFonts w:asciiTheme="majorBidi" w:hAnsiTheme="majorBidi" w:cstheme="majorBidi"/>
          <w:lang w:eastAsia="en-GB"/>
        </w:rPr>
        <w:t xml:space="preserve"> concerning his family’s police report of the assault to which he was subjected. In addition, he submitted a business certificate, business cards, eight photographs of his family’s home in Bangladesh and an appeal to the Greek authorities written by his parents. </w:t>
      </w:r>
    </w:p>
    <w:p w:rsidR="00D365A8" w:rsidRPr="000A1EDD" w:rsidRDefault="00A8067B" w:rsidP="005D4C10">
      <w:pPr>
        <w:pStyle w:val="SingleTxtG"/>
        <w:rPr>
          <w:rFonts w:asciiTheme="majorBidi" w:hAnsiTheme="majorBidi" w:cstheme="majorBidi"/>
          <w:lang w:eastAsia="en-GB"/>
        </w:rPr>
      </w:pPr>
      <w:r w:rsidRPr="000A1EDD">
        <w:rPr>
          <w:rFonts w:asciiTheme="majorBidi" w:hAnsiTheme="majorBidi" w:cstheme="majorBidi"/>
          <w:lang w:eastAsia="en-GB"/>
        </w:rPr>
        <w:t>4.1</w:t>
      </w:r>
      <w:r w:rsidR="000E0066" w:rsidRPr="000A1EDD">
        <w:rPr>
          <w:rFonts w:asciiTheme="majorBidi" w:hAnsiTheme="majorBidi" w:cstheme="majorBidi"/>
          <w:lang w:eastAsia="en-GB"/>
        </w:rPr>
        <w:t>6</w:t>
      </w:r>
      <w:r w:rsidRPr="000A1EDD">
        <w:rPr>
          <w:rFonts w:asciiTheme="majorBidi" w:hAnsiTheme="majorBidi" w:cstheme="majorBidi"/>
          <w:lang w:eastAsia="en-GB"/>
        </w:rPr>
        <w:t xml:space="preserve"> </w:t>
      </w:r>
      <w:r w:rsidR="005D4C10" w:rsidRPr="000A1EDD">
        <w:rPr>
          <w:rFonts w:asciiTheme="majorBidi" w:hAnsiTheme="majorBidi" w:cstheme="majorBidi"/>
          <w:lang w:eastAsia="en-GB"/>
        </w:rPr>
        <w:tab/>
      </w:r>
      <w:r w:rsidR="00D365A8" w:rsidRPr="000A1EDD">
        <w:rPr>
          <w:rFonts w:asciiTheme="majorBidi" w:hAnsiTheme="majorBidi" w:cstheme="majorBidi"/>
          <w:lang w:eastAsia="en-GB"/>
        </w:rPr>
        <w:t>In th</w:t>
      </w:r>
      <w:r w:rsidR="00224890" w:rsidRPr="000A1EDD">
        <w:rPr>
          <w:rFonts w:asciiTheme="majorBidi" w:hAnsiTheme="majorBidi" w:cstheme="majorBidi"/>
          <w:lang w:eastAsia="en-GB"/>
        </w:rPr>
        <w:t>at</w:t>
      </w:r>
      <w:r w:rsidR="00D365A8" w:rsidRPr="000A1EDD">
        <w:rPr>
          <w:rFonts w:asciiTheme="majorBidi" w:hAnsiTheme="majorBidi" w:cstheme="majorBidi"/>
          <w:lang w:eastAsia="en-GB"/>
        </w:rPr>
        <w:t xml:space="preserve"> connection, the State party notes that, like the Migration Agency, it considers that </w:t>
      </w:r>
      <w:r w:rsidRPr="000A1EDD">
        <w:rPr>
          <w:rFonts w:asciiTheme="majorBidi" w:hAnsiTheme="majorBidi" w:cstheme="majorBidi"/>
          <w:lang w:eastAsia="en-GB"/>
        </w:rPr>
        <w:t xml:space="preserve">the photographs </w:t>
      </w:r>
      <w:r w:rsidR="00224890" w:rsidRPr="000A1EDD">
        <w:rPr>
          <w:rFonts w:asciiTheme="majorBidi" w:hAnsiTheme="majorBidi" w:cstheme="majorBidi"/>
          <w:lang w:eastAsia="en-GB"/>
        </w:rPr>
        <w:t xml:space="preserve">submitted </w:t>
      </w:r>
      <w:r w:rsidRPr="000A1EDD">
        <w:rPr>
          <w:rFonts w:asciiTheme="majorBidi" w:hAnsiTheme="majorBidi" w:cstheme="majorBidi"/>
          <w:lang w:eastAsia="en-GB"/>
        </w:rPr>
        <w:t>of the comp</w:t>
      </w:r>
      <w:r w:rsidR="00D365A8" w:rsidRPr="000A1EDD">
        <w:rPr>
          <w:rFonts w:asciiTheme="majorBidi" w:hAnsiTheme="majorBidi" w:cstheme="majorBidi"/>
          <w:lang w:eastAsia="en-GB"/>
        </w:rPr>
        <w:t>lainant’s family</w:t>
      </w:r>
      <w:r w:rsidR="00813903" w:rsidRPr="000A1EDD">
        <w:rPr>
          <w:rFonts w:asciiTheme="majorBidi" w:hAnsiTheme="majorBidi" w:cstheme="majorBidi"/>
          <w:lang w:eastAsia="en-GB"/>
        </w:rPr>
        <w:t xml:space="preserve"> </w:t>
      </w:r>
      <w:r w:rsidR="00224890" w:rsidRPr="000A1EDD">
        <w:rPr>
          <w:rFonts w:asciiTheme="majorBidi" w:hAnsiTheme="majorBidi" w:cstheme="majorBidi"/>
          <w:lang w:eastAsia="en-GB"/>
        </w:rPr>
        <w:t>are</w:t>
      </w:r>
      <w:r w:rsidR="00813903" w:rsidRPr="000A1EDD">
        <w:rPr>
          <w:rFonts w:asciiTheme="majorBidi" w:hAnsiTheme="majorBidi" w:cstheme="majorBidi"/>
          <w:lang w:eastAsia="en-GB"/>
        </w:rPr>
        <w:t xml:space="preserve"> irrelevant</w:t>
      </w:r>
      <w:r w:rsidRPr="000A1EDD">
        <w:rPr>
          <w:rFonts w:asciiTheme="majorBidi" w:hAnsiTheme="majorBidi" w:cstheme="majorBidi"/>
          <w:lang w:eastAsia="en-GB"/>
        </w:rPr>
        <w:t xml:space="preserve">. </w:t>
      </w:r>
      <w:r w:rsidR="00D365A8" w:rsidRPr="000A1EDD">
        <w:rPr>
          <w:rFonts w:asciiTheme="majorBidi" w:hAnsiTheme="majorBidi" w:cstheme="majorBidi"/>
          <w:lang w:eastAsia="en-GB"/>
        </w:rPr>
        <w:t>It also notes that in its decision, the Migration Agency considered</w:t>
      </w:r>
      <w:r w:rsidRPr="000A1EDD">
        <w:rPr>
          <w:rFonts w:asciiTheme="majorBidi" w:hAnsiTheme="majorBidi" w:cstheme="majorBidi"/>
          <w:lang w:eastAsia="en-GB"/>
        </w:rPr>
        <w:t xml:space="preserve"> that the document signed by the complainant’s parents c</w:t>
      </w:r>
      <w:r w:rsidR="00224890" w:rsidRPr="000A1EDD">
        <w:rPr>
          <w:rFonts w:asciiTheme="majorBidi" w:hAnsiTheme="majorBidi" w:cstheme="majorBidi"/>
          <w:lang w:eastAsia="en-GB"/>
        </w:rPr>
        <w:t>ould not</w:t>
      </w:r>
      <w:r w:rsidRPr="000A1EDD">
        <w:rPr>
          <w:rFonts w:asciiTheme="majorBidi" w:hAnsiTheme="majorBidi" w:cstheme="majorBidi"/>
          <w:lang w:eastAsia="en-GB"/>
        </w:rPr>
        <w:t xml:space="preserve"> be accorded any great importance as it consist</w:t>
      </w:r>
      <w:r w:rsidR="00224890" w:rsidRPr="000A1EDD">
        <w:rPr>
          <w:rFonts w:asciiTheme="majorBidi" w:hAnsiTheme="majorBidi" w:cstheme="majorBidi"/>
          <w:lang w:eastAsia="en-GB"/>
        </w:rPr>
        <w:t>ed</w:t>
      </w:r>
      <w:r w:rsidRPr="000A1EDD">
        <w:rPr>
          <w:rFonts w:asciiTheme="majorBidi" w:hAnsiTheme="majorBidi" w:cstheme="majorBidi"/>
          <w:lang w:eastAsia="en-GB"/>
        </w:rPr>
        <w:t xml:space="preserve"> only of an appeal to the Greek authorities concerning the complainant. In addition, the Migration Agency noted that the membership document was of a </w:t>
      </w:r>
      <w:r w:rsidR="00D365A8" w:rsidRPr="000A1EDD">
        <w:rPr>
          <w:rFonts w:asciiTheme="majorBidi" w:hAnsiTheme="majorBidi" w:cstheme="majorBidi"/>
          <w:lang w:eastAsia="en-GB"/>
        </w:rPr>
        <w:t>“</w:t>
      </w:r>
      <w:r w:rsidRPr="000A1EDD">
        <w:rPr>
          <w:rFonts w:asciiTheme="majorBidi" w:hAnsiTheme="majorBidi" w:cstheme="majorBidi"/>
          <w:lang w:eastAsia="en-GB"/>
        </w:rPr>
        <w:t>simple nature</w:t>
      </w:r>
      <w:r w:rsidR="00D365A8" w:rsidRPr="000A1EDD">
        <w:rPr>
          <w:rFonts w:asciiTheme="majorBidi" w:hAnsiTheme="majorBidi" w:cstheme="majorBidi"/>
          <w:lang w:eastAsia="en-GB"/>
        </w:rPr>
        <w:t>”</w:t>
      </w:r>
      <w:r w:rsidRPr="000A1EDD">
        <w:rPr>
          <w:rFonts w:asciiTheme="majorBidi" w:hAnsiTheme="majorBidi" w:cstheme="majorBidi"/>
          <w:lang w:eastAsia="en-GB"/>
        </w:rPr>
        <w:t xml:space="preserve"> and could easily be forged and that its probative value was thus low. </w:t>
      </w:r>
    </w:p>
    <w:p w:rsidR="00CB6671" w:rsidRPr="000A1EDD" w:rsidRDefault="00D365A8" w:rsidP="005D4C10">
      <w:pPr>
        <w:pStyle w:val="SingleTxtG"/>
        <w:rPr>
          <w:rFonts w:asciiTheme="majorBidi" w:hAnsiTheme="majorBidi" w:cstheme="majorBidi"/>
          <w:lang w:eastAsia="en-GB"/>
        </w:rPr>
      </w:pPr>
      <w:r w:rsidRPr="000A1EDD">
        <w:rPr>
          <w:rFonts w:asciiTheme="majorBidi" w:hAnsiTheme="majorBidi" w:cstheme="majorBidi"/>
          <w:lang w:eastAsia="en-GB"/>
        </w:rPr>
        <w:t>4.1</w:t>
      </w:r>
      <w:r w:rsidR="000E0066" w:rsidRPr="000A1EDD">
        <w:rPr>
          <w:rFonts w:asciiTheme="majorBidi" w:hAnsiTheme="majorBidi" w:cstheme="majorBidi"/>
          <w:lang w:eastAsia="en-GB"/>
        </w:rPr>
        <w:t>7</w:t>
      </w:r>
      <w:r w:rsidRPr="000A1EDD">
        <w:rPr>
          <w:rFonts w:asciiTheme="majorBidi" w:hAnsiTheme="majorBidi" w:cstheme="majorBidi"/>
          <w:lang w:eastAsia="en-GB"/>
        </w:rPr>
        <w:t xml:space="preserve"> </w:t>
      </w:r>
      <w:r w:rsidR="005D4C10" w:rsidRPr="000A1EDD">
        <w:rPr>
          <w:rFonts w:asciiTheme="majorBidi" w:hAnsiTheme="majorBidi" w:cstheme="majorBidi"/>
          <w:lang w:eastAsia="en-GB"/>
        </w:rPr>
        <w:tab/>
      </w:r>
      <w:r w:rsidRPr="000A1EDD">
        <w:rPr>
          <w:rFonts w:asciiTheme="majorBidi" w:hAnsiTheme="majorBidi" w:cstheme="majorBidi"/>
          <w:lang w:eastAsia="en-GB"/>
        </w:rPr>
        <w:t xml:space="preserve">As regards the </w:t>
      </w:r>
      <w:r w:rsidR="00813903" w:rsidRPr="000A1EDD">
        <w:rPr>
          <w:rFonts w:asciiTheme="majorBidi" w:hAnsiTheme="majorBidi" w:cstheme="majorBidi"/>
          <w:lang w:eastAsia="en-GB"/>
        </w:rPr>
        <w:t xml:space="preserve">Bangladesh </w:t>
      </w:r>
      <w:r w:rsidRPr="000A1EDD">
        <w:rPr>
          <w:rFonts w:asciiTheme="majorBidi" w:hAnsiTheme="majorBidi" w:cstheme="majorBidi"/>
          <w:lang w:eastAsia="en-GB"/>
        </w:rPr>
        <w:t xml:space="preserve">court documents submitted in support, the Migration Agency has had a local lawyer in Bangladesh verify their authenticity. The response from the Embassy of Sweden in Dhaka, which handled the contact with the local lawyer, showed that all of the court documents should be considered </w:t>
      </w:r>
      <w:r w:rsidR="00224890" w:rsidRPr="000A1EDD">
        <w:rPr>
          <w:rFonts w:asciiTheme="majorBidi" w:hAnsiTheme="majorBidi" w:cstheme="majorBidi"/>
          <w:lang w:eastAsia="en-GB"/>
        </w:rPr>
        <w:t>as</w:t>
      </w:r>
      <w:r w:rsidRPr="000A1EDD">
        <w:rPr>
          <w:rFonts w:asciiTheme="majorBidi" w:hAnsiTheme="majorBidi" w:cstheme="majorBidi"/>
          <w:lang w:eastAsia="en-GB"/>
        </w:rPr>
        <w:t xml:space="preserve"> forge</w:t>
      </w:r>
      <w:r w:rsidR="00813903" w:rsidRPr="000A1EDD">
        <w:rPr>
          <w:rFonts w:asciiTheme="majorBidi" w:hAnsiTheme="majorBidi" w:cstheme="majorBidi"/>
          <w:lang w:eastAsia="en-GB"/>
        </w:rPr>
        <w:t>d</w:t>
      </w:r>
      <w:r w:rsidRPr="000A1EDD">
        <w:rPr>
          <w:rFonts w:asciiTheme="majorBidi" w:hAnsiTheme="majorBidi" w:cstheme="majorBidi"/>
          <w:lang w:eastAsia="en-GB"/>
        </w:rPr>
        <w:t xml:space="preserve">. The documents were, for example, issued by a court that had not been established on the date on which they were issued and the stamps and signatures on the documents were also forged. Moreover, the judge who allegedly signed all of the documents in 2005 </w:t>
      </w:r>
      <w:r w:rsidR="00813903" w:rsidRPr="000A1EDD">
        <w:rPr>
          <w:rFonts w:asciiTheme="majorBidi" w:hAnsiTheme="majorBidi" w:cstheme="majorBidi"/>
          <w:lang w:eastAsia="en-GB"/>
        </w:rPr>
        <w:t xml:space="preserve">only started </w:t>
      </w:r>
      <w:r w:rsidRPr="000A1EDD">
        <w:rPr>
          <w:rFonts w:asciiTheme="majorBidi" w:hAnsiTheme="majorBidi" w:cstheme="majorBidi"/>
          <w:lang w:eastAsia="en-GB"/>
        </w:rPr>
        <w:t xml:space="preserve">working </w:t>
      </w:r>
      <w:r w:rsidR="00813903" w:rsidRPr="000A1EDD">
        <w:rPr>
          <w:rFonts w:asciiTheme="majorBidi" w:hAnsiTheme="majorBidi" w:cstheme="majorBidi"/>
          <w:lang w:eastAsia="en-GB"/>
        </w:rPr>
        <w:t>in th</w:t>
      </w:r>
      <w:r w:rsidR="00224890" w:rsidRPr="000A1EDD">
        <w:rPr>
          <w:rFonts w:asciiTheme="majorBidi" w:hAnsiTheme="majorBidi" w:cstheme="majorBidi"/>
          <w:lang w:eastAsia="en-GB"/>
        </w:rPr>
        <w:t>at</w:t>
      </w:r>
      <w:r w:rsidR="00813903" w:rsidRPr="000A1EDD">
        <w:rPr>
          <w:rFonts w:asciiTheme="majorBidi" w:hAnsiTheme="majorBidi" w:cstheme="majorBidi"/>
          <w:lang w:eastAsia="en-GB"/>
        </w:rPr>
        <w:t xml:space="preserve"> </w:t>
      </w:r>
      <w:r w:rsidRPr="000A1EDD">
        <w:rPr>
          <w:rFonts w:asciiTheme="majorBidi" w:hAnsiTheme="majorBidi" w:cstheme="majorBidi"/>
          <w:lang w:eastAsia="en-GB"/>
        </w:rPr>
        <w:t xml:space="preserve">court </w:t>
      </w:r>
      <w:r w:rsidR="00813903" w:rsidRPr="000A1EDD">
        <w:rPr>
          <w:rFonts w:asciiTheme="majorBidi" w:hAnsiTheme="majorBidi" w:cstheme="majorBidi"/>
          <w:lang w:eastAsia="en-GB"/>
        </w:rPr>
        <w:t>in</w:t>
      </w:r>
      <w:r w:rsidRPr="000A1EDD">
        <w:rPr>
          <w:rFonts w:asciiTheme="majorBidi" w:hAnsiTheme="majorBidi" w:cstheme="majorBidi"/>
          <w:lang w:eastAsia="en-GB"/>
        </w:rPr>
        <w:t xml:space="preserve"> 2008. The registration number on the police report showed that the case was not opened by the authorities until 2011 and not in 2005, when the alleged crime took place. The complainant, who </w:t>
      </w:r>
      <w:r w:rsidR="009F0455" w:rsidRPr="000A1EDD">
        <w:rPr>
          <w:rFonts w:asciiTheme="majorBidi" w:hAnsiTheme="majorBidi" w:cstheme="majorBidi"/>
          <w:lang w:eastAsia="en-GB"/>
        </w:rPr>
        <w:t>was</w:t>
      </w:r>
      <w:r w:rsidRPr="000A1EDD">
        <w:rPr>
          <w:rFonts w:asciiTheme="majorBidi" w:hAnsiTheme="majorBidi" w:cstheme="majorBidi"/>
          <w:lang w:eastAsia="en-GB"/>
        </w:rPr>
        <w:t xml:space="preserve"> given the opportunity to </w:t>
      </w:r>
      <w:r w:rsidR="00177853" w:rsidRPr="000A1EDD">
        <w:rPr>
          <w:rFonts w:asciiTheme="majorBidi" w:hAnsiTheme="majorBidi" w:cstheme="majorBidi"/>
          <w:lang w:eastAsia="en-GB"/>
        </w:rPr>
        <w:t>respond to th</w:t>
      </w:r>
      <w:r w:rsidR="00DB5E4F" w:rsidRPr="000A1EDD">
        <w:rPr>
          <w:rFonts w:asciiTheme="majorBidi" w:hAnsiTheme="majorBidi" w:cstheme="majorBidi"/>
          <w:lang w:eastAsia="en-GB"/>
        </w:rPr>
        <w:t>at</w:t>
      </w:r>
      <w:r w:rsidR="00177853" w:rsidRPr="000A1EDD">
        <w:rPr>
          <w:rFonts w:asciiTheme="majorBidi" w:hAnsiTheme="majorBidi" w:cstheme="majorBidi"/>
          <w:lang w:eastAsia="en-GB"/>
        </w:rPr>
        <w:t xml:space="preserve"> information,</w:t>
      </w:r>
      <w:r w:rsidRPr="000A1EDD">
        <w:rPr>
          <w:rFonts w:asciiTheme="majorBidi" w:hAnsiTheme="majorBidi" w:cstheme="majorBidi"/>
          <w:lang w:eastAsia="en-GB"/>
        </w:rPr>
        <w:t xml:space="preserve"> </w:t>
      </w:r>
      <w:r w:rsidR="004E493B" w:rsidRPr="000A1EDD">
        <w:rPr>
          <w:rFonts w:asciiTheme="majorBidi" w:hAnsiTheme="majorBidi" w:cstheme="majorBidi"/>
          <w:lang w:eastAsia="en-GB"/>
        </w:rPr>
        <w:t>rejected</w:t>
      </w:r>
      <w:r w:rsidRPr="000A1EDD">
        <w:rPr>
          <w:rFonts w:asciiTheme="majorBidi" w:hAnsiTheme="majorBidi" w:cstheme="majorBidi"/>
          <w:lang w:eastAsia="en-GB"/>
        </w:rPr>
        <w:t xml:space="preserve"> the information that the documents </w:t>
      </w:r>
      <w:r w:rsidR="00177853" w:rsidRPr="000A1EDD">
        <w:rPr>
          <w:rFonts w:asciiTheme="majorBidi" w:hAnsiTheme="majorBidi" w:cstheme="majorBidi"/>
          <w:lang w:eastAsia="en-GB"/>
        </w:rPr>
        <w:t>were</w:t>
      </w:r>
      <w:r w:rsidRPr="000A1EDD">
        <w:rPr>
          <w:rFonts w:asciiTheme="majorBidi" w:hAnsiTheme="majorBidi" w:cstheme="majorBidi"/>
          <w:lang w:eastAsia="en-GB"/>
        </w:rPr>
        <w:t xml:space="preserve"> forgeries. </w:t>
      </w:r>
      <w:r w:rsidR="00813903" w:rsidRPr="000A1EDD">
        <w:rPr>
          <w:rFonts w:asciiTheme="majorBidi" w:hAnsiTheme="majorBidi" w:cstheme="majorBidi"/>
          <w:lang w:eastAsia="en-GB"/>
        </w:rPr>
        <w:t xml:space="preserve">As </w:t>
      </w:r>
      <w:r w:rsidRPr="000A1EDD">
        <w:rPr>
          <w:rFonts w:asciiTheme="majorBidi" w:hAnsiTheme="majorBidi" w:cstheme="majorBidi"/>
          <w:lang w:eastAsia="en-GB"/>
        </w:rPr>
        <w:t>the burden of proof is on the complainant</w:t>
      </w:r>
      <w:r w:rsidR="00813903" w:rsidRPr="000A1EDD">
        <w:rPr>
          <w:rFonts w:asciiTheme="majorBidi" w:hAnsiTheme="majorBidi" w:cstheme="majorBidi"/>
          <w:lang w:eastAsia="en-GB"/>
        </w:rPr>
        <w:t xml:space="preserve">, </w:t>
      </w:r>
      <w:r w:rsidRPr="000A1EDD">
        <w:rPr>
          <w:rFonts w:asciiTheme="majorBidi" w:hAnsiTheme="majorBidi" w:cstheme="majorBidi"/>
          <w:lang w:eastAsia="en-GB"/>
        </w:rPr>
        <w:t xml:space="preserve">the State party maintains that he has not submitted anything to support the claim that </w:t>
      </w:r>
      <w:r w:rsidR="00813903" w:rsidRPr="000A1EDD">
        <w:rPr>
          <w:rFonts w:asciiTheme="majorBidi" w:hAnsiTheme="majorBidi" w:cstheme="majorBidi"/>
          <w:lang w:eastAsia="en-GB"/>
        </w:rPr>
        <w:t>a</w:t>
      </w:r>
      <w:r w:rsidRPr="000A1EDD">
        <w:rPr>
          <w:rFonts w:asciiTheme="majorBidi" w:hAnsiTheme="majorBidi" w:cstheme="majorBidi"/>
          <w:lang w:eastAsia="en-GB"/>
        </w:rPr>
        <w:t xml:space="preserve"> court </w:t>
      </w:r>
      <w:r w:rsidR="00813903" w:rsidRPr="000A1EDD">
        <w:rPr>
          <w:rFonts w:asciiTheme="majorBidi" w:hAnsiTheme="majorBidi" w:cstheme="majorBidi"/>
          <w:lang w:eastAsia="en-GB"/>
        </w:rPr>
        <w:t xml:space="preserve">existed </w:t>
      </w:r>
      <w:r w:rsidRPr="000A1EDD">
        <w:rPr>
          <w:rFonts w:asciiTheme="majorBidi" w:hAnsiTheme="majorBidi" w:cstheme="majorBidi"/>
          <w:lang w:eastAsia="en-GB"/>
        </w:rPr>
        <w:t xml:space="preserve">in the location in question in 2005. In addition, the State party notes that the Migration Agency also considered that there was a lack of support for the complainant’s claim that </w:t>
      </w:r>
      <w:r w:rsidR="00FD1DCA" w:rsidRPr="000A1EDD">
        <w:rPr>
          <w:rFonts w:asciiTheme="majorBidi" w:hAnsiTheme="majorBidi" w:cstheme="majorBidi"/>
          <w:lang w:eastAsia="en-GB"/>
        </w:rPr>
        <w:t>“</w:t>
      </w:r>
      <w:r w:rsidRPr="000A1EDD">
        <w:rPr>
          <w:rFonts w:asciiTheme="majorBidi" w:hAnsiTheme="majorBidi" w:cstheme="majorBidi"/>
          <w:lang w:eastAsia="en-GB"/>
        </w:rPr>
        <w:t>the individual official’s information was not reliable</w:t>
      </w:r>
      <w:r w:rsidR="00FD1DCA" w:rsidRPr="000A1EDD">
        <w:rPr>
          <w:rFonts w:asciiTheme="majorBidi" w:hAnsiTheme="majorBidi" w:cstheme="majorBidi"/>
          <w:lang w:eastAsia="en-GB"/>
        </w:rPr>
        <w:t>”</w:t>
      </w:r>
      <w:r w:rsidRPr="000A1EDD">
        <w:rPr>
          <w:rFonts w:asciiTheme="majorBidi" w:hAnsiTheme="majorBidi" w:cstheme="majorBidi"/>
          <w:lang w:eastAsia="en-GB"/>
        </w:rPr>
        <w:t xml:space="preserve">. </w:t>
      </w:r>
    </w:p>
    <w:p w:rsidR="00EB3FAF" w:rsidRPr="000A1EDD" w:rsidRDefault="001401DE" w:rsidP="00AB77C9">
      <w:pPr>
        <w:pStyle w:val="SingleTxtG"/>
        <w:rPr>
          <w:rFonts w:asciiTheme="majorBidi" w:hAnsiTheme="majorBidi" w:cstheme="majorBidi"/>
          <w:lang w:eastAsia="en-GB"/>
        </w:rPr>
      </w:pPr>
      <w:r w:rsidRPr="000A1EDD">
        <w:rPr>
          <w:rFonts w:asciiTheme="majorBidi" w:hAnsiTheme="majorBidi" w:cstheme="majorBidi"/>
          <w:lang w:eastAsia="en-GB"/>
        </w:rPr>
        <w:t>4.1</w:t>
      </w:r>
      <w:r w:rsidR="000E0066" w:rsidRPr="000A1EDD">
        <w:rPr>
          <w:rFonts w:asciiTheme="majorBidi" w:hAnsiTheme="majorBidi" w:cstheme="majorBidi"/>
          <w:lang w:eastAsia="en-GB"/>
        </w:rPr>
        <w:t>8</w:t>
      </w:r>
      <w:r w:rsidR="00CB6671" w:rsidRPr="000A1EDD">
        <w:rPr>
          <w:rFonts w:asciiTheme="majorBidi" w:hAnsiTheme="majorBidi" w:cstheme="majorBidi"/>
          <w:lang w:eastAsia="en-GB"/>
        </w:rPr>
        <w:t xml:space="preserve"> </w:t>
      </w:r>
      <w:r w:rsidR="00AB77C9" w:rsidRPr="000A1EDD">
        <w:rPr>
          <w:rFonts w:asciiTheme="majorBidi" w:hAnsiTheme="majorBidi" w:cstheme="majorBidi"/>
          <w:lang w:eastAsia="en-GB"/>
        </w:rPr>
        <w:tab/>
      </w:r>
      <w:r w:rsidR="00CB6671" w:rsidRPr="000A1EDD">
        <w:rPr>
          <w:rFonts w:asciiTheme="majorBidi" w:hAnsiTheme="majorBidi" w:cstheme="majorBidi"/>
          <w:lang w:eastAsia="en-GB"/>
        </w:rPr>
        <w:t xml:space="preserve">As concerns the medical certificate from Bangladesh, the State party submits that the Migration Agency noted that the document consisted of a standard form that was signed and stamped and in which the medical information was handwritten. In </w:t>
      </w:r>
      <w:r w:rsidR="00EE6527" w:rsidRPr="000A1EDD">
        <w:rPr>
          <w:rFonts w:asciiTheme="majorBidi" w:hAnsiTheme="majorBidi" w:cstheme="majorBidi"/>
          <w:lang w:eastAsia="en-GB"/>
        </w:rPr>
        <w:t xml:space="preserve">the </w:t>
      </w:r>
      <w:r w:rsidR="00CB6671" w:rsidRPr="000A1EDD">
        <w:rPr>
          <w:rFonts w:asciiTheme="majorBidi" w:hAnsiTheme="majorBidi" w:cstheme="majorBidi"/>
          <w:lang w:eastAsia="en-GB"/>
        </w:rPr>
        <w:t xml:space="preserve">light of the “simple nature” of the document and </w:t>
      </w:r>
      <w:r w:rsidR="00354F98" w:rsidRPr="000A1EDD">
        <w:rPr>
          <w:rFonts w:asciiTheme="majorBidi" w:hAnsiTheme="majorBidi" w:cstheme="majorBidi"/>
          <w:lang w:eastAsia="en-GB"/>
        </w:rPr>
        <w:t xml:space="preserve">as </w:t>
      </w:r>
      <w:r w:rsidR="00CB6671" w:rsidRPr="000A1EDD">
        <w:rPr>
          <w:rFonts w:asciiTheme="majorBidi" w:hAnsiTheme="majorBidi" w:cstheme="majorBidi"/>
          <w:lang w:eastAsia="en-GB"/>
        </w:rPr>
        <w:t xml:space="preserve">the Migration Agency had already questioned the written evidence concerning the </w:t>
      </w:r>
      <w:r w:rsidR="00354F98" w:rsidRPr="000A1EDD">
        <w:rPr>
          <w:rFonts w:asciiTheme="majorBidi" w:hAnsiTheme="majorBidi" w:cstheme="majorBidi"/>
          <w:lang w:eastAsia="en-GB"/>
        </w:rPr>
        <w:t>alleged cause of the</w:t>
      </w:r>
      <w:r w:rsidR="00CB6671" w:rsidRPr="000A1EDD">
        <w:rPr>
          <w:rFonts w:asciiTheme="majorBidi" w:hAnsiTheme="majorBidi" w:cstheme="majorBidi"/>
          <w:lang w:eastAsia="en-GB"/>
        </w:rPr>
        <w:t xml:space="preserve"> injuries the complainant sought to prove </w:t>
      </w:r>
      <w:r w:rsidR="00B103B5" w:rsidRPr="000A1EDD">
        <w:rPr>
          <w:rFonts w:asciiTheme="majorBidi" w:hAnsiTheme="majorBidi" w:cstheme="majorBidi"/>
          <w:lang w:eastAsia="en-GB"/>
        </w:rPr>
        <w:t>with</w:t>
      </w:r>
      <w:r w:rsidR="00CB6671" w:rsidRPr="000A1EDD">
        <w:rPr>
          <w:rFonts w:asciiTheme="majorBidi" w:hAnsiTheme="majorBidi" w:cstheme="majorBidi"/>
          <w:lang w:eastAsia="en-GB"/>
        </w:rPr>
        <w:t xml:space="preserve"> this </w:t>
      </w:r>
      <w:r w:rsidR="00354F98" w:rsidRPr="000A1EDD">
        <w:rPr>
          <w:rFonts w:asciiTheme="majorBidi" w:hAnsiTheme="majorBidi" w:cstheme="majorBidi"/>
          <w:lang w:eastAsia="en-GB"/>
        </w:rPr>
        <w:t>document</w:t>
      </w:r>
      <w:r w:rsidR="00CB6671" w:rsidRPr="000A1EDD">
        <w:rPr>
          <w:rFonts w:asciiTheme="majorBidi" w:hAnsiTheme="majorBidi" w:cstheme="majorBidi"/>
          <w:lang w:eastAsia="en-GB"/>
        </w:rPr>
        <w:t xml:space="preserve">, the Agency considered that the medical certificate had a particularly low probative value. The State party adds that the Migration Court also noted that the certificate was of a “simple nature” and </w:t>
      </w:r>
      <w:r w:rsidR="00354F98" w:rsidRPr="000A1EDD">
        <w:rPr>
          <w:rFonts w:asciiTheme="majorBidi" w:hAnsiTheme="majorBidi" w:cstheme="majorBidi"/>
          <w:lang w:eastAsia="en-GB"/>
        </w:rPr>
        <w:t>had a</w:t>
      </w:r>
      <w:r w:rsidR="00CB6671" w:rsidRPr="000A1EDD">
        <w:rPr>
          <w:rFonts w:asciiTheme="majorBidi" w:hAnsiTheme="majorBidi" w:cstheme="majorBidi"/>
          <w:lang w:eastAsia="en-GB"/>
        </w:rPr>
        <w:t xml:space="preserve"> low probative value. </w:t>
      </w:r>
      <w:r w:rsidR="00B103B5" w:rsidRPr="000A1EDD">
        <w:rPr>
          <w:rFonts w:asciiTheme="majorBidi" w:hAnsiTheme="majorBidi" w:cstheme="majorBidi"/>
          <w:lang w:eastAsia="en-GB"/>
        </w:rPr>
        <w:t>Moreover</w:t>
      </w:r>
      <w:r w:rsidR="00CB6671" w:rsidRPr="000A1EDD">
        <w:rPr>
          <w:rFonts w:asciiTheme="majorBidi" w:hAnsiTheme="majorBidi" w:cstheme="majorBidi"/>
          <w:lang w:eastAsia="en-GB"/>
        </w:rPr>
        <w:t>, the Migration Agency noted that the complainant had not submitted any noteworthy medical documentation from the Swedish health</w:t>
      </w:r>
      <w:r w:rsidR="00820249" w:rsidRPr="000A1EDD">
        <w:rPr>
          <w:rFonts w:asciiTheme="majorBidi" w:hAnsiTheme="majorBidi" w:cstheme="majorBidi"/>
          <w:lang w:eastAsia="en-GB"/>
        </w:rPr>
        <w:t>-</w:t>
      </w:r>
      <w:r w:rsidR="00CB6671" w:rsidRPr="000A1EDD">
        <w:rPr>
          <w:rFonts w:asciiTheme="majorBidi" w:hAnsiTheme="majorBidi" w:cstheme="majorBidi"/>
          <w:lang w:eastAsia="en-GB"/>
        </w:rPr>
        <w:t>care system concerning the physical injuries he claims to have suffered, even though he ha</w:t>
      </w:r>
      <w:r w:rsidR="00820249" w:rsidRPr="000A1EDD">
        <w:rPr>
          <w:rFonts w:asciiTheme="majorBidi" w:hAnsiTheme="majorBidi" w:cstheme="majorBidi"/>
          <w:lang w:eastAsia="en-GB"/>
        </w:rPr>
        <w:t>d</w:t>
      </w:r>
      <w:r w:rsidR="00CB6671" w:rsidRPr="000A1EDD">
        <w:rPr>
          <w:rFonts w:asciiTheme="majorBidi" w:hAnsiTheme="majorBidi" w:cstheme="majorBidi"/>
          <w:lang w:eastAsia="en-GB"/>
        </w:rPr>
        <w:t xml:space="preserve"> had adequate time to do so. Although the certificate that the complainant submitted concerning a period of hospitali</w:t>
      </w:r>
      <w:r w:rsidR="00820249" w:rsidRPr="000A1EDD">
        <w:rPr>
          <w:rFonts w:asciiTheme="majorBidi" w:hAnsiTheme="majorBidi" w:cstheme="majorBidi"/>
          <w:lang w:eastAsia="en-GB"/>
        </w:rPr>
        <w:t>z</w:t>
      </w:r>
      <w:r w:rsidR="00CB6671" w:rsidRPr="000A1EDD">
        <w:rPr>
          <w:rFonts w:asciiTheme="majorBidi" w:hAnsiTheme="majorBidi" w:cstheme="majorBidi"/>
          <w:lang w:eastAsia="en-GB"/>
        </w:rPr>
        <w:t>ation dated 6</w:t>
      </w:r>
      <w:r w:rsidR="00C51347">
        <w:rPr>
          <w:rFonts w:asciiTheme="majorBidi" w:hAnsiTheme="majorBidi" w:cstheme="majorBidi"/>
          <w:lang w:eastAsia="en-GB"/>
        </w:rPr>
        <w:t> </w:t>
      </w:r>
      <w:r w:rsidR="00CB6671" w:rsidRPr="000A1EDD">
        <w:rPr>
          <w:rFonts w:asciiTheme="majorBidi" w:hAnsiTheme="majorBidi" w:cstheme="majorBidi"/>
          <w:lang w:eastAsia="en-GB"/>
        </w:rPr>
        <w:t xml:space="preserve">May 2013 states that he received treatment in Sweden, the Migration Agency observed that it contained no information concerning what led to the need for treatment or what </w:t>
      </w:r>
      <w:r w:rsidR="00354F98" w:rsidRPr="000A1EDD">
        <w:rPr>
          <w:rFonts w:asciiTheme="majorBidi" w:hAnsiTheme="majorBidi" w:cstheme="majorBidi"/>
          <w:lang w:eastAsia="en-GB"/>
        </w:rPr>
        <w:t xml:space="preserve">exact </w:t>
      </w:r>
      <w:r w:rsidR="00CB6671" w:rsidRPr="000A1EDD">
        <w:rPr>
          <w:rFonts w:asciiTheme="majorBidi" w:hAnsiTheme="majorBidi" w:cstheme="majorBidi"/>
          <w:lang w:eastAsia="en-GB"/>
        </w:rPr>
        <w:t>treatment he received. The Migration Agency thus considered that the certificate of hospitali</w:t>
      </w:r>
      <w:r w:rsidR="00820249" w:rsidRPr="000A1EDD">
        <w:rPr>
          <w:rFonts w:asciiTheme="majorBidi" w:hAnsiTheme="majorBidi" w:cstheme="majorBidi"/>
          <w:lang w:eastAsia="en-GB"/>
        </w:rPr>
        <w:t>z</w:t>
      </w:r>
      <w:r w:rsidR="00CB6671" w:rsidRPr="000A1EDD">
        <w:rPr>
          <w:rFonts w:asciiTheme="majorBidi" w:hAnsiTheme="majorBidi" w:cstheme="majorBidi"/>
          <w:lang w:eastAsia="en-GB"/>
        </w:rPr>
        <w:t xml:space="preserve">ation </w:t>
      </w:r>
      <w:r w:rsidR="00354F98" w:rsidRPr="000A1EDD">
        <w:rPr>
          <w:rFonts w:asciiTheme="majorBidi" w:hAnsiTheme="majorBidi" w:cstheme="majorBidi"/>
          <w:lang w:eastAsia="en-GB"/>
        </w:rPr>
        <w:t xml:space="preserve">in Sweden </w:t>
      </w:r>
      <w:r w:rsidR="00CB6671" w:rsidRPr="000A1EDD">
        <w:rPr>
          <w:rFonts w:asciiTheme="majorBidi" w:hAnsiTheme="majorBidi" w:cstheme="majorBidi"/>
          <w:lang w:eastAsia="en-GB"/>
        </w:rPr>
        <w:t xml:space="preserve">lacked a connection to his claimed need for protection with respect to his country of origin. In </w:t>
      </w:r>
      <w:r w:rsidR="00EE6527" w:rsidRPr="000A1EDD">
        <w:rPr>
          <w:rFonts w:asciiTheme="majorBidi" w:hAnsiTheme="majorBidi" w:cstheme="majorBidi"/>
          <w:lang w:eastAsia="en-GB"/>
        </w:rPr>
        <w:t xml:space="preserve">the </w:t>
      </w:r>
      <w:r w:rsidR="00CB6671" w:rsidRPr="000A1EDD">
        <w:rPr>
          <w:rFonts w:asciiTheme="majorBidi" w:hAnsiTheme="majorBidi" w:cstheme="majorBidi"/>
          <w:lang w:eastAsia="en-GB"/>
        </w:rPr>
        <w:t>light of th</w:t>
      </w:r>
      <w:r w:rsidR="00820249" w:rsidRPr="000A1EDD">
        <w:rPr>
          <w:rFonts w:asciiTheme="majorBidi" w:hAnsiTheme="majorBidi" w:cstheme="majorBidi"/>
          <w:lang w:eastAsia="en-GB"/>
        </w:rPr>
        <w:t>at,</w:t>
      </w:r>
      <w:r w:rsidR="00CB6671" w:rsidRPr="000A1EDD">
        <w:rPr>
          <w:rFonts w:asciiTheme="majorBidi" w:hAnsiTheme="majorBidi" w:cstheme="majorBidi"/>
          <w:lang w:eastAsia="en-GB"/>
        </w:rPr>
        <w:t xml:space="preserve"> the State party shares the view of the Migration Agency that the written evidence submitted by the complainant cannot prove </w:t>
      </w:r>
      <w:r w:rsidR="00820249" w:rsidRPr="000A1EDD">
        <w:rPr>
          <w:rFonts w:asciiTheme="majorBidi" w:hAnsiTheme="majorBidi" w:cstheme="majorBidi"/>
          <w:lang w:eastAsia="en-GB"/>
        </w:rPr>
        <w:t xml:space="preserve">in itself </w:t>
      </w:r>
      <w:r w:rsidR="00CB6671" w:rsidRPr="000A1EDD">
        <w:rPr>
          <w:rFonts w:asciiTheme="majorBidi" w:hAnsiTheme="majorBidi" w:cstheme="majorBidi"/>
          <w:lang w:eastAsia="en-GB"/>
        </w:rPr>
        <w:t xml:space="preserve">the threat and abuses to which </w:t>
      </w:r>
      <w:r w:rsidR="00B50735" w:rsidRPr="000A1EDD">
        <w:rPr>
          <w:rFonts w:asciiTheme="majorBidi" w:hAnsiTheme="majorBidi" w:cstheme="majorBidi"/>
          <w:lang w:eastAsia="en-GB"/>
        </w:rPr>
        <w:t>he</w:t>
      </w:r>
      <w:r w:rsidR="00CB6671" w:rsidRPr="000A1EDD">
        <w:rPr>
          <w:rFonts w:asciiTheme="majorBidi" w:hAnsiTheme="majorBidi" w:cstheme="majorBidi"/>
          <w:lang w:eastAsia="en-GB"/>
        </w:rPr>
        <w:t xml:space="preserve"> claims to have been subjected. </w:t>
      </w:r>
    </w:p>
    <w:p w:rsidR="00C27861" w:rsidRPr="000A1EDD" w:rsidRDefault="00B103B5" w:rsidP="00AB77C9">
      <w:pPr>
        <w:pStyle w:val="SingleTxtG"/>
        <w:rPr>
          <w:rFonts w:asciiTheme="majorBidi" w:hAnsiTheme="majorBidi" w:cstheme="majorBidi"/>
          <w:lang w:eastAsia="en-GB"/>
        </w:rPr>
      </w:pPr>
      <w:r w:rsidRPr="000A1EDD">
        <w:rPr>
          <w:rFonts w:asciiTheme="majorBidi" w:hAnsiTheme="majorBidi" w:cstheme="majorBidi"/>
          <w:lang w:eastAsia="en-GB"/>
        </w:rPr>
        <w:t>4.1</w:t>
      </w:r>
      <w:r w:rsidR="000E0066" w:rsidRPr="000A1EDD">
        <w:rPr>
          <w:rFonts w:asciiTheme="majorBidi" w:hAnsiTheme="majorBidi" w:cstheme="majorBidi"/>
          <w:lang w:eastAsia="en-GB"/>
        </w:rPr>
        <w:t>9</w:t>
      </w:r>
      <w:r w:rsidR="00EB3FAF" w:rsidRPr="000A1EDD">
        <w:rPr>
          <w:rFonts w:asciiTheme="majorBidi" w:hAnsiTheme="majorBidi" w:cstheme="majorBidi"/>
          <w:lang w:eastAsia="en-GB"/>
        </w:rPr>
        <w:t xml:space="preserve"> </w:t>
      </w:r>
      <w:r w:rsidR="00AB77C9" w:rsidRPr="000A1EDD">
        <w:rPr>
          <w:rFonts w:asciiTheme="majorBidi" w:hAnsiTheme="majorBidi" w:cstheme="majorBidi"/>
          <w:lang w:eastAsia="en-GB"/>
        </w:rPr>
        <w:tab/>
      </w:r>
      <w:r w:rsidR="00EB3FAF" w:rsidRPr="000A1EDD">
        <w:rPr>
          <w:rFonts w:asciiTheme="majorBidi" w:hAnsiTheme="majorBidi" w:cstheme="majorBidi"/>
          <w:lang w:eastAsia="en-GB"/>
        </w:rPr>
        <w:t xml:space="preserve">Furthermore, the State party notes that the complainant </w:t>
      </w:r>
      <w:r w:rsidR="00EE1F67" w:rsidRPr="000A1EDD">
        <w:rPr>
          <w:rFonts w:asciiTheme="majorBidi" w:hAnsiTheme="majorBidi" w:cstheme="majorBidi"/>
          <w:lang w:eastAsia="en-GB"/>
        </w:rPr>
        <w:t>states</w:t>
      </w:r>
      <w:r w:rsidR="00EB3FAF" w:rsidRPr="000A1EDD">
        <w:rPr>
          <w:rFonts w:asciiTheme="majorBidi" w:hAnsiTheme="majorBidi" w:cstheme="majorBidi"/>
          <w:lang w:eastAsia="en-GB"/>
        </w:rPr>
        <w:t xml:space="preserve"> to the Committee that the medical certificate from Bangladesh was of a “simple nature” and that he, regrettably enough, was never informed of the importance of documenting his injuries. </w:t>
      </w:r>
      <w:r w:rsidR="00354F98" w:rsidRPr="000A1EDD">
        <w:rPr>
          <w:rFonts w:asciiTheme="majorBidi" w:hAnsiTheme="majorBidi" w:cstheme="majorBidi"/>
          <w:lang w:eastAsia="en-GB"/>
        </w:rPr>
        <w:t>T</w:t>
      </w:r>
      <w:r w:rsidR="00EB3FAF" w:rsidRPr="000A1EDD">
        <w:rPr>
          <w:rFonts w:asciiTheme="majorBidi" w:hAnsiTheme="majorBidi" w:cstheme="majorBidi"/>
          <w:lang w:eastAsia="en-GB"/>
        </w:rPr>
        <w:t xml:space="preserve">he State party </w:t>
      </w:r>
      <w:r w:rsidR="00EB3FAF" w:rsidRPr="000A1EDD">
        <w:rPr>
          <w:rFonts w:asciiTheme="majorBidi" w:hAnsiTheme="majorBidi" w:cstheme="majorBidi"/>
          <w:lang w:eastAsia="en-GB"/>
        </w:rPr>
        <w:lastRenderedPageBreak/>
        <w:t>emphasi</w:t>
      </w:r>
      <w:r w:rsidR="00820249" w:rsidRPr="000A1EDD">
        <w:rPr>
          <w:rFonts w:asciiTheme="majorBidi" w:hAnsiTheme="majorBidi" w:cstheme="majorBidi"/>
          <w:lang w:eastAsia="en-GB"/>
        </w:rPr>
        <w:t>zes</w:t>
      </w:r>
      <w:r w:rsidR="00EB3FAF" w:rsidRPr="000A1EDD">
        <w:rPr>
          <w:rFonts w:asciiTheme="majorBidi" w:hAnsiTheme="majorBidi" w:cstheme="majorBidi"/>
          <w:lang w:eastAsia="en-GB"/>
        </w:rPr>
        <w:t xml:space="preserve"> that the complainant was questioned about his medical status during the asylum proceedings and was encouraged to submit documents substantiat</w:t>
      </w:r>
      <w:r w:rsidR="00354F98" w:rsidRPr="000A1EDD">
        <w:rPr>
          <w:rFonts w:asciiTheme="majorBidi" w:hAnsiTheme="majorBidi" w:cstheme="majorBidi"/>
          <w:lang w:eastAsia="en-GB"/>
        </w:rPr>
        <w:t>ing</w:t>
      </w:r>
      <w:r w:rsidR="00EB3FAF" w:rsidRPr="000A1EDD">
        <w:rPr>
          <w:rFonts w:asciiTheme="majorBidi" w:hAnsiTheme="majorBidi" w:cstheme="majorBidi"/>
          <w:lang w:eastAsia="en-GB"/>
        </w:rPr>
        <w:t xml:space="preserve"> his claim. </w:t>
      </w:r>
    </w:p>
    <w:p w:rsidR="006D6A09" w:rsidRPr="000A1EDD" w:rsidRDefault="00EE1F67" w:rsidP="00AB77C9">
      <w:pPr>
        <w:pStyle w:val="SingleTxtG"/>
        <w:rPr>
          <w:rFonts w:asciiTheme="majorBidi" w:hAnsiTheme="majorBidi" w:cstheme="majorBidi"/>
          <w:lang w:eastAsia="en-GB"/>
        </w:rPr>
      </w:pPr>
      <w:r w:rsidRPr="000A1EDD">
        <w:rPr>
          <w:rFonts w:asciiTheme="majorBidi" w:hAnsiTheme="majorBidi" w:cstheme="majorBidi"/>
          <w:lang w:eastAsia="en-GB"/>
        </w:rPr>
        <w:t>4.</w:t>
      </w:r>
      <w:r w:rsidR="000E0066" w:rsidRPr="000A1EDD">
        <w:rPr>
          <w:rFonts w:asciiTheme="majorBidi" w:hAnsiTheme="majorBidi" w:cstheme="majorBidi"/>
          <w:lang w:eastAsia="en-GB"/>
        </w:rPr>
        <w:t>20</w:t>
      </w:r>
      <w:r w:rsidR="00DA566E" w:rsidRPr="000A1EDD">
        <w:rPr>
          <w:rFonts w:asciiTheme="majorBidi" w:hAnsiTheme="majorBidi" w:cstheme="majorBidi"/>
          <w:lang w:eastAsia="en-GB"/>
        </w:rPr>
        <w:t xml:space="preserve"> </w:t>
      </w:r>
      <w:r w:rsidR="00AB77C9" w:rsidRPr="000A1EDD">
        <w:rPr>
          <w:rFonts w:asciiTheme="majorBidi" w:hAnsiTheme="majorBidi" w:cstheme="majorBidi"/>
          <w:lang w:eastAsia="en-GB"/>
        </w:rPr>
        <w:tab/>
      </w:r>
      <w:r w:rsidR="00DA566E" w:rsidRPr="000A1EDD">
        <w:rPr>
          <w:rFonts w:asciiTheme="majorBidi" w:hAnsiTheme="majorBidi" w:cstheme="majorBidi"/>
          <w:lang w:eastAsia="en-GB"/>
        </w:rPr>
        <w:t xml:space="preserve">Furthermore, the </w:t>
      </w:r>
      <w:r w:rsidR="00042538" w:rsidRPr="000A1EDD">
        <w:rPr>
          <w:rFonts w:asciiTheme="majorBidi" w:hAnsiTheme="majorBidi" w:cstheme="majorBidi"/>
          <w:lang w:eastAsia="en-GB"/>
        </w:rPr>
        <w:t>State party</w:t>
      </w:r>
      <w:r w:rsidR="00DA566E" w:rsidRPr="000A1EDD">
        <w:rPr>
          <w:rFonts w:asciiTheme="majorBidi" w:hAnsiTheme="majorBidi" w:cstheme="majorBidi"/>
          <w:lang w:eastAsia="en-GB"/>
        </w:rPr>
        <w:t xml:space="preserve"> notes that within the appeals proceedings</w:t>
      </w:r>
      <w:r w:rsidR="00820249" w:rsidRPr="000A1EDD">
        <w:rPr>
          <w:rFonts w:asciiTheme="majorBidi" w:hAnsiTheme="majorBidi" w:cstheme="majorBidi"/>
          <w:lang w:eastAsia="en-GB"/>
        </w:rPr>
        <w:t>,</w:t>
      </w:r>
      <w:r w:rsidR="00DA566E" w:rsidRPr="000A1EDD">
        <w:rPr>
          <w:rFonts w:asciiTheme="majorBidi" w:hAnsiTheme="majorBidi" w:cstheme="majorBidi"/>
          <w:lang w:eastAsia="en-GB"/>
        </w:rPr>
        <w:t xml:space="preserve"> the complainant submitted to the Migration Court an “invalidity” certificate issued on 17</w:t>
      </w:r>
      <w:r w:rsidR="00C51347">
        <w:rPr>
          <w:rFonts w:asciiTheme="majorBidi" w:hAnsiTheme="majorBidi" w:cstheme="majorBidi"/>
          <w:lang w:eastAsia="en-GB"/>
        </w:rPr>
        <w:t> </w:t>
      </w:r>
      <w:r w:rsidR="00DA566E" w:rsidRPr="000A1EDD">
        <w:rPr>
          <w:rFonts w:asciiTheme="majorBidi" w:hAnsiTheme="majorBidi" w:cstheme="majorBidi"/>
          <w:lang w:eastAsia="en-GB"/>
        </w:rPr>
        <w:t>October 2013. In th</w:t>
      </w:r>
      <w:r w:rsidR="00820249" w:rsidRPr="000A1EDD">
        <w:rPr>
          <w:rFonts w:asciiTheme="majorBidi" w:hAnsiTheme="majorBidi" w:cstheme="majorBidi"/>
          <w:lang w:eastAsia="en-GB"/>
        </w:rPr>
        <w:t>at</w:t>
      </w:r>
      <w:r w:rsidR="00DA566E" w:rsidRPr="000A1EDD">
        <w:rPr>
          <w:rFonts w:asciiTheme="majorBidi" w:hAnsiTheme="majorBidi" w:cstheme="majorBidi"/>
          <w:lang w:eastAsia="en-GB"/>
        </w:rPr>
        <w:t xml:space="preserve"> regard, the complainant </w:t>
      </w:r>
      <w:r w:rsidR="006D6A09" w:rsidRPr="000A1EDD">
        <w:rPr>
          <w:rFonts w:asciiTheme="majorBidi" w:hAnsiTheme="majorBidi" w:cstheme="majorBidi"/>
          <w:lang w:eastAsia="en-GB"/>
        </w:rPr>
        <w:t xml:space="preserve">refers to the judgment by the </w:t>
      </w:r>
      <w:r w:rsidR="00820249" w:rsidRPr="000A1EDD">
        <w:rPr>
          <w:rFonts w:asciiTheme="majorBidi" w:hAnsiTheme="majorBidi" w:cstheme="majorBidi"/>
        </w:rPr>
        <w:t>European Court of Human Rights</w:t>
      </w:r>
      <w:r w:rsidR="006D6A09" w:rsidRPr="000A1EDD">
        <w:rPr>
          <w:rFonts w:asciiTheme="majorBidi" w:hAnsiTheme="majorBidi" w:cstheme="majorBidi"/>
          <w:lang w:eastAsia="en-GB"/>
        </w:rPr>
        <w:t xml:space="preserve"> in the case </w:t>
      </w:r>
      <w:r w:rsidR="00820249" w:rsidRPr="000A1EDD">
        <w:rPr>
          <w:rFonts w:asciiTheme="majorBidi" w:hAnsiTheme="majorBidi" w:cstheme="majorBidi"/>
          <w:lang w:eastAsia="en-GB"/>
        </w:rPr>
        <w:t xml:space="preserve">of </w:t>
      </w:r>
      <w:r w:rsidR="006D6A09" w:rsidRPr="000A1EDD">
        <w:rPr>
          <w:rFonts w:asciiTheme="majorBidi" w:hAnsiTheme="majorBidi" w:cstheme="majorBidi"/>
          <w:i/>
          <w:iCs/>
          <w:lang w:eastAsia="en-GB"/>
        </w:rPr>
        <w:t>R.C. v. Sweden</w:t>
      </w:r>
      <w:r w:rsidR="00AB77C9" w:rsidRPr="000A1EDD">
        <w:rPr>
          <w:rStyle w:val="FootnoteReference"/>
          <w:rFonts w:asciiTheme="majorBidi" w:hAnsiTheme="majorBidi" w:cstheme="majorBidi"/>
          <w:iCs/>
          <w:lang w:eastAsia="en-GB"/>
        </w:rPr>
        <w:footnoteReference w:id="16"/>
      </w:r>
      <w:r w:rsidR="006D6A09" w:rsidRPr="000A1EDD">
        <w:rPr>
          <w:rFonts w:asciiTheme="majorBidi" w:hAnsiTheme="majorBidi" w:cstheme="majorBidi"/>
          <w:iCs/>
          <w:lang w:eastAsia="en-GB"/>
        </w:rPr>
        <w:t xml:space="preserve">and maintains </w:t>
      </w:r>
      <w:r w:rsidR="00DA566E" w:rsidRPr="000A1EDD">
        <w:rPr>
          <w:rFonts w:asciiTheme="majorBidi" w:hAnsiTheme="majorBidi" w:cstheme="majorBidi"/>
          <w:lang w:eastAsia="en-GB"/>
        </w:rPr>
        <w:t>that the “invalidity” certificate, together with the medica</w:t>
      </w:r>
      <w:r w:rsidR="006D6A09" w:rsidRPr="000A1EDD">
        <w:rPr>
          <w:rFonts w:asciiTheme="majorBidi" w:hAnsiTheme="majorBidi" w:cstheme="majorBidi"/>
          <w:lang w:eastAsia="en-GB"/>
        </w:rPr>
        <w:t>l certificate from Bangladesh</w:t>
      </w:r>
      <w:r w:rsidR="00DA566E" w:rsidRPr="000A1EDD">
        <w:rPr>
          <w:rFonts w:asciiTheme="majorBidi" w:hAnsiTheme="majorBidi" w:cstheme="majorBidi"/>
          <w:lang w:eastAsia="en-GB"/>
        </w:rPr>
        <w:t xml:space="preserve"> gave a very clear indication that </w:t>
      </w:r>
      <w:r w:rsidR="00354F98" w:rsidRPr="000A1EDD">
        <w:rPr>
          <w:rFonts w:asciiTheme="majorBidi" w:hAnsiTheme="majorBidi" w:cstheme="majorBidi"/>
          <w:lang w:eastAsia="en-GB"/>
        </w:rPr>
        <w:t>his</w:t>
      </w:r>
      <w:r w:rsidR="00DA566E" w:rsidRPr="000A1EDD">
        <w:rPr>
          <w:rFonts w:asciiTheme="majorBidi" w:hAnsiTheme="majorBidi" w:cstheme="majorBidi"/>
          <w:lang w:eastAsia="en-GB"/>
        </w:rPr>
        <w:t xml:space="preserve"> injuries </w:t>
      </w:r>
      <w:r w:rsidR="00354F98" w:rsidRPr="000A1EDD">
        <w:rPr>
          <w:rFonts w:asciiTheme="majorBidi" w:hAnsiTheme="majorBidi" w:cstheme="majorBidi"/>
          <w:lang w:eastAsia="en-GB"/>
        </w:rPr>
        <w:t xml:space="preserve">could </w:t>
      </w:r>
      <w:r w:rsidR="00DA566E" w:rsidRPr="000A1EDD">
        <w:rPr>
          <w:rFonts w:asciiTheme="majorBidi" w:hAnsiTheme="majorBidi" w:cstheme="majorBidi"/>
          <w:lang w:eastAsia="en-GB"/>
        </w:rPr>
        <w:t xml:space="preserve">be the result of torture. Even though the certificate </w:t>
      </w:r>
      <w:r w:rsidR="00C54D05" w:rsidRPr="000A1EDD">
        <w:rPr>
          <w:rFonts w:asciiTheme="majorBidi" w:hAnsiTheme="majorBidi" w:cstheme="majorBidi"/>
          <w:lang w:eastAsia="en-GB"/>
        </w:rPr>
        <w:t xml:space="preserve">he submitted </w:t>
      </w:r>
      <w:r w:rsidR="00DA566E" w:rsidRPr="000A1EDD">
        <w:rPr>
          <w:rFonts w:asciiTheme="majorBidi" w:hAnsiTheme="majorBidi" w:cstheme="majorBidi"/>
          <w:lang w:eastAsia="en-GB"/>
        </w:rPr>
        <w:t xml:space="preserve">supports </w:t>
      </w:r>
      <w:r w:rsidR="00C54D05" w:rsidRPr="000A1EDD">
        <w:rPr>
          <w:rFonts w:asciiTheme="majorBidi" w:hAnsiTheme="majorBidi" w:cstheme="majorBidi"/>
          <w:lang w:eastAsia="en-GB"/>
        </w:rPr>
        <w:t xml:space="preserve">the existence of </w:t>
      </w:r>
      <w:r w:rsidR="00DA566E" w:rsidRPr="000A1EDD">
        <w:rPr>
          <w:rFonts w:asciiTheme="majorBidi" w:hAnsiTheme="majorBidi" w:cstheme="majorBidi"/>
          <w:lang w:eastAsia="en-GB"/>
        </w:rPr>
        <w:t>injuries, in the State party’s view however, there are still uncertainties about how, when and why the injuries were inflicted on the complainant. In th</w:t>
      </w:r>
      <w:r w:rsidR="00C54D05" w:rsidRPr="000A1EDD">
        <w:rPr>
          <w:rFonts w:asciiTheme="majorBidi" w:hAnsiTheme="majorBidi" w:cstheme="majorBidi"/>
          <w:lang w:eastAsia="en-GB"/>
        </w:rPr>
        <w:t>at</w:t>
      </w:r>
      <w:r w:rsidR="00DA566E" w:rsidRPr="000A1EDD">
        <w:rPr>
          <w:rFonts w:asciiTheme="majorBidi" w:hAnsiTheme="majorBidi" w:cstheme="majorBidi"/>
          <w:lang w:eastAsia="en-GB"/>
        </w:rPr>
        <w:t xml:space="preserve"> connection, the State party refers to the judgment of the </w:t>
      </w:r>
      <w:r w:rsidR="00C54D05" w:rsidRPr="000A1EDD">
        <w:rPr>
          <w:rFonts w:asciiTheme="majorBidi" w:hAnsiTheme="majorBidi" w:cstheme="majorBidi"/>
          <w:lang w:eastAsia="en-GB"/>
        </w:rPr>
        <w:t>European Court</w:t>
      </w:r>
      <w:r w:rsidR="00DA566E" w:rsidRPr="000A1EDD">
        <w:rPr>
          <w:rFonts w:asciiTheme="majorBidi" w:hAnsiTheme="majorBidi" w:cstheme="majorBidi"/>
          <w:lang w:eastAsia="en-GB"/>
        </w:rPr>
        <w:t xml:space="preserve"> </w:t>
      </w:r>
      <w:r w:rsidR="00C54D05" w:rsidRPr="000A1EDD">
        <w:rPr>
          <w:rFonts w:asciiTheme="majorBidi" w:hAnsiTheme="majorBidi" w:cstheme="majorBidi"/>
          <w:lang w:eastAsia="en-GB"/>
        </w:rPr>
        <w:t xml:space="preserve">of Human Rights </w:t>
      </w:r>
      <w:r w:rsidR="00DA566E" w:rsidRPr="000A1EDD">
        <w:rPr>
          <w:rFonts w:asciiTheme="majorBidi" w:hAnsiTheme="majorBidi" w:cstheme="majorBidi"/>
          <w:lang w:eastAsia="en-GB"/>
        </w:rPr>
        <w:t xml:space="preserve">in the case of </w:t>
      </w:r>
      <w:r w:rsidR="00DA566E" w:rsidRPr="000A1EDD">
        <w:rPr>
          <w:rFonts w:asciiTheme="majorBidi" w:hAnsiTheme="majorBidi" w:cstheme="majorBidi"/>
          <w:i/>
          <w:iCs/>
          <w:lang w:eastAsia="en-GB"/>
        </w:rPr>
        <w:t>I. v. Sweden</w:t>
      </w:r>
      <w:r w:rsidR="00C54D05" w:rsidRPr="000A1EDD">
        <w:rPr>
          <w:rFonts w:asciiTheme="majorBidi" w:hAnsiTheme="majorBidi" w:cstheme="majorBidi"/>
          <w:i/>
          <w:iCs/>
          <w:lang w:eastAsia="en-GB"/>
        </w:rPr>
        <w:t>,</w:t>
      </w:r>
      <w:r w:rsidR="00AB77C9" w:rsidRPr="000A1EDD">
        <w:rPr>
          <w:rStyle w:val="FootnoteReference"/>
          <w:rFonts w:asciiTheme="majorBidi" w:hAnsiTheme="majorBidi" w:cstheme="majorBidi"/>
          <w:iCs/>
          <w:lang w:eastAsia="en-GB"/>
        </w:rPr>
        <w:footnoteReference w:id="17"/>
      </w:r>
      <w:r w:rsidR="00DA566E" w:rsidRPr="000A1EDD">
        <w:rPr>
          <w:rFonts w:asciiTheme="majorBidi" w:hAnsiTheme="majorBidi" w:cstheme="majorBidi"/>
          <w:lang w:eastAsia="en-GB"/>
        </w:rPr>
        <w:t xml:space="preserve"> </w:t>
      </w:r>
      <w:r w:rsidR="00C54D05" w:rsidRPr="000A1EDD">
        <w:rPr>
          <w:rFonts w:asciiTheme="majorBidi" w:hAnsiTheme="majorBidi" w:cstheme="majorBidi"/>
          <w:lang w:eastAsia="en-GB"/>
        </w:rPr>
        <w:t>in which</w:t>
      </w:r>
      <w:r w:rsidR="00DA566E" w:rsidRPr="000A1EDD">
        <w:rPr>
          <w:rFonts w:asciiTheme="majorBidi" w:hAnsiTheme="majorBidi" w:cstheme="majorBidi"/>
          <w:lang w:eastAsia="en-GB"/>
        </w:rPr>
        <w:t xml:space="preserve"> the </w:t>
      </w:r>
      <w:r w:rsidR="00C54D05" w:rsidRPr="000A1EDD">
        <w:rPr>
          <w:rFonts w:asciiTheme="majorBidi" w:hAnsiTheme="majorBidi" w:cstheme="majorBidi"/>
          <w:lang w:eastAsia="en-GB"/>
        </w:rPr>
        <w:t xml:space="preserve">Court </w:t>
      </w:r>
      <w:r w:rsidR="00716C65" w:rsidRPr="000A1EDD">
        <w:rPr>
          <w:rFonts w:asciiTheme="majorBidi" w:hAnsiTheme="majorBidi" w:cstheme="majorBidi"/>
          <w:lang w:eastAsia="en-GB"/>
        </w:rPr>
        <w:t>concluded that i</w:t>
      </w:r>
      <w:r w:rsidR="00DA566E" w:rsidRPr="000A1EDD">
        <w:rPr>
          <w:rFonts w:asciiTheme="majorBidi" w:hAnsiTheme="majorBidi" w:cstheme="majorBidi"/>
          <w:lang w:eastAsia="en-GB"/>
        </w:rPr>
        <w:t xml:space="preserve">n order for a State to dispel </w:t>
      </w:r>
      <w:r w:rsidR="00716C65" w:rsidRPr="000A1EDD">
        <w:rPr>
          <w:rFonts w:asciiTheme="majorBidi" w:hAnsiTheme="majorBidi" w:cstheme="majorBidi"/>
          <w:lang w:eastAsia="en-GB"/>
        </w:rPr>
        <w:t>doubts about evidence</w:t>
      </w:r>
      <w:r w:rsidR="00DA566E" w:rsidRPr="000A1EDD">
        <w:rPr>
          <w:rFonts w:asciiTheme="majorBidi" w:hAnsiTheme="majorBidi" w:cstheme="majorBidi"/>
          <w:lang w:eastAsia="en-GB"/>
        </w:rPr>
        <w:t xml:space="preserve">, </w:t>
      </w:r>
      <w:r w:rsidR="00C54D05" w:rsidRPr="000A1EDD">
        <w:rPr>
          <w:rFonts w:asciiTheme="majorBidi" w:hAnsiTheme="majorBidi" w:cstheme="majorBidi"/>
          <w:lang w:eastAsia="en-GB"/>
        </w:rPr>
        <w:t>it</w:t>
      </w:r>
      <w:r w:rsidR="00DA566E" w:rsidRPr="000A1EDD">
        <w:rPr>
          <w:rFonts w:asciiTheme="majorBidi" w:hAnsiTheme="majorBidi" w:cstheme="majorBidi"/>
          <w:lang w:eastAsia="en-GB"/>
        </w:rPr>
        <w:t xml:space="preserve"> must at least be in a position to assess the asylum seeker’s individual situation. However, th</w:t>
      </w:r>
      <w:r w:rsidR="00C54D05" w:rsidRPr="000A1EDD">
        <w:rPr>
          <w:rFonts w:asciiTheme="majorBidi" w:hAnsiTheme="majorBidi" w:cstheme="majorBidi"/>
          <w:lang w:eastAsia="en-GB"/>
        </w:rPr>
        <w:t>at</w:t>
      </w:r>
      <w:r w:rsidR="00DA566E" w:rsidRPr="000A1EDD">
        <w:rPr>
          <w:rFonts w:asciiTheme="majorBidi" w:hAnsiTheme="majorBidi" w:cstheme="majorBidi"/>
          <w:lang w:eastAsia="en-GB"/>
        </w:rPr>
        <w:t xml:space="preserve"> may be impossible when there is no proof of the asylum seeker’s identity and when the statement provided to substantiate the asylum request gives reason to question his or her credibility. According to the established case-law</w:t>
      </w:r>
      <w:r w:rsidR="00C54D05" w:rsidRPr="000A1EDD">
        <w:rPr>
          <w:rFonts w:asciiTheme="majorBidi" w:hAnsiTheme="majorBidi" w:cstheme="majorBidi"/>
          <w:lang w:eastAsia="en-GB"/>
        </w:rPr>
        <w:t xml:space="preserve"> of the Court</w:t>
      </w:r>
      <w:r w:rsidR="00DA566E" w:rsidRPr="000A1EDD">
        <w:rPr>
          <w:rFonts w:asciiTheme="majorBidi" w:hAnsiTheme="majorBidi" w:cstheme="majorBidi"/>
          <w:lang w:eastAsia="en-GB"/>
        </w:rPr>
        <w:t xml:space="preserve">, it is in principle up to the </w:t>
      </w:r>
      <w:r w:rsidR="00354F98" w:rsidRPr="000A1EDD">
        <w:rPr>
          <w:rFonts w:asciiTheme="majorBidi" w:hAnsiTheme="majorBidi" w:cstheme="majorBidi"/>
          <w:lang w:eastAsia="en-GB"/>
        </w:rPr>
        <w:t xml:space="preserve">applicants </w:t>
      </w:r>
      <w:r w:rsidR="00DA566E" w:rsidRPr="000A1EDD">
        <w:rPr>
          <w:rFonts w:asciiTheme="majorBidi" w:hAnsiTheme="majorBidi" w:cstheme="majorBidi"/>
          <w:lang w:eastAsia="en-GB"/>
        </w:rPr>
        <w:t xml:space="preserve">to adduce evidence </w:t>
      </w:r>
      <w:r w:rsidR="00354F98" w:rsidRPr="000A1EDD">
        <w:rPr>
          <w:rFonts w:asciiTheme="majorBidi" w:hAnsiTheme="majorBidi" w:cstheme="majorBidi"/>
          <w:lang w:eastAsia="en-GB"/>
        </w:rPr>
        <w:t xml:space="preserve">proving </w:t>
      </w:r>
      <w:r w:rsidR="00DA566E" w:rsidRPr="000A1EDD">
        <w:rPr>
          <w:rFonts w:asciiTheme="majorBidi" w:hAnsiTheme="majorBidi" w:cstheme="majorBidi"/>
          <w:lang w:eastAsia="en-GB"/>
        </w:rPr>
        <w:t>that there are substantial grounds for believing that</w:t>
      </w:r>
      <w:r w:rsidR="00354F98" w:rsidRPr="000A1EDD">
        <w:rPr>
          <w:rFonts w:asciiTheme="majorBidi" w:hAnsiTheme="majorBidi" w:cstheme="majorBidi"/>
          <w:lang w:eastAsia="en-GB"/>
        </w:rPr>
        <w:t xml:space="preserve"> in case of deportation </w:t>
      </w:r>
      <w:r w:rsidR="00DA566E" w:rsidRPr="000A1EDD">
        <w:rPr>
          <w:rFonts w:asciiTheme="majorBidi" w:hAnsiTheme="majorBidi" w:cstheme="majorBidi"/>
          <w:lang w:eastAsia="en-GB"/>
        </w:rPr>
        <w:t>he or she would be exposed to a real risk of being subjected to treatment contrary to article 3</w:t>
      </w:r>
      <w:r w:rsidR="00C54D05" w:rsidRPr="000A1EDD">
        <w:rPr>
          <w:rFonts w:asciiTheme="majorBidi" w:hAnsiTheme="majorBidi" w:cstheme="majorBidi"/>
          <w:lang w:eastAsia="en-GB"/>
        </w:rPr>
        <w:t xml:space="preserve"> of the Convention</w:t>
      </w:r>
      <w:r w:rsidR="00DA566E" w:rsidRPr="000A1EDD">
        <w:rPr>
          <w:rFonts w:asciiTheme="majorBidi" w:hAnsiTheme="majorBidi" w:cstheme="majorBidi"/>
          <w:lang w:eastAsia="en-GB"/>
        </w:rPr>
        <w:t xml:space="preserve">. Where such evidence is adduced, it is for the Government to dispel any doubts about it. </w:t>
      </w:r>
    </w:p>
    <w:p w:rsidR="007C0065" w:rsidRPr="000A1EDD" w:rsidRDefault="006D6A09" w:rsidP="00504D69">
      <w:pPr>
        <w:pStyle w:val="SingleTxtG"/>
        <w:rPr>
          <w:rFonts w:asciiTheme="majorBidi" w:hAnsiTheme="majorBidi" w:cstheme="majorBidi"/>
          <w:lang w:eastAsia="en-GB"/>
        </w:rPr>
      </w:pPr>
      <w:r w:rsidRPr="000A1EDD">
        <w:rPr>
          <w:rFonts w:asciiTheme="majorBidi" w:hAnsiTheme="majorBidi" w:cstheme="majorBidi"/>
          <w:lang w:eastAsia="en-GB"/>
        </w:rPr>
        <w:t>4.2</w:t>
      </w:r>
      <w:r w:rsidR="000E0066" w:rsidRPr="000A1EDD">
        <w:rPr>
          <w:rFonts w:asciiTheme="majorBidi" w:hAnsiTheme="majorBidi" w:cstheme="majorBidi"/>
          <w:lang w:eastAsia="en-GB"/>
        </w:rPr>
        <w:t>1</w:t>
      </w:r>
      <w:r w:rsidRPr="000A1EDD">
        <w:rPr>
          <w:rFonts w:asciiTheme="majorBidi" w:hAnsiTheme="majorBidi" w:cstheme="majorBidi"/>
          <w:lang w:eastAsia="en-GB"/>
        </w:rPr>
        <w:t xml:space="preserve"> </w:t>
      </w:r>
      <w:r w:rsidR="00504D69" w:rsidRPr="000A1EDD">
        <w:rPr>
          <w:rFonts w:asciiTheme="majorBidi" w:hAnsiTheme="majorBidi" w:cstheme="majorBidi"/>
          <w:lang w:eastAsia="en-GB"/>
        </w:rPr>
        <w:tab/>
      </w:r>
      <w:r w:rsidR="00DA566E" w:rsidRPr="000A1EDD">
        <w:rPr>
          <w:rFonts w:asciiTheme="majorBidi" w:hAnsiTheme="majorBidi" w:cstheme="majorBidi"/>
          <w:lang w:eastAsia="en-GB"/>
        </w:rPr>
        <w:t xml:space="preserve">Accordingly, the </w:t>
      </w:r>
      <w:r w:rsidR="00C54D05" w:rsidRPr="000A1EDD">
        <w:rPr>
          <w:rFonts w:asciiTheme="majorBidi" w:hAnsiTheme="majorBidi" w:cstheme="majorBidi"/>
          <w:lang w:eastAsia="en-GB"/>
        </w:rPr>
        <w:t>European Court of Human Rights</w:t>
      </w:r>
      <w:r w:rsidR="00DA566E" w:rsidRPr="000A1EDD">
        <w:rPr>
          <w:rFonts w:asciiTheme="majorBidi" w:hAnsiTheme="majorBidi" w:cstheme="majorBidi"/>
          <w:lang w:eastAsia="en-GB"/>
        </w:rPr>
        <w:t xml:space="preserve"> considered that where an asylum seeker invokes </w:t>
      </w:r>
      <w:r w:rsidR="00354F98" w:rsidRPr="000A1EDD">
        <w:rPr>
          <w:rFonts w:asciiTheme="majorBidi" w:hAnsiTheme="majorBidi" w:cstheme="majorBidi"/>
          <w:lang w:eastAsia="en-GB"/>
        </w:rPr>
        <w:t>past</w:t>
      </w:r>
      <w:r w:rsidR="00DA566E" w:rsidRPr="000A1EDD">
        <w:rPr>
          <w:rFonts w:asciiTheme="majorBidi" w:hAnsiTheme="majorBidi" w:cstheme="majorBidi"/>
          <w:lang w:eastAsia="en-GB"/>
        </w:rPr>
        <w:t xml:space="preserve"> ill-treatment</w:t>
      </w:r>
      <w:r w:rsidR="00C54D05" w:rsidRPr="000A1EDD">
        <w:rPr>
          <w:rFonts w:asciiTheme="majorBidi" w:hAnsiTheme="majorBidi" w:cstheme="majorBidi"/>
          <w:lang w:eastAsia="en-GB"/>
        </w:rPr>
        <w:t xml:space="preserve"> that he or she has suffered</w:t>
      </w:r>
      <w:r w:rsidR="00DA566E" w:rsidRPr="000A1EDD">
        <w:rPr>
          <w:rFonts w:asciiTheme="majorBidi" w:hAnsiTheme="majorBidi" w:cstheme="majorBidi"/>
          <w:lang w:eastAsia="en-GB"/>
        </w:rPr>
        <w:t xml:space="preserve">, whether undisputed or supported by evidence, it may nevertheless be expected that he or she indicates that there are substantial and concrete grounds for believing that, upon return to the home country he or she would be exposed to a risk of such treatment again. </w:t>
      </w:r>
      <w:r w:rsidR="00C27861" w:rsidRPr="000A1EDD">
        <w:rPr>
          <w:rFonts w:asciiTheme="majorBidi" w:hAnsiTheme="majorBidi" w:cstheme="majorBidi"/>
          <w:lang w:eastAsia="en-GB"/>
        </w:rPr>
        <w:t>In th</w:t>
      </w:r>
      <w:r w:rsidR="00C54D05" w:rsidRPr="000A1EDD">
        <w:rPr>
          <w:rFonts w:asciiTheme="majorBidi" w:hAnsiTheme="majorBidi" w:cstheme="majorBidi"/>
          <w:lang w:eastAsia="en-GB"/>
        </w:rPr>
        <w:t>at</w:t>
      </w:r>
      <w:r w:rsidR="00C27861" w:rsidRPr="000A1EDD">
        <w:rPr>
          <w:rFonts w:asciiTheme="majorBidi" w:hAnsiTheme="majorBidi" w:cstheme="majorBidi"/>
          <w:lang w:eastAsia="en-GB"/>
        </w:rPr>
        <w:t xml:space="preserve"> context, the State party considers, as </w:t>
      </w:r>
      <w:r w:rsidR="00C54D05" w:rsidRPr="000A1EDD">
        <w:rPr>
          <w:rFonts w:asciiTheme="majorBidi" w:hAnsiTheme="majorBidi" w:cstheme="majorBidi"/>
          <w:lang w:eastAsia="en-GB"/>
        </w:rPr>
        <w:t xml:space="preserve">does </w:t>
      </w:r>
      <w:r w:rsidR="00C27861" w:rsidRPr="000A1EDD">
        <w:rPr>
          <w:rFonts w:asciiTheme="majorBidi" w:hAnsiTheme="majorBidi" w:cstheme="majorBidi"/>
          <w:lang w:eastAsia="en-GB"/>
        </w:rPr>
        <w:t>the Migration Court, that the medical and invalidity certificates submitted by the complainant support his asylum account to a certain extent but that the written evidence is not such that he is considered to have plausibly demonstrated his need for protection on the basis of th</w:t>
      </w:r>
      <w:r w:rsidR="00C54D05" w:rsidRPr="000A1EDD">
        <w:rPr>
          <w:rFonts w:asciiTheme="majorBidi" w:hAnsiTheme="majorBidi" w:cstheme="majorBidi"/>
          <w:lang w:eastAsia="en-GB"/>
        </w:rPr>
        <w:t>at</w:t>
      </w:r>
      <w:r w:rsidR="00C27861" w:rsidRPr="000A1EDD">
        <w:rPr>
          <w:rFonts w:asciiTheme="majorBidi" w:hAnsiTheme="majorBidi" w:cstheme="majorBidi"/>
          <w:lang w:eastAsia="en-GB"/>
        </w:rPr>
        <w:t xml:space="preserve"> evidence. </w:t>
      </w:r>
    </w:p>
    <w:p w:rsidR="00A82210" w:rsidRPr="000A1EDD" w:rsidRDefault="00716C65" w:rsidP="00504D69">
      <w:pPr>
        <w:pStyle w:val="SingleTxtG"/>
        <w:rPr>
          <w:rFonts w:asciiTheme="majorBidi" w:hAnsiTheme="majorBidi" w:cstheme="majorBidi"/>
          <w:lang w:eastAsia="en-GB"/>
        </w:rPr>
      </w:pPr>
      <w:r w:rsidRPr="000A1EDD">
        <w:rPr>
          <w:rFonts w:asciiTheme="majorBidi" w:hAnsiTheme="majorBidi" w:cstheme="majorBidi"/>
          <w:lang w:eastAsia="en-GB"/>
        </w:rPr>
        <w:t>4.2</w:t>
      </w:r>
      <w:r w:rsidR="000E0066" w:rsidRPr="000A1EDD">
        <w:rPr>
          <w:rFonts w:asciiTheme="majorBidi" w:hAnsiTheme="majorBidi" w:cstheme="majorBidi"/>
          <w:lang w:eastAsia="en-GB"/>
        </w:rPr>
        <w:t>2</w:t>
      </w:r>
      <w:r w:rsidRPr="000A1EDD">
        <w:rPr>
          <w:rFonts w:asciiTheme="majorBidi" w:hAnsiTheme="majorBidi" w:cstheme="majorBidi"/>
          <w:lang w:eastAsia="en-GB"/>
        </w:rPr>
        <w:t xml:space="preserve"> </w:t>
      </w:r>
      <w:r w:rsidR="00504D69" w:rsidRPr="000A1EDD">
        <w:rPr>
          <w:rFonts w:asciiTheme="majorBidi" w:hAnsiTheme="majorBidi" w:cstheme="majorBidi"/>
          <w:lang w:eastAsia="en-GB"/>
        </w:rPr>
        <w:tab/>
      </w:r>
      <w:r w:rsidR="00354F98" w:rsidRPr="000A1EDD">
        <w:rPr>
          <w:rFonts w:asciiTheme="majorBidi" w:hAnsiTheme="majorBidi" w:cstheme="majorBidi"/>
          <w:lang w:eastAsia="en-GB"/>
        </w:rPr>
        <w:t>B</w:t>
      </w:r>
      <w:r w:rsidR="008B0094" w:rsidRPr="000A1EDD">
        <w:rPr>
          <w:rFonts w:asciiTheme="majorBidi" w:hAnsiTheme="majorBidi" w:cstheme="majorBidi"/>
          <w:lang w:eastAsia="en-GB"/>
        </w:rPr>
        <w:t>efore the Committee</w:t>
      </w:r>
      <w:r w:rsidR="00354F98" w:rsidRPr="000A1EDD">
        <w:rPr>
          <w:rFonts w:asciiTheme="majorBidi" w:hAnsiTheme="majorBidi" w:cstheme="majorBidi"/>
          <w:lang w:eastAsia="en-GB"/>
        </w:rPr>
        <w:t>, the complainant claims</w:t>
      </w:r>
      <w:r w:rsidR="008B0094" w:rsidRPr="000A1EDD">
        <w:rPr>
          <w:rFonts w:asciiTheme="majorBidi" w:hAnsiTheme="majorBidi" w:cstheme="majorBidi"/>
          <w:lang w:eastAsia="en-GB"/>
        </w:rPr>
        <w:t xml:space="preserve"> that his long-lasting political and religious commitment led him to becoming a well-known local representative of the party. The State party, however, points out that during the interview </w:t>
      </w:r>
      <w:r w:rsidR="00C54D05" w:rsidRPr="000A1EDD">
        <w:rPr>
          <w:rFonts w:asciiTheme="majorBidi" w:hAnsiTheme="majorBidi" w:cstheme="majorBidi"/>
          <w:lang w:eastAsia="en-GB"/>
        </w:rPr>
        <w:t xml:space="preserve">with </w:t>
      </w:r>
      <w:r w:rsidR="008B0094" w:rsidRPr="000A1EDD">
        <w:rPr>
          <w:rFonts w:asciiTheme="majorBidi" w:hAnsiTheme="majorBidi" w:cstheme="majorBidi"/>
          <w:lang w:eastAsia="en-GB"/>
        </w:rPr>
        <w:t xml:space="preserve">the Migration Agency on 2 May 2012, the complainant held that his political involvement primarily consisted of reading the Koran and campaigning for the introduction of Sharia law. </w:t>
      </w:r>
      <w:r w:rsidR="007C0065" w:rsidRPr="000A1EDD">
        <w:rPr>
          <w:rFonts w:asciiTheme="majorBidi" w:hAnsiTheme="majorBidi" w:cstheme="majorBidi"/>
          <w:lang w:eastAsia="en-GB"/>
        </w:rPr>
        <w:t xml:space="preserve">In addition, the State party submits that the complainant has failed to demonstrate at the domestic level his alleged need for protection </w:t>
      </w:r>
      <w:r w:rsidR="00C54D05" w:rsidRPr="000A1EDD">
        <w:rPr>
          <w:rFonts w:asciiTheme="majorBidi" w:hAnsiTheme="majorBidi" w:cstheme="majorBidi"/>
          <w:lang w:eastAsia="en-GB"/>
        </w:rPr>
        <w:t xml:space="preserve">is </w:t>
      </w:r>
      <w:r w:rsidR="007C0065" w:rsidRPr="000A1EDD">
        <w:rPr>
          <w:rFonts w:asciiTheme="majorBidi" w:hAnsiTheme="majorBidi" w:cstheme="majorBidi"/>
          <w:lang w:eastAsia="en-GB"/>
        </w:rPr>
        <w:t xml:space="preserve">plausible, as his asylum account regarding the structure of the party and his own function in the party were vague and </w:t>
      </w:r>
      <w:r w:rsidR="00C54D05" w:rsidRPr="000A1EDD">
        <w:rPr>
          <w:rFonts w:asciiTheme="majorBidi" w:hAnsiTheme="majorBidi" w:cstheme="majorBidi"/>
          <w:lang w:eastAsia="en-GB"/>
        </w:rPr>
        <w:t>lacking in detail</w:t>
      </w:r>
      <w:r w:rsidR="007C0065" w:rsidRPr="000A1EDD">
        <w:rPr>
          <w:rFonts w:asciiTheme="majorBidi" w:hAnsiTheme="majorBidi" w:cstheme="majorBidi"/>
          <w:lang w:eastAsia="en-GB"/>
        </w:rPr>
        <w:t xml:space="preserve">. </w:t>
      </w:r>
      <w:r w:rsidR="00354F98" w:rsidRPr="000A1EDD">
        <w:rPr>
          <w:rFonts w:asciiTheme="majorBidi" w:hAnsiTheme="majorBidi" w:cstheme="majorBidi"/>
          <w:lang w:eastAsia="en-GB"/>
        </w:rPr>
        <w:t>T</w:t>
      </w:r>
      <w:r w:rsidR="007C0065" w:rsidRPr="000A1EDD">
        <w:rPr>
          <w:rFonts w:asciiTheme="majorBidi" w:hAnsiTheme="majorBidi" w:cstheme="majorBidi"/>
          <w:lang w:eastAsia="en-GB"/>
        </w:rPr>
        <w:t>he Migration Agency noted in particular that the complainant was unable to expand in more detail on how the party works to achieve its goals in society</w:t>
      </w:r>
      <w:r w:rsidR="00A418FB" w:rsidRPr="000A1EDD">
        <w:rPr>
          <w:rFonts w:asciiTheme="majorBidi" w:hAnsiTheme="majorBidi" w:cstheme="majorBidi"/>
          <w:lang w:eastAsia="en-GB"/>
        </w:rPr>
        <w:t>;</w:t>
      </w:r>
      <w:r w:rsidR="00246307" w:rsidRPr="000A1EDD">
        <w:rPr>
          <w:rFonts w:asciiTheme="majorBidi" w:hAnsiTheme="majorBidi" w:cstheme="majorBidi"/>
          <w:lang w:eastAsia="en-GB"/>
        </w:rPr>
        <w:t xml:space="preserve"> he </w:t>
      </w:r>
      <w:r w:rsidR="007C0065" w:rsidRPr="000A1EDD">
        <w:rPr>
          <w:rFonts w:asciiTheme="majorBidi" w:hAnsiTheme="majorBidi" w:cstheme="majorBidi"/>
          <w:lang w:eastAsia="en-GB"/>
        </w:rPr>
        <w:t>had great difficulty outlining his duties within the party</w:t>
      </w:r>
      <w:r w:rsidR="00A418FB" w:rsidRPr="000A1EDD">
        <w:rPr>
          <w:rFonts w:asciiTheme="majorBidi" w:hAnsiTheme="majorBidi" w:cstheme="majorBidi"/>
          <w:lang w:eastAsia="en-GB"/>
        </w:rPr>
        <w:t>;</w:t>
      </w:r>
      <w:r w:rsidR="00246307" w:rsidRPr="000A1EDD">
        <w:rPr>
          <w:rFonts w:asciiTheme="majorBidi" w:hAnsiTheme="majorBidi" w:cstheme="majorBidi"/>
          <w:lang w:eastAsia="en-GB"/>
        </w:rPr>
        <w:t xml:space="preserve"> and </w:t>
      </w:r>
      <w:r w:rsidR="007C0065" w:rsidRPr="000A1EDD">
        <w:rPr>
          <w:rFonts w:asciiTheme="majorBidi" w:hAnsiTheme="majorBidi" w:cstheme="majorBidi"/>
          <w:lang w:eastAsia="en-GB"/>
        </w:rPr>
        <w:t xml:space="preserve">despite his stated position of secretary </w:t>
      </w:r>
      <w:r w:rsidR="00C54D05" w:rsidRPr="000A1EDD">
        <w:rPr>
          <w:rFonts w:asciiTheme="majorBidi" w:hAnsiTheme="majorBidi" w:cstheme="majorBidi"/>
          <w:lang w:eastAsia="en-GB"/>
        </w:rPr>
        <w:t xml:space="preserve">to </w:t>
      </w:r>
      <w:r w:rsidR="007C0065" w:rsidRPr="000A1EDD">
        <w:rPr>
          <w:rFonts w:asciiTheme="majorBidi" w:hAnsiTheme="majorBidi" w:cstheme="majorBidi"/>
          <w:lang w:eastAsia="en-GB"/>
        </w:rPr>
        <w:t>the vice</w:t>
      </w:r>
      <w:r w:rsidR="00C54D05" w:rsidRPr="000A1EDD">
        <w:rPr>
          <w:rFonts w:asciiTheme="majorBidi" w:hAnsiTheme="majorBidi" w:cstheme="majorBidi"/>
          <w:lang w:eastAsia="en-GB"/>
        </w:rPr>
        <w:t>-</w:t>
      </w:r>
      <w:r w:rsidR="007C0065" w:rsidRPr="000A1EDD">
        <w:rPr>
          <w:rFonts w:asciiTheme="majorBidi" w:hAnsiTheme="majorBidi" w:cstheme="majorBidi"/>
          <w:lang w:eastAsia="en-GB"/>
        </w:rPr>
        <w:t xml:space="preserve">president of the party, he was unable to present any concrete account of his duties. He also demonstrated a lack of knowledge of the names of the party’s leading members. Furthermore, the complainant spoke in general terms </w:t>
      </w:r>
      <w:r w:rsidR="00246307" w:rsidRPr="000A1EDD">
        <w:rPr>
          <w:rFonts w:asciiTheme="majorBidi" w:hAnsiTheme="majorBidi" w:cstheme="majorBidi"/>
          <w:lang w:eastAsia="en-GB"/>
        </w:rPr>
        <w:t>regarding the party leader’s imprisonment</w:t>
      </w:r>
      <w:r w:rsidR="007C0065" w:rsidRPr="000A1EDD">
        <w:rPr>
          <w:rFonts w:asciiTheme="majorBidi" w:hAnsiTheme="majorBidi" w:cstheme="majorBidi"/>
          <w:lang w:eastAsia="en-GB"/>
        </w:rPr>
        <w:t xml:space="preserve">. The State party thus considers that the complainant has not plausibly demonstrated that he </w:t>
      </w:r>
      <w:r w:rsidR="00C54D05" w:rsidRPr="000A1EDD">
        <w:rPr>
          <w:rFonts w:asciiTheme="majorBidi" w:hAnsiTheme="majorBidi" w:cstheme="majorBidi"/>
          <w:lang w:eastAsia="en-GB"/>
        </w:rPr>
        <w:t>was</w:t>
      </w:r>
      <w:r w:rsidR="007C0065" w:rsidRPr="000A1EDD">
        <w:rPr>
          <w:rFonts w:asciiTheme="majorBidi" w:hAnsiTheme="majorBidi" w:cstheme="majorBidi"/>
          <w:lang w:eastAsia="en-GB"/>
        </w:rPr>
        <w:t xml:space="preserve"> such an active and prominent member of the party that it would warrant any great interest from anyone from the larger parties. </w:t>
      </w:r>
    </w:p>
    <w:p w:rsidR="00F3585E" w:rsidRPr="000A1EDD" w:rsidRDefault="00F3585E" w:rsidP="00504D69">
      <w:pPr>
        <w:pStyle w:val="SingleTxtG"/>
        <w:rPr>
          <w:rFonts w:asciiTheme="majorBidi" w:hAnsiTheme="majorBidi" w:cstheme="majorBidi"/>
          <w:lang w:eastAsia="en-GB"/>
        </w:rPr>
      </w:pPr>
      <w:r w:rsidRPr="000A1EDD">
        <w:rPr>
          <w:rFonts w:asciiTheme="majorBidi" w:hAnsiTheme="majorBidi" w:cstheme="majorBidi"/>
          <w:lang w:eastAsia="en-GB"/>
        </w:rPr>
        <w:lastRenderedPageBreak/>
        <w:t>4.2</w:t>
      </w:r>
      <w:r w:rsidR="000E0066" w:rsidRPr="000A1EDD">
        <w:rPr>
          <w:rFonts w:asciiTheme="majorBidi" w:hAnsiTheme="majorBidi" w:cstheme="majorBidi"/>
          <w:lang w:eastAsia="en-GB"/>
        </w:rPr>
        <w:t>3</w:t>
      </w:r>
      <w:r w:rsidR="007C0065" w:rsidRPr="000A1EDD">
        <w:rPr>
          <w:rFonts w:asciiTheme="majorBidi" w:hAnsiTheme="majorBidi" w:cstheme="majorBidi"/>
          <w:lang w:eastAsia="en-GB"/>
        </w:rPr>
        <w:t xml:space="preserve"> </w:t>
      </w:r>
      <w:r w:rsidR="00504D69" w:rsidRPr="000A1EDD">
        <w:rPr>
          <w:rFonts w:asciiTheme="majorBidi" w:hAnsiTheme="majorBidi" w:cstheme="majorBidi"/>
          <w:lang w:eastAsia="en-GB"/>
        </w:rPr>
        <w:tab/>
      </w:r>
      <w:r w:rsidR="00A82210" w:rsidRPr="000A1EDD">
        <w:rPr>
          <w:rFonts w:asciiTheme="majorBidi" w:hAnsiTheme="majorBidi" w:cstheme="majorBidi"/>
          <w:lang w:eastAsia="en-GB"/>
        </w:rPr>
        <w:t xml:space="preserve">In addition, the State party submits that the Migration Court also considered that the complainant did not have a senior position in the party. </w:t>
      </w:r>
      <w:r w:rsidR="00C54D05" w:rsidRPr="000A1EDD">
        <w:rPr>
          <w:rFonts w:asciiTheme="majorBidi" w:hAnsiTheme="majorBidi" w:cstheme="majorBidi"/>
          <w:lang w:eastAsia="en-GB"/>
        </w:rPr>
        <w:t>Further</w:t>
      </w:r>
      <w:r w:rsidR="00A82210" w:rsidRPr="000A1EDD">
        <w:rPr>
          <w:rFonts w:asciiTheme="majorBidi" w:hAnsiTheme="majorBidi" w:cstheme="majorBidi"/>
          <w:lang w:eastAsia="en-GB"/>
        </w:rPr>
        <w:t xml:space="preserve">, the court noted that more than eight years </w:t>
      </w:r>
      <w:r w:rsidRPr="000A1EDD">
        <w:rPr>
          <w:rFonts w:asciiTheme="majorBidi" w:hAnsiTheme="majorBidi" w:cstheme="majorBidi"/>
          <w:lang w:eastAsia="en-GB"/>
        </w:rPr>
        <w:t>had</w:t>
      </w:r>
      <w:r w:rsidR="00A82210" w:rsidRPr="000A1EDD">
        <w:rPr>
          <w:rFonts w:asciiTheme="majorBidi" w:hAnsiTheme="majorBidi" w:cstheme="majorBidi"/>
          <w:lang w:eastAsia="en-GB"/>
        </w:rPr>
        <w:t xml:space="preserve"> passed since the complainant left Bangladesh and no documentation ha</w:t>
      </w:r>
      <w:r w:rsidRPr="000A1EDD">
        <w:rPr>
          <w:rFonts w:asciiTheme="majorBidi" w:hAnsiTheme="majorBidi" w:cstheme="majorBidi"/>
          <w:lang w:eastAsia="en-GB"/>
        </w:rPr>
        <w:t>d</w:t>
      </w:r>
      <w:r w:rsidR="00A82210" w:rsidRPr="000A1EDD">
        <w:rPr>
          <w:rFonts w:asciiTheme="majorBidi" w:hAnsiTheme="majorBidi" w:cstheme="majorBidi"/>
          <w:lang w:eastAsia="en-GB"/>
        </w:rPr>
        <w:t xml:space="preserve"> emerged to suggest that he continued to be politically and religiously active. Accordingly, the State party agrees with the Migration Court that the circumstances strongly suggest that the complainant would not be of special interest to the </w:t>
      </w:r>
      <w:r w:rsidR="00246307" w:rsidRPr="000A1EDD">
        <w:rPr>
          <w:rFonts w:asciiTheme="majorBidi" w:hAnsiTheme="majorBidi" w:cstheme="majorBidi"/>
          <w:lang w:eastAsia="en-GB"/>
        </w:rPr>
        <w:t xml:space="preserve">Bangladesh </w:t>
      </w:r>
      <w:r w:rsidR="00A82210" w:rsidRPr="000A1EDD">
        <w:rPr>
          <w:rFonts w:asciiTheme="majorBidi" w:hAnsiTheme="majorBidi" w:cstheme="majorBidi"/>
          <w:lang w:eastAsia="en-GB"/>
        </w:rPr>
        <w:t xml:space="preserve">authorities. </w:t>
      </w:r>
    </w:p>
    <w:p w:rsidR="00546C7E" w:rsidRPr="000A1EDD" w:rsidRDefault="00F3585E" w:rsidP="00504D69">
      <w:pPr>
        <w:pStyle w:val="SingleTxtG"/>
        <w:rPr>
          <w:rFonts w:asciiTheme="majorBidi" w:hAnsiTheme="majorBidi" w:cstheme="majorBidi"/>
          <w:lang w:eastAsia="en-GB"/>
        </w:rPr>
      </w:pPr>
      <w:r w:rsidRPr="000A1EDD">
        <w:rPr>
          <w:rFonts w:asciiTheme="majorBidi" w:hAnsiTheme="majorBidi" w:cstheme="majorBidi"/>
          <w:lang w:eastAsia="en-GB"/>
        </w:rPr>
        <w:t>4.2</w:t>
      </w:r>
      <w:r w:rsidR="000E0066" w:rsidRPr="000A1EDD">
        <w:rPr>
          <w:rFonts w:asciiTheme="majorBidi" w:hAnsiTheme="majorBidi" w:cstheme="majorBidi"/>
          <w:lang w:eastAsia="en-GB"/>
        </w:rPr>
        <w:t>4</w:t>
      </w:r>
      <w:r w:rsidR="000352A5" w:rsidRPr="000A1EDD">
        <w:rPr>
          <w:rFonts w:asciiTheme="majorBidi" w:hAnsiTheme="majorBidi" w:cstheme="majorBidi"/>
          <w:lang w:eastAsia="en-GB"/>
        </w:rPr>
        <w:t xml:space="preserve"> </w:t>
      </w:r>
      <w:r w:rsidR="00504D69" w:rsidRPr="000A1EDD">
        <w:rPr>
          <w:rFonts w:asciiTheme="majorBidi" w:hAnsiTheme="majorBidi" w:cstheme="majorBidi"/>
          <w:lang w:eastAsia="en-GB"/>
        </w:rPr>
        <w:tab/>
      </w:r>
      <w:r w:rsidR="00A82210" w:rsidRPr="000A1EDD">
        <w:rPr>
          <w:rFonts w:asciiTheme="majorBidi" w:hAnsiTheme="majorBidi" w:cstheme="majorBidi"/>
          <w:lang w:eastAsia="en-GB"/>
        </w:rPr>
        <w:t xml:space="preserve">The State party </w:t>
      </w:r>
      <w:r w:rsidRPr="000A1EDD">
        <w:rPr>
          <w:rFonts w:asciiTheme="majorBidi" w:hAnsiTheme="majorBidi" w:cstheme="majorBidi"/>
          <w:lang w:eastAsia="en-GB"/>
        </w:rPr>
        <w:t>further notes</w:t>
      </w:r>
      <w:r w:rsidR="00A82210" w:rsidRPr="000A1EDD">
        <w:rPr>
          <w:rFonts w:asciiTheme="majorBidi" w:hAnsiTheme="majorBidi" w:cstheme="majorBidi"/>
          <w:lang w:eastAsia="en-GB"/>
        </w:rPr>
        <w:t xml:space="preserve"> the conclusions </w:t>
      </w:r>
      <w:r w:rsidR="00C54D05" w:rsidRPr="000A1EDD">
        <w:rPr>
          <w:rFonts w:asciiTheme="majorBidi" w:hAnsiTheme="majorBidi" w:cstheme="majorBidi"/>
          <w:lang w:eastAsia="en-GB"/>
        </w:rPr>
        <w:t xml:space="preserve">of the Migration Agency </w:t>
      </w:r>
      <w:r w:rsidR="00A82210" w:rsidRPr="000A1EDD">
        <w:rPr>
          <w:rFonts w:asciiTheme="majorBidi" w:hAnsiTheme="majorBidi" w:cstheme="majorBidi"/>
          <w:lang w:eastAsia="en-GB"/>
        </w:rPr>
        <w:t>that the complainant ha</w:t>
      </w:r>
      <w:r w:rsidRPr="000A1EDD">
        <w:rPr>
          <w:rFonts w:asciiTheme="majorBidi" w:hAnsiTheme="majorBidi" w:cstheme="majorBidi"/>
          <w:lang w:eastAsia="en-GB"/>
        </w:rPr>
        <w:t>d</w:t>
      </w:r>
      <w:r w:rsidR="00A82210" w:rsidRPr="000A1EDD">
        <w:rPr>
          <w:rFonts w:asciiTheme="majorBidi" w:hAnsiTheme="majorBidi" w:cstheme="majorBidi"/>
          <w:lang w:eastAsia="en-GB"/>
        </w:rPr>
        <w:t xml:space="preserve"> submitted contradictory information. In particular, during the interview the complainant stated that he had sought help from the authorities in Bangladesh but that they had not offered him any assistance</w:t>
      </w:r>
      <w:r w:rsidR="00C54D05" w:rsidRPr="000A1EDD">
        <w:rPr>
          <w:rFonts w:asciiTheme="majorBidi" w:hAnsiTheme="majorBidi" w:cstheme="majorBidi"/>
          <w:lang w:eastAsia="en-GB"/>
        </w:rPr>
        <w:t>. L</w:t>
      </w:r>
      <w:r w:rsidR="00A82210" w:rsidRPr="000A1EDD">
        <w:rPr>
          <w:rFonts w:asciiTheme="majorBidi" w:hAnsiTheme="majorBidi" w:cstheme="majorBidi"/>
          <w:lang w:eastAsia="en-GB"/>
        </w:rPr>
        <w:t xml:space="preserve">ater </w:t>
      </w:r>
      <w:r w:rsidR="00C54D05" w:rsidRPr="000A1EDD">
        <w:rPr>
          <w:rFonts w:asciiTheme="majorBidi" w:hAnsiTheme="majorBidi" w:cstheme="majorBidi"/>
          <w:lang w:eastAsia="en-GB"/>
        </w:rPr>
        <w:t xml:space="preserve">in </w:t>
      </w:r>
      <w:r w:rsidR="00A82210" w:rsidRPr="000A1EDD">
        <w:rPr>
          <w:rFonts w:asciiTheme="majorBidi" w:hAnsiTheme="majorBidi" w:cstheme="majorBidi"/>
          <w:lang w:eastAsia="en-GB"/>
        </w:rPr>
        <w:t xml:space="preserve">the same interview, he stated that he </w:t>
      </w:r>
      <w:r w:rsidR="00C54D05" w:rsidRPr="000A1EDD">
        <w:rPr>
          <w:rFonts w:asciiTheme="majorBidi" w:hAnsiTheme="majorBidi" w:cstheme="majorBidi"/>
          <w:lang w:eastAsia="en-GB"/>
        </w:rPr>
        <w:t xml:space="preserve">had </w:t>
      </w:r>
      <w:r w:rsidR="00A82210" w:rsidRPr="000A1EDD">
        <w:rPr>
          <w:rFonts w:asciiTheme="majorBidi" w:hAnsiTheme="majorBidi" w:cstheme="majorBidi"/>
          <w:lang w:eastAsia="en-GB"/>
        </w:rPr>
        <w:t>not contact</w:t>
      </w:r>
      <w:r w:rsidR="00C54D05" w:rsidRPr="000A1EDD">
        <w:rPr>
          <w:rFonts w:asciiTheme="majorBidi" w:hAnsiTheme="majorBidi" w:cstheme="majorBidi"/>
          <w:lang w:eastAsia="en-GB"/>
        </w:rPr>
        <w:t>ed</w:t>
      </w:r>
      <w:r w:rsidR="00A82210" w:rsidRPr="000A1EDD">
        <w:rPr>
          <w:rFonts w:asciiTheme="majorBidi" w:hAnsiTheme="majorBidi" w:cstheme="majorBidi"/>
          <w:lang w:eastAsia="en-GB"/>
        </w:rPr>
        <w:t xml:space="preserve"> the authorities </w:t>
      </w:r>
      <w:r w:rsidR="00C54D05" w:rsidRPr="000A1EDD">
        <w:rPr>
          <w:rFonts w:asciiTheme="majorBidi" w:hAnsiTheme="majorBidi" w:cstheme="majorBidi"/>
          <w:lang w:eastAsia="en-GB"/>
        </w:rPr>
        <w:t xml:space="preserve">owing </w:t>
      </w:r>
      <w:r w:rsidR="00A82210" w:rsidRPr="000A1EDD">
        <w:rPr>
          <w:rFonts w:asciiTheme="majorBidi" w:hAnsiTheme="majorBidi" w:cstheme="majorBidi"/>
          <w:lang w:eastAsia="en-GB"/>
        </w:rPr>
        <w:t xml:space="preserve">to his fear of their retribution. Furthermore, he then asserted that his parents had contacted the authorities, but not until he had left the country. However, according to a copy of his father’s </w:t>
      </w:r>
      <w:r w:rsidR="000352A5" w:rsidRPr="000A1EDD">
        <w:rPr>
          <w:rFonts w:asciiTheme="majorBidi" w:hAnsiTheme="majorBidi" w:cstheme="majorBidi"/>
          <w:lang w:eastAsia="en-GB"/>
        </w:rPr>
        <w:t>complaint</w:t>
      </w:r>
      <w:r w:rsidR="00A82210" w:rsidRPr="000A1EDD">
        <w:rPr>
          <w:rFonts w:asciiTheme="majorBidi" w:hAnsiTheme="majorBidi" w:cstheme="majorBidi"/>
          <w:lang w:eastAsia="en-GB"/>
        </w:rPr>
        <w:t>, th</w:t>
      </w:r>
      <w:r w:rsidR="000352A5" w:rsidRPr="000A1EDD">
        <w:rPr>
          <w:rFonts w:asciiTheme="majorBidi" w:hAnsiTheme="majorBidi" w:cstheme="majorBidi"/>
          <w:lang w:eastAsia="en-GB"/>
        </w:rPr>
        <w:t>e</w:t>
      </w:r>
      <w:r w:rsidR="00A82210" w:rsidRPr="000A1EDD">
        <w:rPr>
          <w:rFonts w:asciiTheme="majorBidi" w:hAnsiTheme="majorBidi" w:cstheme="majorBidi"/>
          <w:lang w:eastAsia="en-GB"/>
        </w:rPr>
        <w:t xml:space="preserve"> </w:t>
      </w:r>
      <w:r w:rsidR="000352A5" w:rsidRPr="000A1EDD">
        <w:rPr>
          <w:rFonts w:asciiTheme="majorBidi" w:hAnsiTheme="majorBidi" w:cstheme="majorBidi"/>
          <w:lang w:eastAsia="en-GB"/>
        </w:rPr>
        <w:t xml:space="preserve">complaint </w:t>
      </w:r>
      <w:r w:rsidR="00A82210" w:rsidRPr="000A1EDD">
        <w:rPr>
          <w:rFonts w:asciiTheme="majorBidi" w:hAnsiTheme="majorBidi" w:cstheme="majorBidi"/>
          <w:lang w:eastAsia="en-GB"/>
        </w:rPr>
        <w:t xml:space="preserve">was filed on 17 July 2004, </w:t>
      </w:r>
      <w:r w:rsidR="00283575" w:rsidRPr="000A1EDD">
        <w:rPr>
          <w:rFonts w:asciiTheme="majorBidi" w:hAnsiTheme="majorBidi" w:cstheme="majorBidi"/>
          <w:lang w:eastAsia="en-GB"/>
        </w:rPr>
        <w:t>when</w:t>
      </w:r>
      <w:r w:rsidR="00A82210" w:rsidRPr="000A1EDD">
        <w:rPr>
          <w:rFonts w:asciiTheme="majorBidi" w:hAnsiTheme="majorBidi" w:cstheme="majorBidi"/>
          <w:lang w:eastAsia="en-GB"/>
        </w:rPr>
        <w:t xml:space="preserve"> </w:t>
      </w:r>
      <w:r w:rsidR="000352A5" w:rsidRPr="000A1EDD">
        <w:rPr>
          <w:rFonts w:asciiTheme="majorBidi" w:hAnsiTheme="majorBidi" w:cstheme="majorBidi"/>
          <w:lang w:eastAsia="en-GB"/>
        </w:rPr>
        <w:t>t</w:t>
      </w:r>
      <w:r w:rsidR="00A82210" w:rsidRPr="000A1EDD">
        <w:rPr>
          <w:rFonts w:asciiTheme="majorBidi" w:hAnsiTheme="majorBidi" w:cstheme="majorBidi"/>
          <w:lang w:eastAsia="en-GB"/>
        </w:rPr>
        <w:t xml:space="preserve">he </w:t>
      </w:r>
      <w:r w:rsidR="000352A5" w:rsidRPr="000A1EDD">
        <w:rPr>
          <w:rFonts w:asciiTheme="majorBidi" w:hAnsiTheme="majorBidi" w:cstheme="majorBidi"/>
          <w:lang w:eastAsia="en-GB"/>
        </w:rPr>
        <w:t xml:space="preserve">complainant </w:t>
      </w:r>
      <w:r w:rsidR="00A82210" w:rsidRPr="000A1EDD">
        <w:rPr>
          <w:rFonts w:asciiTheme="majorBidi" w:hAnsiTheme="majorBidi" w:cstheme="majorBidi"/>
          <w:lang w:eastAsia="en-GB"/>
        </w:rPr>
        <w:t xml:space="preserve">was still in the country. In </w:t>
      </w:r>
      <w:r w:rsidR="00EE6527" w:rsidRPr="000A1EDD">
        <w:rPr>
          <w:rFonts w:asciiTheme="majorBidi" w:hAnsiTheme="majorBidi" w:cstheme="majorBidi"/>
          <w:lang w:eastAsia="en-GB"/>
        </w:rPr>
        <w:t xml:space="preserve">the </w:t>
      </w:r>
      <w:r w:rsidR="00A82210" w:rsidRPr="000A1EDD">
        <w:rPr>
          <w:rFonts w:asciiTheme="majorBidi" w:hAnsiTheme="majorBidi" w:cstheme="majorBidi"/>
          <w:lang w:eastAsia="en-GB"/>
        </w:rPr>
        <w:t xml:space="preserve">light of the </w:t>
      </w:r>
      <w:r w:rsidR="00283575" w:rsidRPr="000A1EDD">
        <w:rPr>
          <w:rFonts w:asciiTheme="majorBidi" w:hAnsiTheme="majorBidi" w:cstheme="majorBidi"/>
          <w:lang w:eastAsia="en-GB"/>
        </w:rPr>
        <w:t xml:space="preserve">above </w:t>
      </w:r>
      <w:r w:rsidR="00D57CD5" w:rsidRPr="000A1EDD">
        <w:rPr>
          <w:rFonts w:asciiTheme="majorBidi" w:hAnsiTheme="majorBidi" w:cstheme="majorBidi"/>
          <w:lang w:eastAsia="en-GB"/>
        </w:rPr>
        <w:t>and</w:t>
      </w:r>
      <w:r w:rsidR="00A82210" w:rsidRPr="000A1EDD">
        <w:rPr>
          <w:rFonts w:asciiTheme="majorBidi" w:hAnsiTheme="majorBidi" w:cstheme="majorBidi"/>
          <w:lang w:eastAsia="en-GB"/>
        </w:rPr>
        <w:t xml:space="preserve"> of the country of origin information</w:t>
      </w:r>
      <w:r w:rsidR="00283575" w:rsidRPr="000A1EDD">
        <w:rPr>
          <w:rFonts w:asciiTheme="majorBidi" w:hAnsiTheme="majorBidi" w:cstheme="majorBidi"/>
          <w:lang w:eastAsia="en-GB"/>
        </w:rPr>
        <w:t>,</w:t>
      </w:r>
      <w:r w:rsidR="00A82210" w:rsidRPr="000A1EDD">
        <w:rPr>
          <w:rFonts w:asciiTheme="majorBidi" w:hAnsiTheme="majorBidi" w:cstheme="majorBidi"/>
          <w:lang w:eastAsia="en-GB"/>
        </w:rPr>
        <w:t xml:space="preserve"> according to which the authorities do not routinely persecute or harass members of opposition parties, the </w:t>
      </w:r>
      <w:r w:rsidR="00D57CD5" w:rsidRPr="000A1EDD">
        <w:rPr>
          <w:rFonts w:asciiTheme="majorBidi" w:hAnsiTheme="majorBidi" w:cstheme="majorBidi"/>
          <w:lang w:eastAsia="en-GB"/>
        </w:rPr>
        <w:t>State party</w:t>
      </w:r>
      <w:r w:rsidR="00A82210" w:rsidRPr="000A1EDD">
        <w:rPr>
          <w:rFonts w:asciiTheme="majorBidi" w:hAnsiTheme="majorBidi" w:cstheme="majorBidi"/>
          <w:lang w:eastAsia="en-GB"/>
        </w:rPr>
        <w:t xml:space="preserve"> shares the view of the Migration Agency that </w:t>
      </w:r>
      <w:r w:rsidR="00D57CD5" w:rsidRPr="000A1EDD">
        <w:rPr>
          <w:rFonts w:asciiTheme="majorBidi" w:hAnsiTheme="majorBidi" w:cstheme="majorBidi"/>
          <w:lang w:eastAsia="en-GB"/>
        </w:rPr>
        <w:t>the complainant</w:t>
      </w:r>
      <w:r w:rsidR="00A82210" w:rsidRPr="000A1EDD">
        <w:rPr>
          <w:rFonts w:asciiTheme="majorBidi" w:hAnsiTheme="majorBidi" w:cstheme="majorBidi"/>
          <w:lang w:eastAsia="en-GB"/>
        </w:rPr>
        <w:t xml:space="preserve"> has not submitted a plausible explanation </w:t>
      </w:r>
      <w:r w:rsidR="00A418FB" w:rsidRPr="000A1EDD">
        <w:rPr>
          <w:rFonts w:asciiTheme="majorBidi" w:hAnsiTheme="majorBidi" w:cstheme="majorBidi"/>
          <w:lang w:eastAsia="en-GB"/>
        </w:rPr>
        <w:t xml:space="preserve">as to </w:t>
      </w:r>
      <w:r w:rsidR="00A82210" w:rsidRPr="000A1EDD">
        <w:rPr>
          <w:rFonts w:asciiTheme="majorBidi" w:hAnsiTheme="majorBidi" w:cstheme="majorBidi"/>
          <w:lang w:eastAsia="en-GB"/>
        </w:rPr>
        <w:t xml:space="preserve">why he did not contact the authorities in his country of origin himself. </w:t>
      </w:r>
      <w:r w:rsidR="00D57CD5" w:rsidRPr="000A1EDD">
        <w:rPr>
          <w:rFonts w:asciiTheme="majorBidi" w:hAnsiTheme="majorBidi" w:cstheme="majorBidi"/>
          <w:lang w:eastAsia="en-GB"/>
        </w:rPr>
        <w:t xml:space="preserve">The State party also </w:t>
      </w:r>
      <w:r w:rsidR="00283575" w:rsidRPr="000A1EDD">
        <w:rPr>
          <w:rFonts w:asciiTheme="majorBidi" w:hAnsiTheme="majorBidi" w:cstheme="majorBidi"/>
          <w:lang w:eastAsia="en-GB"/>
        </w:rPr>
        <w:t xml:space="preserve">emphasizes </w:t>
      </w:r>
      <w:r w:rsidR="00D57CD5" w:rsidRPr="000A1EDD">
        <w:rPr>
          <w:rFonts w:asciiTheme="majorBidi" w:hAnsiTheme="majorBidi" w:cstheme="majorBidi"/>
          <w:lang w:eastAsia="en-GB"/>
        </w:rPr>
        <w:t>that t</w:t>
      </w:r>
      <w:r w:rsidR="00A82210" w:rsidRPr="000A1EDD">
        <w:rPr>
          <w:rFonts w:asciiTheme="majorBidi" w:hAnsiTheme="majorBidi" w:cstheme="majorBidi"/>
          <w:lang w:eastAsia="en-GB"/>
        </w:rPr>
        <w:t xml:space="preserve">he Migration Agency found it </w:t>
      </w:r>
      <w:r w:rsidR="00D57CD5" w:rsidRPr="000A1EDD">
        <w:rPr>
          <w:rFonts w:asciiTheme="majorBidi" w:hAnsiTheme="majorBidi" w:cstheme="majorBidi"/>
          <w:lang w:eastAsia="en-GB"/>
        </w:rPr>
        <w:t>odd</w:t>
      </w:r>
      <w:r w:rsidR="00A82210" w:rsidRPr="000A1EDD">
        <w:rPr>
          <w:rFonts w:asciiTheme="majorBidi" w:hAnsiTheme="majorBidi" w:cstheme="majorBidi"/>
          <w:lang w:eastAsia="en-GB"/>
        </w:rPr>
        <w:t xml:space="preserve"> that the report filed is, according to the complainant, an open case with the authorities in his country, despite the fact that he has never been interviewed by the authorities about </w:t>
      </w:r>
      <w:r w:rsidR="00283575" w:rsidRPr="000A1EDD">
        <w:rPr>
          <w:rFonts w:asciiTheme="majorBidi" w:hAnsiTheme="majorBidi" w:cstheme="majorBidi"/>
          <w:lang w:eastAsia="en-GB"/>
        </w:rPr>
        <w:t xml:space="preserve">the </w:t>
      </w:r>
      <w:r w:rsidR="00A82210" w:rsidRPr="000A1EDD">
        <w:rPr>
          <w:rFonts w:asciiTheme="majorBidi" w:hAnsiTheme="majorBidi" w:cstheme="majorBidi"/>
          <w:lang w:eastAsia="en-GB"/>
        </w:rPr>
        <w:t xml:space="preserve">alleged offences committed against him. </w:t>
      </w:r>
    </w:p>
    <w:p w:rsidR="00546C7E" w:rsidRPr="000A1EDD" w:rsidRDefault="00A82210" w:rsidP="008752DC">
      <w:pPr>
        <w:pStyle w:val="SingleTxtG"/>
        <w:rPr>
          <w:rFonts w:asciiTheme="majorBidi" w:hAnsiTheme="majorBidi" w:cstheme="majorBidi"/>
          <w:lang w:eastAsia="en-GB"/>
        </w:rPr>
      </w:pPr>
      <w:r w:rsidRPr="000A1EDD">
        <w:rPr>
          <w:rFonts w:asciiTheme="majorBidi" w:hAnsiTheme="majorBidi" w:cstheme="majorBidi"/>
          <w:lang w:eastAsia="en-GB"/>
        </w:rPr>
        <w:t>4.2</w:t>
      </w:r>
      <w:r w:rsidR="000E0066" w:rsidRPr="000A1EDD">
        <w:rPr>
          <w:rFonts w:asciiTheme="majorBidi" w:hAnsiTheme="majorBidi" w:cstheme="majorBidi"/>
          <w:lang w:eastAsia="en-GB"/>
        </w:rPr>
        <w:t>5</w:t>
      </w:r>
      <w:r w:rsidRPr="000A1EDD">
        <w:rPr>
          <w:rFonts w:asciiTheme="majorBidi" w:hAnsiTheme="majorBidi" w:cstheme="majorBidi"/>
          <w:lang w:eastAsia="en-GB"/>
        </w:rPr>
        <w:t xml:space="preserve"> </w:t>
      </w:r>
      <w:r w:rsidR="008752DC" w:rsidRPr="000A1EDD">
        <w:rPr>
          <w:rFonts w:asciiTheme="majorBidi" w:hAnsiTheme="majorBidi" w:cstheme="majorBidi"/>
          <w:lang w:eastAsia="en-GB"/>
        </w:rPr>
        <w:tab/>
      </w:r>
      <w:r w:rsidR="00546C7E" w:rsidRPr="000A1EDD">
        <w:rPr>
          <w:rFonts w:asciiTheme="majorBidi" w:hAnsiTheme="majorBidi" w:cstheme="majorBidi"/>
          <w:lang w:eastAsia="en-GB"/>
        </w:rPr>
        <w:t xml:space="preserve">In </w:t>
      </w:r>
      <w:r w:rsidR="00344369" w:rsidRPr="000A1EDD">
        <w:rPr>
          <w:rFonts w:asciiTheme="majorBidi" w:hAnsiTheme="majorBidi" w:cstheme="majorBidi"/>
          <w:lang w:eastAsia="en-GB"/>
        </w:rPr>
        <w:t xml:space="preserve">the </w:t>
      </w:r>
      <w:r w:rsidR="00546C7E" w:rsidRPr="000A1EDD">
        <w:rPr>
          <w:rFonts w:asciiTheme="majorBidi" w:hAnsiTheme="majorBidi" w:cstheme="majorBidi"/>
          <w:lang w:eastAsia="en-GB"/>
        </w:rPr>
        <w:t xml:space="preserve">light of the foregoing, the State party maintains that the present </w:t>
      </w:r>
      <w:r w:rsidR="00F3585E" w:rsidRPr="000A1EDD">
        <w:rPr>
          <w:rFonts w:asciiTheme="majorBidi" w:hAnsiTheme="majorBidi" w:cstheme="majorBidi"/>
          <w:lang w:eastAsia="en-GB"/>
        </w:rPr>
        <w:t>complaint</w:t>
      </w:r>
      <w:r w:rsidR="00546C7E" w:rsidRPr="000A1EDD">
        <w:rPr>
          <w:rFonts w:asciiTheme="majorBidi" w:hAnsiTheme="majorBidi" w:cstheme="majorBidi"/>
          <w:lang w:eastAsia="en-GB"/>
        </w:rPr>
        <w:t xml:space="preserve"> should be declared inadmissible under article 22 </w:t>
      </w:r>
      <w:r w:rsidR="00EE6527" w:rsidRPr="000A1EDD">
        <w:rPr>
          <w:rFonts w:asciiTheme="majorBidi" w:hAnsiTheme="majorBidi" w:cstheme="majorBidi"/>
          <w:lang w:eastAsia="en-GB"/>
        </w:rPr>
        <w:t>(</w:t>
      </w:r>
      <w:r w:rsidR="00546C7E" w:rsidRPr="000A1EDD">
        <w:rPr>
          <w:rFonts w:asciiTheme="majorBidi" w:hAnsiTheme="majorBidi" w:cstheme="majorBidi"/>
          <w:lang w:eastAsia="en-GB"/>
        </w:rPr>
        <w:t>5</w:t>
      </w:r>
      <w:r w:rsidR="00EE6527" w:rsidRPr="000A1EDD">
        <w:rPr>
          <w:rFonts w:asciiTheme="majorBidi" w:hAnsiTheme="majorBidi" w:cstheme="majorBidi"/>
          <w:lang w:eastAsia="en-GB"/>
        </w:rPr>
        <w:t>)</w:t>
      </w:r>
      <w:r w:rsidR="00283575" w:rsidRPr="000A1EDD">
        <w:rPr>
          <w:rFonts w:asciiTheme="majorBidi" w:hAnsiTheme="majorBidi" w:cstheme="majorBidi"/>
          <w:lang w:eastAsia="en-GB"/>
        </w:rPr>
        <w:t xml:space="preserve"> </w:t>
      </w:r>
      <w:r w:rsidR="00546C7E" w:rsidRPr="000A1EDD">
        <w:rPr>
          <w:rFonts w:asciiTheme="majorBidi" w:hAnsiTheme="majorBidi" w:cstheme="majorBidi"/>
          <w:lang w:eastAsia="en-GB"/>
        </w:rPr>
        <w:t>(a)</w:t>
      </w:r>
      <w:r w:rsidR="00283575" w:rsidRPr="000A1EDD">
        <w:rPr>
          <w:rFonts w:asciiTheme="majorBidi" w:hAnsiTheme="majorBidi" w:cstheme="majorBidi"/>
          <w:lang w:eastAsia="en-GB"/>
        </w:rPr>
        <w:t xml:space="preserve"> </w:t>
      </w:r>
      <w:r w:rsidR="00546C7E" w:rsidRPr="000A1EDD">
        <w:rPr>
          <w:rFonts w:asciiTheme="majorBidi" w:hAnsiTheme="majorBidi" w:cstheme="majorBidi"/>
          <w:lang w:eastAsia="en-GB"/>
        </w:rPr>
        <w:t>of the Convention</w:t>
      </w:r>
      <w:r w:rsidR="00283575" w:rsidRPr="000A1EDD">
        <w:rPr>
          <w:rFonts w:asciiTheme="majorBidi" w:hAnsiTheme="majorBidi" w:cstheme="majorBidi"/>
          <w:lang w:eastAsia="en-GB"/>
        </w:rPr>
        <w:t>,</w:t>
      </w:r>
      <w:r w:rsidR="00546C7E" w:rsidRPr="000A1EDD">
        <w:rPr>
          <w:rFonts w:asciiTheme="majorBidi" w:hAnsiTheme="majorBidi" w:cstheme="majorBidi"/>
          <w:lang w:eastAsia="en-GB"/>
        </w:rPr>
        <w:t xml:space="preserve"> as the same matter has been examined under another procedure of international investigation</w:t>
      </w:r>
      <w:r w:rsidR="00283575" w:rsidRPr="000A1EDD">
        <w:rPr>
          <w:rFonts w:asciiTheme="majorBidi" w:hAnsiTheme="majorBidi" w:cstheme="majorBidi"/>
          <w:lang w:eastAsia="en-GB"/>
        </w:rPr>
        <w:t>;</w:t>
      </w:r>
      <w:r w:rsidR="00546C7E" w:rsidRPr="000A1EDD">
        <w:rPr>
          <w:rFonts w:asciiTheme="majorBidi" w:hAnsiTheme="majorBidi" w:cstheme="majorBidi"/>
          <w:lang w:eastAsia="en-GB"/>
        </w:rPr>
        <w:t xml:space="preserve"> or </w:t>
      </w:r>
      <w:r w:rsidR="00283575" w:rsidRPr="000A1EDD">
        <w:rPr>
          <w:rFonts w:asciiTheme="majorBidi" w:hAnsiTheme="majorBidi" w:cstheme="majorBidi"/>
          <w:lang w:eastAsia="en-GB"/>
        </w:rPr>
        <w:t xml:space="preserve">under article 22 </w:t>
      </w:r>
      <w:r w:rsidR="00EE6527" w:rsidRPr="000A1EDD">
        <w:rPr>
          <w:rFonts w:asciiTheme="majorBidi" w:hAnsiTheme="majorBidi" w:cstheme="majorBidi"/>
          <w:lang w:eastAsia="en-GB"/>
        </w:rPr>
        <w:t>(</w:t>
      </w:r>
      <w:r w:rsidR="00283575" w:rsidRPr="000A1EDD">
        <w:rPr>
          <w:rFonts w:asciiTheme="majorBidi" w:hAnsiTheme="majorBidi" w:cstheme="majorBidi"/>
          <w:lang w:eastAsia="en-GB"/>
        </w:rPr>
        <w:t>2</w:t>
      </w:r>
      <w:r w:rsidR="00EE6527" w:rsidRPr="000A1EDD">
        <w:rPr>
          <w:rFonts w:asciiTheme="majorBidi" w:hAnsiTheme="majorBidi" w:cstheme="majorBidi"/>
          <w:lang w:eastAsia="en-GB"/>
        </w:rPr>
        <w:t>)</w:t>
      </w:r>
      <w:r w:rsidR="00283575" w:rsidRPr="000A1EDD">
        <w:rPr>
          <w:rFonts w:asciiTheme="majorBidi" w:hAnsiTheme="majorBidi" w:cstheme="majorBidi"/>
          <w:lang w:eastAsia="en-GB"/>
        </w:rPr>
        <w:t xml:space="preserve"> for </w:t>
      </w:r>
      <w:r w:rsidR="00546C7E" w:rsidRPr="000A1EDD">
        <w:rPr>
          <w:rFonts w:asciiTheme="majorBidi" w:hAnsiTheme="majorBidi" w:cstheme="majorBidi"/>
          <w:lang w:eastAsia="en-GB"/>
        </w:rPr>
        <w:t xml:space="preserve">being manifestly unfounded. In the alternative, the State party submits that the present </w:t>
      </w:r>
      <w:r w:rsidR="00F3585E" w:rsidRPr="000A1EDD">
        <w:rPr>
          <w:rFonts w:asciiTheme="majorBidi" w:hAnsiTheme="majorBidi" w:cstheme="majorBidi"/>
          <w:lang w:eastAsia="en-GB"/>
        </w:rPr>
        <w:t>complaint</w:t>
      </w:r>
      <w:r w:rsidR="00546C7E" w:rsidRPr="000A1EDD">
        <w:rPr>
          <w:rFonts w:asciiTheme="majorBidi" w:hAnsiTheme="majorBidi" w:cstheme="majorBidi"/>
          <w:lang w:eastAsia="en-GB"/>
        </w:rPr>
        <w:t xml:space="preserve"> reveals no violation of the Convention. </w:t>
      </w:r>
    </w:p>
    <w:p w:rsidR="00A82210" w:rsidRPr="000A1EDD" w:rsidRDefault="00C51347" w:rsidP="000A1EDD">
      <w:pPr>
        <w:pStyle w:val="H23G"/>
        <w:rPr>
          <w:snapToGrid w:val="0"/>
        </w:rPr>
      </w:pPr>
      <w:r>
        <w:rPr>
          <w:snapToGrid w:val="0"/>
        </w:rPr>
        <w:tab/>
      </w:r>
      <w:r>
        <w:rPr>
          <w:snapToGrid w:val="0"/>
        </w:rPr>
        <w:tab/>
      </w:r>
      <w:r w:rsidR="00283575" w:rsidRPr="00C51347">
        <w:rPr>
          <w:snapToGrid w:val="0"/>
        </w:rPr>
        <w:t xml:space="preserve">Additional </w:t>
      </w:r>
      <w:r w:rsidR="00EE6FB9" w:rsidRPr="000A1EDD">
        <w:rPr>
          <w:snapToGrid w:val="0"/>
        </w:rPr>
        <w:t>submissions by the parties</w:t>
      </w:r>
    </w:p>
    <w:p w:rsidR="00EE6FB9" w:rsidRPr="000A1EDD" w:rsidRDefault="00EE6FB9" w:rsidP="008752DC">
      <w:pPr>
        <w:pStyle w:val="SingleTxtG"/>
        <w:rPr>
          <w:rFonts w:asciiTheme="majorBidi" w:hAnsiTheme="majorBidi" w:cstheme="majorBidi"/>
          <w:snapToGrid w:val="0"/>
        </w:rPr>
      </w:pPr>
      <w:r w:rsidRPr="000A1EDD">
        <w:rPr>
          <w:rFonts w:asciiTheme="majorBidi" w:hAnsiTheme="majorBidi" w:cstheme="majorBidi"/>
          <w:snapToGrid w:val="0"/>
        </w:rPr>
        <w:t xml:space="preserve">5.1 </w:t>
      </w:r>
      <w:r w:rsidR="008752DC" w:rsidRPr="000A1EDD">
        <w:rPr>
          <w:rFonts w:asciiTheme="majorBidi" w:hAnsiTheme="majorBidi" w:cstheme="majorBidi"/>
          <w:snapToGrid w:val="0"/>
        </w:rPr>
        <w:tab/>
      </w:r>
      <w:r w:rsidR="002B5F00" w:rsidRPr="000A1EDD">
        <w:rPr>
          <w:rFonts w:asciiTheme="majorBidi" w:hAnsiTheme="majorBidi" w:cstheme="majorBidi"/>
          <w:snapToGrid w:val="0"/>
        </w:rPr>
        <w:t>On 10 August 2015, the complainant note</w:t>
      </w:r>
      <w:r w:rsidR="0041380F" w:rsidRPr="000A1EDD">
        <w:rPr>
          <w:rFonts w:asciiTheme="majorBidi" w:hAnsiTheme="majorBidi" w:cstheme="majorBidi"/>
          <w:snapToGrid w:val="0"/>
        </w:rPr>
        <w:t>d</w:t>
      </w:r>
      <w:r w:rsidR="002B5F00" w:rsidRPr="000A1EDD">
        <w:rPr>
          <w:rFonts w:asciiTheme="majorBidi" w:hAnsiTheme="majorBidi" w:cstheme="majorBidi"/>
          <w:snapToGrid w:val="0"/>
        </w:rPr>
        <w:t xml:space="preserve"> that even though his </w:t>
      </w:r>
      <w:r w:rsidR="003C2020" w:rsidRPr="000A1EDD">
        <w:rPr>
          <w:rFonts w:asciiTheme="majorBidi" w:hAnsiTheme="majorBidi" w:cstheme="majorBidi"/>
          <w:snapToGrid w:val="0"/>
        </w:rPr>
        <w:t xml:space="preserve">application to the </w:t>
      </w:r>
      <w:r w:rsidR="00283575" w:rsidRPr="000A1EDD">
        <w:rPr>
          <w:rFonts w:asciiTheme="majorBidi" w:hAnsiTheme="majorBidi" w:cstheme="majorBidi"/>
          <w:lang w:eastAsia="en-GB"/>
        </w:rPr>
        <w:t xml:space="preserve">European Court of Human Rights </w:t>
      </w:r>
      <w:r w:rsidR="002B5F00" w:rsidRPr="000A1EDD">
        <w:rPr>
          <w:rFonts w:asciiTheme="majorBidi" w:hAnsiTheme="majorBidi" w:cstheme="majorBidi"/>
          <w:snapToGrid w:val="0"/>
        </w:rPr>
        <w:t>concerned the same matter as the present communication, nevertheless</w:t>
      </w:r>
      <w:r w:rsidR="003C2020" w:rsidRPr="000A1EDD">
        <w:rPr>
          <w:rFonts w:asciiTheme="majorBidi" w:hAnsiTheme="majorBidi" w:cstheme="majorBidi"/>
          <w:snapToGrid w:val="0"/>
        </w:rPr>
        <w:t xml:space="preserve"> there </w:t>
      </w:r>
      <w:r w:rsidR="0041380F" w:rsidRPr="000A1EDD">
        <w:rPr>
          <w:rFonts w:asciiTheme="majorBidi" w:hAnsiTheme="majorBidi" w:cstheme="majorBidi"/>
          <w:snapToGrid w:val="0"/>
        </w:rPr>
        <w:t>was</w:t>
      </w:r>
      <w:r w:rsidR="003C2020" w:rsidRPr="000A1EDD">
        <w:rPr>
          <w:rFonts w:asciiTheme="majorBidi" w:hAnsiTheme="majorBidi" w:cstheme="majorBidi"/>
          <w:snapToGrid w:val="0"/>
        </w:rPr>
        <w:t xml:space="preserve"> nothing in the letter </w:t>
      </w:r>
      <w:r w:rsidR="00283575" w:rsidRPr="000A1EDD">
        <w:rPr>
          <w:rFonts w:asciiTheme="majorBidi" w:hAnsiTheme="majorBidi" w:cstheme="majorBidi"/>
          <w:snapToGrid w:val="0"/>
        </w:rPr>
        <w:t xml:space="preserve">from the Court </w:t>
      </w:r>
      <w:r w:rsidR="003C2020" w:rsidRPr="000A1EDD">
        <w:rPr>
          <w:rFonts w:asciiTheme="majorBidi" w:hAnsiTheme="majorBidi" w:cstheme="majorBidi"/>
          <w:snapToGrid w:val="0"/>
        </w:rPr>
        <w:t xml:space="preserve">clearly indicating that </w:t>
      </w:r>
      <w:r w:rsidR="000352A5" w:rsidRPr="000A1EDD">
        <w:rPr>
          <w:rFonts w:asciiTheme="majorBidi" w:hAnsiTheme="majorBidi" w:cstheme="majorBidi"/>
          <w:snapToGrid w:val="0"/>
        </w:rPr>
        <w:t xml:space="preserve">his </w:t>
      </w:r>
      <w:r w:rsidR="003C2020" w:rsidRPr="000A1EDD">
        <w:rPr>
          <w:rFonts w:asciiTheme="majorBidi" w:hAnsiTheme="majorBidi" w:cstheme="majorBidi"/>
          <w:snapToGrid w:val="0"/>
        </w:rPr>
        <w:t>application was declared inadmissible for reasons related to substance</w:t>
      </w:r>
      <w:r w:rsidR="00283575" w:rsidRPr="000A1EDD">
        <w:rPr>
          <w:rFonts w:asciiTheme="majorBidi" w:hAnsiTheme="majorBidi" w:cstheme="majorBidi"/>
          <w:snapToGrid w:val="0"/>
        </w:rPr>
        <w:t>,</w:t>
      </w:r>
      <w:r w:rsidR="003C2020" w:rsidRPr="000A1EDD">
        <w:rPr>
          <w:rFonts w:asciiTheme="majorBidi" w:hAnsiTheme="majorBidi" w:cstheme="majorBidi"/>
          <w:snapToGrid w:val="0"/>
        </w:rPr>
        <w:t xml:space="preserve"> rather than on procedural</w:t>
      </w:r>
      <w:r w:rsidR="006B2446" w:rsidRPr="000A1EDD">
        <w:rPr>
          <w:rFonts w:asciiTheme="majorBidi" w:hAnsiTheme="majorBidi" w:cstheme="majorBidi"/>
          <w:snapToGrid w:val="0"/>
        </w:rPr>
        <w:t xml:space="preserve"> grounds</w:t>
      </w:r>
      <w:r w:rsidR="00283575" w:rsidRPr="000A1EDD">
        <w:rPr>
          <w:rFonts w:asciiTheme="majorBidi" w:hAnsiTheme="majorBidi" w:cstheme="majorBidi"/>
          <w:snapToGrid w:val="0"/>
        </w:rPr>
        <w:t>,</w:t>
      </w:r>
      <w:r w:rsidR="006B2446" w:rsidRPr="000A1EDD">
        <w:rPr>
          <w:rFonts w:asciiTheme="majorBidi" w:hAnsiTheme="majorBidi" w:cstheme="majorBidi"/>
          <w:snapToGrid w:val="0"/>
        </w:rPr>
        <w:t xml:space="preserve"> and that the application was decided on the merits.</w:t>
      </w:r>
      <w:r w:rsidR="00330952" w:rsidRPr="000A1EDD">
        <w:rPr>
          <w:rFonts w:asciiTheme="majorBidi" w:hAnsiTheme="majorBidi" w:cstheme="majorBidi"/>
          <w:snapToGrid w:val="0"/>
        </w:rPr>
        <w:t xml:space="preserve"> According to the complainant, the </w:t>
      </w:r>
      <w:r w:rsidR="00283575" w:rsidRPr="000A1EDD">
        <w:rPr>
          <w:rFonts w:asciiTheme="majorBidi" w:hAnsiTheme="majorBidi" w:cstheme="majorBidi"/>
          <w:snapToGrid w:val="0"/>
        </w:rPr>
        <w:t xml:space="preserve">Court </w:t>
      </w:r>
      <w:r w:rsidR="00330952" w:rsidRPr="000A1EDD">
        <w:rPr>
          <w:rFonts w:asciiTheme="majorBidi" w:hAnsiTheme="majorBidi" w:cstheme="majorBidi"/>
          <w:snapToGrid w:val="0"/>
        </w:rPr>
        <w:t>did not use its usual wording</w:t>
      </w:r>
      <w:r w:rsidR="00283575" w:rsidRPr="000A1EDD">
        <w:rPr>
          <w:rFonts w:asciiTheme="majorBidi" w:hAnsiTheme="majorBidi" w:cstheme="majorBidi"/>
          <w:snapToGrid w:val="0"/>
        </w:rPr>
        <w:t>, namely</w:t>
      </w:r>
      <w:r w:rsidR="00330952" w:rsidRPr="000A1EDD">
        <w:rPr>
          <w:rFonts w:asciiTheme="majorBidi" w:hAnsiTheme="majorBidi" w:cstheme="majorBidi"/>
          <w:snapToGrid w:val="0"/>
        </w:rPr>
        <w:t xml:space="preserve"> that the complainant’s claims were manifestly ill-founded.</w:t>
      </w:r>
    </w:p>
    <w:p w:rsidR="006B2446" w:rsidRPr="000A1EDD" w:rsidRDefault="006B2446" w:rsidP="008752DC">
      <w:pPr>
        <w:pStyle w:val="SingleTxtG"/>
        <w:rPr>
          <w:rFonts w:asciiTheme="majorBidi" w:hAnsiTheme="majorBidi" w:cstheme="majorBidi"/>
          <w:snapToGrid w:val="0"/>
        </w:rPr>
      </w:pPr>
      <w:r w:rsidRPr="000A1EDD">
        <w:rPr>
          <w:rFonts w:asciiTheme="majorBidi" w:hAnsiTheme="majorBidi" w:cstheme="majorBidi"/>
          <w:snapToGrid w:val="0"/>
        </w:rPr>
        <w:t xml:space="preserve">5.2 </w:t>
      </w:r>
      <w:r w:rsidR="008752DC" w:rsidRPr="000A1EDD">
        <w:rPr>
          <w:rFonts w:asciiTheme="majorBidi" w:hAnsiTheme="majorBidi" w:cstheme="majorBidi"/>
          <w:snapToGrid w:val="0"/>
        </w:rPr>
        <w:tab/>
      </w:r>
      <w:r w:rsidR="005B4393" w:rsidRPr="000A1EDD">
        <w:rPr>
          <w:rFonts w:asciiTheme="majorBidi" w:hAnsiTheme="majorBidi" w:cstheme="majorBidi"/>
          <w:snapToGrid w:val="0"/>
        </w:rPr>
        <w:t>The complainant further notes that the State party has referred to a number of reports on the general human rights situation in Bangladesh</w:t>
      </w:r>
      <w:r w:rsidR="000352A5" w:rsidRPr="000A1EDD">
        <w:rPr>
          <w:rFonts w:asciiTheme="majorBidi" w:hAnsiTheme="majorBidi" w:cstheme="majorBidi"/>
          <w:snapToGrid w:val="0"/>
        </w:rPr>
        <w:t>, but it did</w:t>
      </w:r>
      <w:r w:rsidR="005B4393" w:rsidRPr="000A1EDD">
        <w:rPr>
          <w:rFonts w:asciiTheme="majorBidi" w:hAnsiTheme="majorBidi" w:cstheme="majorBidi"/>
          <w:snapToGrid w:val="0"/>
        </w:rPr>
        <w:t xml:space="preserve"> not refer to a Human Rights Watch</w:t>
      </w:r>
      <w:r w:rsidR="00283575" w:rsidRPr="000A1EDD">
        <w:rPr>
          <w:rFonts w:asciiTheme="majorBidi" w:hAnsiTheme="majorBidi" w:cstheme="majorBidi"/>
          <w:snapToGrid w:val="0"/>
        </w:rPr>
        <w:t xml:space="preserve"> report entitled</w:t>
      </w:r>
      <w:r w:rsidR="005B4393" w:rsidRPr="000A1EDD">
        <w:rPr>
          <w:rFonts w:asciiTheme="majorBidi" w:hAnsiTheme="majorBidi" w:cstheme="majorBidi"/>
          <w:snapToGrid w:val="0"/>
        </w:rPr>
        <w:t xml:space="preserve"> “World </w:t>
      </w:r>
      <w:r w:rsidR="00283575" w:rsidRPr="000A1EDD">
        <w:rPr>
          <w:rFonts w:asciiTheme="majorBidi" w:hAnsiTheme="majorBidi" w:cstheme="majorBidi"/>
          <w:snapToGrid w:val="0"/>
        </w:rPr>
        <w:t>report 2015</w:t>
      </w:r>
      <w:r w:rsidR="005B4393" w:rsidRPr="000A1EDD">
        <w:rPr>
          <w:rFonts w:asciiTheme="majorBidi" w:hAnsiTheme="majorBidi" w:cstheme="majorBidi"/>
          <w:snapToGrid w:val="0"/>
        </w:rPr>
        <w:t>:</w:t>
      </w:r>
      <w:r w:rsidR="00D20AA2" w:rsidRPr="000A1EDD">
        <w:rPr>
          <w:rFonts w:asciiTheme="majorBidi" w:hAnsiTheme="majorBidi" w:cstheme="majorBidi"/>
          <w:snapToGrid w:val="0"/>
        </w:rPr>
        <w:t xml:space="preserve"> </w:t>
      </w:r>
      <w:r w:rsidR="005B4393" w:rsidRPr="000A1EDD">
        <w:rPr>
          <w:rFonts w:asciiTheme="majorBidi" w:hAnsiTheme="majorBidi" w:cstheme="majorBidi"/>
          <w:snapToGrid w:val="0"/>
        </w:rPr>
        <w:t>Bangladesh”, which ha</w:t>
      </w:r>
      <w:r w:rsidR="00283575" w:rsidRPr="000A1EDD">
        <w:rPr>
          <w:rFonts w:asciiTheme="majorBidi" w:hAnsiTheme="majorBidi" w:cstheme="majorBidi"/>
          <w:snapToGrid w:val="0"/>
        </w:rPr>
        <w:t>d</w:t>
      </w:r>
      <w:r w:rsidR="005B4393" w:rsidRPr="000A1EDD">
        <w:rPr>
          <w:rFonts w:asciiTheme="majorBidi" w:hAnsiTheme="majorBidi" w:cstheme="majorBidi"/>
          <w:snapToGrid w:val="0"/>
        </w:rPr>
        <w:t xml:space="preserve"> already been released in January 2015, when the State party submitted its observations. </w:t>
      </w:r>
      <w:r w:rsidR="000352A5" w:rsidRPr="000A1EDD">
        <w:rPr>
          <w:rFonts w:asciiTheme="majorBidi" w:hAnsiTheme="majorBidi" w:cstheme="majorBidi"/>
          <w:snapToGrid w:val="0"/>
        </w:rPr>
        <w:t xml:space="preserve">He </w:t>
      </w:r>
      <w:r w:rsidR="005B4393" w:rsidRPr="000A1EDD">
        <w:rPr>
          <w:rFonts w:asciiTheme="majorBidi" w:hAnsiTheme="majorBidi" w:cstheme="majorBidi"/>
          <w:snapToGrid w:val="0"/>
        </w:rPr>
        <w:t xml:space="preserve">adds that another more recent report on the situation in Bangladesh </w:t>
      </w:r>
      <w:r w:rsidR="00283575" w:rsidRPr="000A1EDD">
        <w:rPr>
          <w:rFonts w:asciiTheme="majorBidi" w:hAnsiTheme="majorBidi" w:cstheme="majorBidi"/>
          <w:snapToGrid w:val="0"/>
        </w:rPr>
        <w:t>was</w:t>
      </w:r>
      <w:r w:rsidR="005B4393" w:rsidRPr="000A1EDD">
        <w:rPr>
          <w:rFonts w:asciiTheme="majorBidi" w:hAnsiTheme="majorBidi" w:cstheme="majorBidi"/>
          <w:snapToGrid w:val="0"/>
        </w:rPr>
        <w:t xml:space="preserve"> released by the </w:t>
      </w:r>
      <w:r w:rsidR="00283575" w:rsidRPr="000A1EDD">
        <w:rPr>
          <w:rFonts w:asciiTheme="majorBidi" w:hAnsiTheme="majorBidi" w:cstheme="majorBidi"/>
          <w:snapToGrid w:val="0"/>
        </w:rPr>
        <w:t xml:space="preserve">United States </w:t>
      </w:r>
      <w:r w:rsidR="005B4393" w:rsidRPr="000A1EDD">
        <w:rPr>
          <w:rFonts w:asciiTheme="majorBidi" w:hAnsiTheme="majorBidi" w:cstheme="majorBidi"/>
          <w:snapToGrid w:val="0"/>
        </w:rPr>
        <w:t xml:space="preserve">Department of State on 25 June 2015 </w:t>
      </w:r>
      <w:r w:rsidR="00283575" w:rsidRPr="000A1EDD">
        <w:rPr>
          <w:rFonts w:asciiTheme="majorBidi" w:hAnsiTheme="majorBidi" w:cstheme="majorBidi"/>
          <w:snapToGrid w:val="0"/>
        </w:rPr>
        <w:t xml:space="preserve">entitled </w:t>
      </w:r>
      <w:r w:rsidR="005B4393" w:rsidRPr="000A1EDD">
        <w:rPr>
          <w:rFonts w:asciiTheme="majorBidi" w:hAnsiTheme="majorBidi" w:cstheme="majorBidi"/>
          <w:snapToGrid w:val="0"/>
        </w:rPr>
        <w:t xml:space="preserve">“Country </w:t>
      </w:r>
      <w:r w:rsidR="00283575" w:rsidRPr="000A1EDD">
        <w:rPr>
          <w:rFonts w:asciiTheme="majorBidi" w:hAnsiTheme="majorBidi" w:cstheme="majorBidi"/>
          <w:snapToGrid w:val="0"/>
        </w:rPr>
        <w:t xml:space="preserve">reports on human rights practices </w:t>
      </w:r>
      <w:r w:rsidR="005B4393" w:rsidRPr="000A1EDD">
        <w:rPr>
          <w:rFonts w:asciiTheme="majorBidi" w:hAnsiTheme="majorBidi" w:cstheme="majorBidi"/>
          <w:snapToGrid w:val="0"/>
        </w:rPr>
        <w:t xml:space="preserve">for 2014 – Bangladesh”. </w:t>
      </w:r>
      <w:r w:rsidR="000352A5" w:rsidRPr="000A1EDD">
        <w:rPr>
          <w:rFonts w:asciiTheme="majorBidi" w:hAnsiTheme="majorBidi" w:cstheme="majorBidi"/>
          <w:snapToGrid w:val="0"/>
        </w:rPr>
        <w:t>A</w:t>
      </w:r>
      <w:r w:rsidR="005B4393" w:rsidRPr="000A1EDD">
        <w:rPr>
          <w:rFonts w:asciiTheme="majorBidi" w:hAnsiTheme="majorBidi" w:cstheme="majorBidi"/>
          <w:snapToGrid w:val="0"/>
        </w:rPr>
        <w:t xml:space="preserve">ccording to the Human Rights Watch </w:t>
      </w:r>
      <w:r w:rsidR="00616074" w:rsidRPr="000A1EDD">
        <w:rPr>
          <w:rFonts w:asciiTheme="majorBidi" w:hAnsiTheme="majorBidi" w:cstheme="majorBidi"/>
          <w:snapToGrid w:val="0"/>
        </w:rPr>
        <w:t xml:space="preserve">report </w:t>
      </w:r>
      <w:r w:rsidR="005B4393" w:rsidRPr="000A1EDD">
        <w:rPr>
          <w:rFonts w:asciiTheme="majorBidi" w:hAnsiTheme="majorBidi" w:cstheme="majorBidi"/>
          <w:snapToGrid w:val="0"/>
        </w:rPr>
        <w:t xml:space="preserve">of January 2015, hundreds of people were killed and injured in violent attacks in connection with </w:t>
      </w:r>
      <w:r w:rsidR="000352A5" w:rsidRPr="000A1EDD">
        <w:rPr>
          <w:rFonts w:asciiTheme="majorBidi" w:hAnsiTheme="majorBidi" w:cstheme="majorBidi"/>
          <w:snapToGrid w:val="0"/>
        </w:rPr>
        <w:t xml:space="preserve">the </w:t>
      </w:r>
      <w:r w:rsidR="005B4393" w:rsidRPr="000A1EDD">
        <w:rPr>
          <w:rFonts w:asciiTheme="majorBidi" w:hAnsiTheme="majorBidi" w:cstheme="majorBidi"/>
          <w:snapToGrid w:val="0"/>
        </w:rPr>
        <w:t>elections in Bangladesh</w:t>
      </w:r>
      <w:r w:rsidR="00616074" w:rsidRPr="000A1EDD">
        <w:rPr>
          <w:rFonts w:asciiTheme="majorBidi" w:hAnsiTheme="majorBidi" w:cstheme="majorBidi"/>
          <w:snapToGrid w:val="0"/>
        </w:rPr>
        <w:t xml:space="preserve"> in January 2014</w:t>
      </w:r>
      <w:r w:rsidR="005B4393" w:rsidRPr="000A1EDD">
        <w:rPr>
          <w:rFonts w:asciiTheme="majorBidi" w:hAnsiTheme="majorBidi" w:cstheme="majorBidi"/>
          <w:snapToGrid w:val="0"/>
        </w:rPr>
        <w:t xml:space="preserve">. </w:t>
      </w:r>
      <w:r w:rsidR="00616074" w:rsidRPr="000A1EDD">
        <w:rPr>
          <w:rFonts w:asciiTheme="majorBidi" w:hAnsiTheme="majorBidi" w:cstheme="majorBidi"/>
          <w:snapToGrid w:val="0"/>
        </w:rPr>
        <w:t>The s</w:t>
      </w:r>
      <w:r w:rsidR="005B4393" w:rsidRPr="000A1EDD">
        <w:rPr>
          <w:rFonts w:asciiTheme="majorBidi" w:hAnsiTheme="majorBidi" w:cstheme="majorBidi"/>
          <w:snapToGrid w:val="0"/>
        </w:rPr>
        <w:t xml:space="preserve">ecurity forces carried out abductions, killings and arbitrary arrests, particularly targeting </w:t>
      </w:r>
      <w:r w:rsidR="000352A5" w:rsidRPr="000A1EDD">
        <w:rPr>
          <w:rFonts w:asciiTheme="majorBidi" w:hAnsiTheme="majorBidi" w:cstheme="majorBidi"/>
          <w:snapToGrid w:val="0"/>
        </w:rPr>
        <w:t xml:space="preserve">opposition </w:t>
      </w:r>
      <w:r w:rsidR="005B4393" w:rsidRPr="000A1EDD">
        <w:rPr>
          <w:rFonts w:asciiTheme="majorBidi" w:hAnsiTheme="majorBidi" w:cstheme="majorBidi"/>
          <w:snapToGrid w:val="0"/>
        </w:rPr>
        <w:t>leaders and th</w:t>
      </w:r>
      <w:r w:rsidR="000352A5" w:rsidRPr="000A1EDD">
        <w:rPr>
          <w:rFonts w:asciiTheme="majorBidi" w:hAnsiTheme="majorBidi" w:cstheme="majorBidi"/>
          <w:snapToGrid w:val="0"/>
        </w:rPr>
        <w:t xml:space="preserve">eir </w:t>
      </w:r>
      <w:r w:rsidR="005B4393" w:rsidRPr="000A1EDD">
        <w:rPr>
          <w:rFonts w:asciiTheme="majorBidi" w:hAnsiTheme="majorBidi" w:cstheme="majorBidi"/>
          <w:snapToGrid w:val="0"/>
        </w:rPr>
        <w:t>support</w:t>
      </w:r>
      <w:r w:rsidR="000352A5" w:rsidRPr="000A1EDD">
        <w:rPr>
          <w:rFonts w:asciiTheme="majorBidi" w:hAnsiTheme="majorBidi" w:cstheme="majorBidi"/>
          <w:snapToGrid w:val="0"/>
        </w:rPr>
        <w:t>ers</w:t>
      </w:r>
      <w:r w:rsidR="00616074" w:rsidRPr="000A1EDD">
        <w:rPr>
          <w:rFonts w:asciiTheme="majorBidi" w:hAnsiTheme="majorBidi" w:cstheme="majorBidi"/>
          <w:snapToGrid w:val="0"/>
        </w:rPr>
        <w:t>,</w:t>
      </w:r>
      <w:r w:rsidR="005B4393" w:rsidRPr="000A1EDD">
        <w:rPr>
          <w:rFonts w:asciiTheme="majorBidi" w:hAnsiTheme="majorBidi" w:cstheme="majorBidi"/>
          <w:snapToGrid w:val="0"/>
        </w:rPr>
        <w:t xml:space="preserve"> and unacceptable restrictions had been imposed on freedom of expression. Fu</w:t>
      </w:r>
      <w:r w:rsidR="000352A5" w:rsidRPr="000A1EDD">
        <w:rPr>
          <w:rFonts w:asciiTheme="majorBidi" w:hAnsiTheme="majorBidi" w:cstheme="majorBidi"/>
          <w:snapToGrid w:val="0"/>
        </w:rPr>
        <w:t>r</w:t>
      </w:r>
      <w:r w:rsidR="005B4393" w:rsidRPr="000A1EDD">
        <w:rPr>
          <w:rFonts w:asciiTheme="majorBidi" w:hAnsiTheme="majorBidi" w:cstheme="majorBidi"/>
          <w:snapToGrid w:val="0"/>
        </w:rPr>
        <w:t xml:space="preserve">ther, according to the Department of State report of June 2015, the most serious human rights violations during 2014 were extrajudicial killings and disappearances, </w:t>
      </w:r>
      <w:r w:rsidR="000352A5" w:rsidRPr="000A1EDD">
        <w:rPr>
          <w:rFonts w:asciiTheme="majorBidi" w:hAnsiTheme="majorBidi" w:cstheme="majorBidi"/>
          <w:snapToGrid w:val="0"/>
        </w:rPr>
        <w:t xml:space="preserve">and </w:t>
      </w:r>
      <w:r w:rsidR="005B4393" w:rsidRPr="000A1EDD">
        <w:rPr>
          <w:rFonts w:asciiTheme="majorBidi" w:hAnsiTheme="majorBidi" w:cstheme="majorBidi"/>
          <w:snapToGrid w:val="0"/>
        </w:rPr>
        <w:t>10 individuals had been tortured to death by the security forces. Th</w:t>
      </w:r>
      <w:r w:rsidR="00616074" w:rsidRPr="000A1EDD">
        <w:rPr>
          <w:rFonts w:asciiTheme="majorBidi" w:hAnsiTheme="majorBidi" w:cstheme="majorBidi"/>
          <w:snapToGrid w:val="0"/>
        </w:rPr>
        <w:t>at</w:t>
      </w:r>
      <w:r w:rsidR="005B4393" w:rsidRPr="000A1EDD">
        <w:rPr>
          <w:rFonts w:asciiTheme="majorBidi" w:hAnsiTheme="majorBidi" w:cstheme="majorBidi"/>
          <w:snapToGrid w:val="0"/>
        </w:rPr>
        <w:t xml:space="preserve"> general information, according to the </w:t>
      </w:r>
      <w:r w:rsidR="005B4393" w:rsidRPr="000A1EDD">
        <w:rPr>
          <w:rFonts w:asciiTheme="majorBidi" w:hAnsiTheme="majorBidi" w:cstheme="majorBidi"/>
          <w:snapToGrid w:val="0"/>
        </w:rPr>
        <w:lastRenderedPageBreak/>
        <w:t>complainant, is of great importance in assessing his personal risk of being subjected to treatment contrary to article 3 of the Convention upon return.</w:t>
      </w:r>
    </w:p>
    <w:p w:rsidR="005B4393" w:rsidRPr="000A1EDD" w:rsidRDefault="005B4393" w:rsidP="008752DC">
      <w:pPr>
        <w:pStyle w:val="SingleTxtG"/>
        <w:rPr>
          <w:rFonts w:asciiTheme="majorBidi" w:hAnsiTheme="majorBidi" w:cstheme="majorBidi"/>
          <w:snapToGrid w:val="0"/>
        </w:rPr>
      </w:pPr>
      <w:r w:rsidRPr="000A1EDD">
        <w:rPr>
          <w:rFonts w:asciiTheme="majorBidi" w:hAnsiTheme="majorBidi" w:cstheme="majorBidi"/>
          <w:snapToGrid w:val="0"/>
        </w:rPr>
        <w:t xml:space="preserve">5.3 </w:t>
      </w:r>
      <w:r w:rsidR="008752DC" w:rsidRPr="000A1EDD">
        <w:rPr>
          <w:rFonts w:asciiTheme="majorBidi" w:hAnsiTheme="majorBidi" w:cstheme="majorBidi"/>
          <w:snapToGrid w:val="0"/>
        </w:rPr>
        <w:tab/>
      </w:r>
      <w:r w:rsidR="000352A5" w:rsidRPr="000A1EDD">
        <w:rPr>
          <w:rFonts w:asciiTheme="majorBidi" w:hAnsiTheme="majorBidi" w:cstheme="majorBidi"/>
          <w:snapToGrid w:val="0"/>
        </w:rPr>
        <w:t>T</w:t>
      </w:r>
      <w:r w:rsidRPr="000A1EDD">
        <w:rPr>
          <w:rFonts w:asciiTheme="majorBidi" w:hAnsiTheme="majorBidi" w:cstheme="majorBidi"/>
          <w:snapToGrid w:val="0"/>
        </w:rPr>
        <w:t xml:space="preserve">he complainant </w:t>
      </w:r>
      <w:r w:rsidR="000352A5" w:rsidRPr="000A1EDD">
        <w:rPr>
          <w:rFonts w:asciiTheme="majorBidi" w:hAnsiTheme="majorBidi" w:cstheme="majorBidi"/>
          <w:snapToGrid w:val="0"/>
        </w:rPr>
        <w:t>adds</w:t>
      </w:r>
      <w:r w:rsidR="00F446DD" w:rsidRPr="000A1EDD">
        <w:rPr>
          <w:rFonts w:asciiTheme="majorBidi" w:hAnsiTheme="majorBidi" w:cstheme="majorBidi"/>
          <w:snapToGrid w:val="0"/>
        </w:rPr>
        <w:t xml:space="preserve"> </w:t>
      </w:r>
      <w:r w:rsidRPr="000A1EDD">
        <w:rPr>
          <w:rFonts w:asciiTheme="majorBidi" w:hAnsiTheme="majorBidi" w:cstheme="majorBidi"/>
          <w:snapToGrid w:val="0"/>
        </w:rPr>
        <w:t xml:space="preserve">that </w:t>
      </w:r>
      <w:r w:rsidR="00D14B5E" w:rsidRPr="000A1EDD">
        <w:rPr>
          <w:rFonts w:asciiTheme="majorBidi" w:hAnsiTheme="majorBidi" w:cstheme="majorBidi"/>
          <w:snapToGrid w:val="0"/>
        </w:rPr>
        <w:t xml:space="preserve">his asylum proceedings in the State party were neither accurate nor comprehensive. </w:t>
      </w:r>
      <w:r w:rsidR="00A46051" w:rsidRPr="000A1EDD">
        <w:rPr>
          <w:rFonts w:asciiTheme="majorBidi" w:hAnsiTheme="majorBidi" w:cstheme="majorBidi"/>
          <w:snapToGrid w:val="0"/>
        </w:rPr>
        <w:t>He</w:t>
      </w:r>
      <w:r w:rsidR="00D14B5E" w:rsidRPr="000A1EDD">
        <w:rPr>
          <w:rFonts w:asciiTheme="majorBidi" w:hAnsiTheme="majorBidi" w:cstheme="majorBidi"/>
          <w:snapToGrid w:val="0"/>
        </w:rPr>
        <w:t xml:space="preserve"> explains that </w:t>
      </w:r>
      <w:r w:rsidR="00A46051" w:rsidRPr="000A1EDD">
        <w:rPr>
          <w:rFonts w:asciiTheme="majorBidi" w:hAnsiTheme="majorBidi" w:cstheme="majorBidi"/>
          <w:snapToGrid w:val="0"/>
        </w:rPr>
        <w:t>his</w:t>
      </w:r>
      <w:r w:rsidR="00D14B5E" w:rsidRPr="000A1EDD">
        <w:rPr>
          <w:rFonts w:asciiTheme="majorBidi" w:hAnsiTheme="majorBidi" w:cstheme="majorBidi"/>
          <w:snapToGrid w:val="0"/>
        </w:rPr>
        <w:t xml:space="preserve"> first interview was very short and related to his registration as an asylum seeker; the second was a proper asylum interview and</w:t>
      </w:r>
      <w:r w:rsidR="00616074" w:rsidRPr="000A1EDD">
        <w:rPr>
          <w:rFonts w:asciiTheme="majorBidi" w:hAnsiTheme="majorBidi" w:cstheme="majorBidi"/>
          <w:snapToGrid w:val="0"/>
        </w:rPr>
        <w:t>,</w:t>
      </w:r>
      <w:r w:rsidR="00D14B5E" w:rsidRPr="000A1EDD">
        <w:rPr>
          <w:rFonts w:asciiTheme="majorBidi" w:hAnsiTheme="majorBidi" w:cstheme="majorBidi"/>
          <w:snapToGrid w:val="0"/>
        </w:rPr>
        <w:t xml:space="preserve"> according to Swedish asylum case</w:t>
      </w:r>
      <w:r w:rsidR="00616074" w:rsidRPr="000A1EDD">
        <w:rPr>
          <w:rFonts w:asciiTheme="majorBidi" w:hAnsiTheme="majorBidi" w:cstheme="majorBidi"/>
          <w:snapToGrid w:val="0"/>
        </w:rPr>
        <w:t xml:space="preserve"> </w:t>
      </w:r>
      <w:r w:rsidR="00D14B5E" w:rsidRPr="000A1EDD">
        <w:rPr>
          <w:rFonts w:asciiTheme="majorBidi" w:hAnsiTheme="majorBidi" w:cstheme="majorBidi"/>
          <w:snapToGrid w:val="0"/>
        </w:rPr>
        <w:t>law</w:t>
      </w:r>
      <w:r w:rsidR="00616074" w:rsidRPr="000A1EDD">
        <w:rPr>
          <w:rFonts w:asciiTheme="majorBidi" w:hAnsiTheme="majorBidi" w:cstheme="majorBidi"/>
          <w:snapToGrid w:val="0"/>
        </w:rPr>
        <w:t>,</w:t>
      </w:r>
      <w:r w:rsidR="00D14B5E" w:rsidRPr="000A1EDD">
        <w:rPr>
          <w:rFonts w:asciiTheme="majorBidi" w:hAnsiTheme="majorBidi" w:cstheme="majorBidi"/>
          <w:snapToGrid w:val="0"/>
        </w:rPr>
        <w:t xml:space="preserve"> </w:t>
      </w:r>
      <w:r w:rsidR="00A46051" w:rsidRPr="000A1EDD">
        <w:rPr>
          <w:rFonts w:asciiTheme="majorBidi" w:hAnsiTheme="majorBidi" w:cstheme="majorBidi"/>
          <w:snapToGrid w:val="0"/>
        </w:rPr>
        <w:t xml:space="preserve">it </w:t>
      </w:r>
      <w:r w:rsidR="00D14B5E" w:rsidRPr="000A1EDD">
        <w:rPr>
          <w:rFonts w:asciiTheme="majorBidi" w:hAnsiTheme="majorBidi" w:cstheme="majorBidi"/>
          <w:snapToGrid w:val="0"/>
        </w:rPr>
        <w:t>is the only proper opportunity for asylum seeker</w:t>
      </w:r>
      <w:r w:rsidR="00A46051" w:rsidRPr="000A1EDD">
        <w:rPr>
          <w:rFonts w:asciiTheme="majorBidi" w:hAnsiTheme="majorBidi" w:cstheme="majorBidi"/>
          <w:snapToGrid w:val="0"/>
        </w:rPr>
        <w:t>s</w:t>
      </w:r>
      <w:r w:rsidR="00D14B5E" w:rsidRPr="000A1EDD">
        <w:rPr>
          <w:rFonts w:asciiTheme="majorBidi" w:hAnsiTheme="majorBidi" w:cstheme="majorBidi"/>
          <w:snapToGrid w:val="0"/>
        </w:rPr>
        <w:t xml:space="preserve"> to present </w:t>
      </w:r>
      <w:r w:rsidR="00A46051" w:rsidRPr="000A1EDD">
        <w:rPr>
          <w:rFonts w:asciiTheme="majorBidi" w:hAnsiTheme="majorBidi" w:cstheme="majorBidi"/>
          <w:snapToGrid w:val="0"/>
        </w:rPr>
        <w:t xml:space="preserve">their </w:t>
      </w:r>
      <w:r w:rsidR="00D14B5E" w:rsidRPr="000A1EDD">
        <w:rPr>
          <w:rFonts w:asciiTheme="majorBidi" w:hAnsiTheme="majorBidi" w:cstheme="majorBidi"/>
          <w:snapToGrid w:val="0"/>
        </w:rPr>
        <w:t xml:space="preserve">reasons for seeking asylum; and the third was a short meeting with the </w:t>
      </w:r>
      <w:r w:rsidR="00616074" w:rsidRPr="000A1EDD">
        <w:rPr>
          <w:rFonts w:asciiTheme="majorBidi" w:hAnsiTheme="majorBidi" w:cstheme="majorBidi"/>
          <w:snapToGrid w:val="0"/>
        </w:rPr>
        <w:t>r</w:t>
      </w:r>
      <w:r w:rsidR="00D14B5E" w:rsidRPr="000A1EDD">
        <w:rPr>
          <w:rFonts w:asciiTheme="majorBidi" w:hAnsiTheme="majorBidi" w:cstheme="majorBidi"/>
          <w:snapToGrid w:val="0"/>
        </w:rPr>
        <w:t>eception unit</w:t>
      </w:r>
      <w:r w:rsidR="00616074" w:rsidRPr="000A1EDD">
        <w:rPr>
          <w:rFonts w:asciiTheme="majorBidi" w:hAnsiTheme="majorBidi" w:cstheme="majorBidi"/>
          <w:snapToGrid w:val="0"/>
        </w:rPr>
        <w:t xml:space="preserve"> o</w:t>
      </w:r>
      <w:r w:rsidR="00061D66" w:rsidRPr="000A1EDD">
        <w:rPr>
          <w:rFonts w:asciiTheme="majorBidi" w:hAnsiTheme="majorBidi" w:cstheme="majorBidi"/>
          <w:snapToGrid w:val="0"/>
        </w:rPr>
        <w:t>f</w:t>
      </w:r>
      <w:r w:rsidR="00616074" w:rsidRPr="000A1EDD">
        <w:rPr>
          <w:rFonts w:asciiTheme="majorBidi" w:hAnsiTheme="majorBidi" w:cstheme="majorBidi"/>
          <w:snapToGrid w:val="0"/>
        </w:rPr>
        <w:t xml:space="preserve"> the Migration Board</w:t>
      </w:r>
      <w:r w:rsidR="00D14B5E" w:rsidRPr="000A1EDD">
        <w:rPr>
          <w:rFonts w:asciiTheme="majorBidi" w:hAnsiTheme="majorBidi" w:cstheme="majorBidi"/>
          <w:snapToGrid w:val="0"/>
        </w:rPr>
        <w:t xml:space="preserve">. </w:t>
      </w:r>
      <w:r w:rsidR="00A46051" w:rsidRPr="000A1EDD">
        <w:rPr>
          <w:rFonts w:asciiTheme="majorBidi" w:hAnsiTheme="majorBidi" w:cstheme="majorBidi"/>
          <w:snapToGrid w:val="0"/>
        </w:rPr>
        <w:t>He confirms having</w:t>
      </w:r>
      <w:r w:rsidR="00D14B5E" w:rsidRPr="000A1EDD">
        <w:rPr>
          <w:rFonts w:asciiTheme="majorBidi" w:hAnsiTheme="majorBidi" w:cstheme="majorBidi"/>
          <w:snapToGrid w:val="0"/>
        </w:rPr>
        <w:t xml:space="preserve"> a legal counsel representing hi</w:t>
      </w:r>
      <w:r w:rsidR="00A46051" w:rsidRPr="000A1EDD">
        <w:rPr>
          <w:rFonts w:asciiTheme="majorBidi" w:hAnsiTheme="majorBidi" w:cstheme="majorBidi"/>
          <w:snapToGrid w:val="0"/>
        </w:rPr>
        <w:t>m</w:t>
      </w:r>
      <w:r w:rsidR="00D14B5E" w:rsidRPr="000A1EDD">
        <w:rPr>
          <w:rFonts w:asciiTheme="majorBidi" w:hAnsiTheme="majorBidi" w:cstheme="majorBidi"/>
          <w:snapToGrid w:val="0"/>
        </w:rPr>
        <w:t xml:space="preserve">. </w:t>
      </w:r>
      <w:r w:rsidR="005E134F" w:rsidRPr="000A1EDD">
        <w:rPr>
          <w:rFonts w:asciiTheme="majorBidi" w:hAnsiTheme="majorBidi" w:cstheme="majorBidi"/>
          <w:snapToGrid w:val="0"/>
        </w:rPr>
        <w:t>However</w:t>
      </w:r>
      <w:r w:rsidR="00D14B5E" w:rsidRPr="000A1EDD">
        <w:rPr>
          <w:rFonts w:asciiTheme="majorBidi" w:hAnsiTheme="majorBidi" w:cstheme="majorBidi"/>
          <w:snapToGrid w:val="0"/>
        </w:rPr>
        <w:t>, the State party ha</w:t>
      </w:r>
      <w:r w:rsidR="005E134F" w:rsidRPr="000A1EDD">
        <w:rPr>
          <w:rFonts w:asciiTheme="majorBidi" w:hAnsiTheme="majorBidi" w:cstheme="majorBidi"/>
          <w:snapToGrid w:val="0"/>
        </w:rPr>
        <w:t>s</w:t>
      </w:r>
      <w:r w:rsidR="00D14B5E" w:rsidRPr="000A1EDD">
        <w:rPr>
          <w:rFonts w:asciiTheme="majorBidi" w:hAnsiTheme="majorBidi" w:cstheme="majorBidi"/>
          <w:snapToGrid w:val="0"/>
        </w:rPr>
        <w:t xml:space="preserve"> failed to mention that the initially appointed counsel at times failed to answer the complainant’s queries, letters and phone calls and even to take action</w:t>
      </w:r>
      <w:r w:rsidR="00A46051" w:rsidRPr="000A1EDD">
        <w:rPr>
          <w:rFonts w:asciiTheme="majorBidi" w:hAnsiTheme="majorBidi" w:cstheme="majorBidi"/>
          <w:snapToGrid w:val="0"/>
        </w:rPr>
        <w:t xml:space="preserve">, and as a result </w:t>
      </w:r>
      <w:r w:rsidR="00616074" w:rsidRPr="000A1EDD">
        <w:rPr>
          <w:rFonts w:asciiTheme="majorBidi" w:hAnsiTheme="majorBidi" w:cstheme="majorBidi"/>
          <w:snapToGrid w:val="0"/>
        </w:rPr>
        <w:t>new counsel was appointed</w:t>
      </w:r>
      <w:r w:rsidR="00D14B5E" w:rsidRPr="000A1EDD">
        <w:rPr>
          <w:rFonts w:asciiTheme="majorBidi" w:hAnsiTheme="majorBidi" w:cstheme="majorBidi"/>
          <w:snapToGrid w:val="0"/>
        </w:rPr>
        <w:t xml:space="preserve">. Consequently, it is not correct for the State party to maintain that </w:t>
      </w:r>
      <w:r w:rsidR="005E134F" w:rsidRPr="000A1EDD">
        <w:rPr>
          <w:rFonts w:asciiTheme="majorBidi" w:hAnsiTheme="majorBidi" w:cstheme="majorBidi"/>
          <w:snapToGrid w:val="0"/>
        </w:rPr>
        <w:t>he</w:t>
      </w:r>
      <w:r w:rsidR="00D14B5E" w:rsidRPr="000A1EDD">
        <w:rPr>
          <w:rFonts w:asciiTheme="majorBidi" w:hAnsiTheme="majorBidi" w:cstheme="majorBidi"/>
          <w:snapToGrid w:val="0"/>
        </w:rPr>
        <w:t xml:space="preserve"> had an opportunity to </w:t>
      </w:r>
      <w:r w:rsidR="0020571E" w:rsidRPr="000A1EDD">
        <w:rPr>
          <w:rFonts w:asciiTheme="majorBidi" w:hAnsiTheme="majorBidi" w:cstheme="majorBidi"/>
          <w:snapToGrid w:val="0"/>
        </w:rPr>
        <w:t xml:space="preserve">submit comments and observations through </w:t>
      </w:r>
      <w:r w:rsidR="00616074" w:rsidRPr="000A1EDD">
        <w:rPr>
          <w:rFonts w:asciiTheme="majorBidi" w:hAnsiTheme="majorBidi" w:cstheme="majorBidi"/>
          <w:snapToGrid w:val="0"/>
        </w:rPr>
        <w:t xml:space="preserve">his </w:t>
      </w:r>
      <w:r w:rsidR="0020571E" w:rsidRPr="000A1EDD">
        <w:rPr>
          <w:rFonts w:asciiTheme="majorBidi" w:hAnsiTheme="majorBidi" w:cstheme="majorBidi"/>
          <w:snapToGrid w:val="0"/>
        </w:rPr>
        <w:t>assigned counsel. When the new counsel was appointed, within the appeals proceedings the complainant requested the Migration Court to allow</w:t>
      </w:r>
      <w:r w:rsidR="00616074" w:rsidRPr="000A1EDD">
        <w:rPr>
          <w:rFonts w:asciiTheme="majorBidi" w:hAnsiTheme="majorBidi" w:cstheme="majorBidi"/>
          <w:snapToGrid w:val="0"/>
        </w:rPr>
        <w:t xml:space="preserve"> an</w:t>
      </w:r>
      <w:r w:rsidR="0020571E" w:rsidRPr="000A1EDD">
        <w:rPr>
          <w:rFonts w:asciiTheme="majorBidi" w:hAnsiTheme="majorBidi" w:cstheme="majorBidi"/>
          <w:snapToGrid w:val="0"/>
        </w:rPr>
        <w:t xml:space="preserve"> oral hearing in his case</w:t>
      </w:r>
      <w:r w:rsidR="00616074" w:rsidRPr="000A1EDD">
        <w:rPr>
          <w:rFonts w:asciiTheme="majorBidi" w:hAnsiTheme="majorBidi" w:cstheme="majorBidi"/>
          <w:snapToGrid w:val="0"/>
        </w:rPr>
        <w:t>,</w:t>
      </w:r>
      <w:r w:rsidR="0020571E" w:rsidRPr="000A1EDD">
        <w:rPr>
          <w:rFonts w:asciiTheme="majorBidi" w:hAnsiTheme="majorBidi" w:cstheme="majorBidi"/>
          <w:snapToGrid w:val="0"/>
        </w:rPr>
        <w:t xml:space="preserve"> in order to enable him to correct the mistakes </w:t>
      </w:r>
      <w:r w:rsidR="00A46051" w:rsidRPr="000A1EDD">
        <w:rPr>
          <w:rFonts w:asciiTheme="majorBidi" w:hAnsiTheme="majorBidi" w:cstheme="majorBidi"/>
          <w:snapToGrid w:val="0"/>
        </w:rPr>
        <w:t>committed</w:t>
      </w:r>
      <w:r w:rsidR="0020571E" w:rsidRPr="000A1EDD">
        <w:rPr>
          <w:rFonts w:asciiTheme="majorBidi" w:hAnsiTheme="majorBidi" w:cstheme="majorBidi"/>
          <w:snapToGrid w:val="0"/>
        </w:rPr>
        <w:t xml:space="preserve"> during the asylum interview; however, his request was rejected by the court on 20 December 2013</w:t>
      </w:r>
      <w:r w:rsidR="005E134F" w:rsidRPr="000A1EDD">
        <w:rPr>
          <w:rFonts w:asciiTheme="majorBidi" w:hAnsiTheme="majorBidi" w:cstheme="majorBidi"/>
          <w:snapToGrid w:val="0"/>
        </w:rPr>
        <w:t xml:space="preserve"> and again </w:t>
      </w:r>
      <w:r w:rsidR="0020571E" w:rsidRPr="000A1EDD">
        <w:rPr>
          <w:rFonts w:asciiTheme="majorBidi" w:hAnsiTheme="majorBidi" w:cstheme="majorBidi"/>
          <w:snapToGrid w:val="0"/>
        </w:rPr>
        <w:t>on 7</w:t>
      </w:r>
      <w:r w:rsidR="00C51347">
        <w:rPr>
          <w:rFonts w:asciiTheme="majorBidi" w:hAnsiTheme="majorBidi" w:cstheme="majorBidi"/>
          <w:snapToGrid w:val="0"/>
        </w:rPr>
        <w:t> </w:t>
      </w:r>
      <w:r w:rsidR="0020571E" w:rsidRPr="000A1EDD">
        <w:rPr>
          <w:rFonts w:asciiTheme="majorBidi" w:hAnsiTheme="majorBidi" w:cstheme="majorBidi"/>
          <w:snapToGrid w:val="0"/>
        </w:rPr>
        <w:t>February 2014.</w:t>
      </w:r>
      <w:r w:rsidR="00B95295" w:rsidRPr="000A1EDD">
        <w:rPr>
          <w:rFonts w:asciiTheme="majorBidi" w:hAnsiTheme="majorBidi" w:cstheme="majorBidi"/>
          <w:snapToGrid w:val="0"/>
        </w:rPr>
        <w:t xml:space="preserve"> As to the alleged lack of medical documentation concerning </w:t>
      </w:r>
      <w:r w:rsidR="00A46051" w:rsidRPr="000A1EDD">
        <w:rPr>
          <w:rFonts w:asciiTheme="majorBidi" w:hAnsiTheme="majorBidi" w:cstheme="majorBidi"/>
          <w:snapToGrid w:val="0"/>
        </w:rPr>
        <w:t>his</w:t>
      </w:r>
      <w:r w:rsidR="00B95295" w:rsidRPr="000A1EDD">
        <w:rPr>
          <w:rFonts w:asciiTheme="majorBidi" w:hAnsiTheme="majorBidi" w:cstheme="majorBidi"/>
          <w:snapToGrid w:val="0"/>
        </w:rPr>
        <w:t xml:space="preserve"> injuries and state of health, the complainant reiterates that his interests initially were not adequately represented. </w:t>
      </w:r>
      <w:r w:rsidR="00A46051" w:rsidRPr="000A1EDD">
        <w:rPr>
          <w:rFonts w:asciiTheme="majorBidi" w:hAnsiTheme="majorBidi" w:cstheme="majorBidi"/>
          <w:snapToGrid w:val="0"/>
        </w:rPr>
        <w:t xml:space="preserve">He </w:t>
      </w:r>
      <w:r w:rsidR="00B95295" w:rsidRPr="000A1EDD">
        <w:rPr>
          <w:rFonts w:asciiTheme="majorBidi" w:hAnsiTheme="majorBidi" w:cstheme="majorBidi"/>
          <w:snapToGrid w:val="0"/>
        </w:rPr>
        <w:t xml:space="preserve">further provides transcripts of the asylum interview </w:t>
      </w:r>
      <w:r w:rsidR="00A46051" w:rsidRPr="000A1EDD">
        <w:rPr>
          <w:rFonts w:asciiTheme="majorBidi" w:hAnsiTheme="majorBidi" w:cstheme="majorBidi"/>
          <w:snapToGrid w:val="0"/>
        </w:rPr>
        <w:t>records</w:t>
      </w:r>
      <w:r w:rsidR="00B95295" w:rsidRPr="000A1EDD">
        <w:rPr>
          <w:rFonts w:asciiTheme="majorBidi" w:hAnsiTheme="majorBidi" w:cstheme="majorBidi"/>
          <w:snapToGrid w:val="0"/>
        </w:rPr>
        <w:t xml:space="preserve"> </w:t>
      </w:r>
      <w:r w:rsidR="00A46051" w:rsidRPr="000A1EDD">
        <w:rPr>
          <w:rFonts w:asciiTheme="majorBidi" w:hAnsiTheme="majorBidi" w:cstheme="majorBidi"/>
          <w:snapToGrid w:val="0"/>
        </w:rPr>
        <w:t xml:space="preserve">to show </w:t>
      </w:r>
      <w:r w:rsidR="00B95295" w:rsidRPr="000A1EDD">
        <w:rPr>
          <w:rFonts w:asciiTheme="majorBidi" w:hAnsiTheme="majorBidi" w:cstheme="majorBidi"/>
          <w:snapToGrid w:val="0"/>
        </w:rPr>
        <w:t xml:space="preserve">that he </w:t>
      </w:r>
      <w:r w:rsidR="00A46051" w:rsidRPr="000A1EDD">
        <w:rPr>
          <w:rFonts w:asciiTheme="majorBidi" w:hAnsiTheme="majorBidi" w:cstheme="majorBidi"/>
          <w:snapToGrid w:val="0"/>
        </w:rPr>
        <w:t>was never</w:t>
      </w:r>
      <w:r w:rsidR="00B95295" w:rsidRPr="000A1EDD">
        <w:rPr>
          <w:rFonts w:asciiTheme="majorBidi" w:hAnsiTheme="majorBidi" w:cstheme="majorBidi"/>
          <w:snapToGrid w:val="0"/>
        </w:rPr>
        <w:t xml:space="preserve"> properly “encouraged” </w:t>
      </w:r>
      <w:r w:rsidR="00120CD9" w:rsidRPr="000A1EDD">
        <w:rPr>
          <w:rFonts w:asciiTheme="majorBidi" w:hAnsiTheme="majorBidi" w:cstheme="majorBidi"/>
          <w:snapToGrid w:val="0"/>
        </w:rPr>
        <w:t xml:space="preserve">to submit medical documentation. He states that only after a new counsel </w:t>
      </w:r>
      <w:r w:rsidR="00616074" w:rsidRPr="000A1EDD">
        <w:rPr>
          <w:rFonts w:asciiTheme="majorBidi" w:hAnsiTheme="majorBidi" w:cstheme="majorBidi"/>
          <w:snapToGrid w:val="0"/>
        </w:rPr>
        <w:t xml:space="preserve">was appointed, </w:t>
      </w:r>
      <w:r w:rsidR="00120CD9" w:rsidRPr="000A1EDD">
        <w:rPr>
          <w:rFonts w:asciiTheme="majorBidi" w:hAnsiTheme="majorBidi" w:cstheme="majorBidi"/>
          <w:snapToGrid w:val="0"/>
        </w:rPr>
        <w:t>did he undergo a proper medical examination</w:t>
      </w:r>
      <w:r w:rsidR="00616074" w:rsidRPr="000A1EDD">
        <w:rPr>
          <w:rFonts w:asciiTheme="majorBidi" w:hAnsiTheme="majorBidi" w:cstheme="majorBidi"/>
          <w:snapToGrid w:val="0"/>
        </w:rPr>
        <w:t>,</w:t>
      </w:r>
      <w:r w:rsidR="00120CD9" w:rsidRPr="000A1EDD">
        <w:rPr>
          <w:rFonts w:asciiTheme="majorBidi" w:hAnsiTheme="majorBidi" w:cstheme="majorBidi"/>
          <w:snapToGrid w:val="0"/>
        </w:rPr>
        <w:t xml:space="preserve"> </w:t>
      </w:r>
      <w:r w:rsidR="00616074" w:rsidRPr="000A1EDD">
        <w:rPr>
          <w:rFonts w:asciiTheme="majorBidi" w:hAnsiTheme="majorBidi" w:cstheme="majorBidi"/>
          <w:snapToGrid w:val="0"/>
        </w:rPr>
        <w:t xml:space="preserve">as a result of which </w:t>
      </w:r>
      <w:r w:rsidR="00120CD9" w:rsidRPr="000A1EDD">
        <w:rPr>
          <w:rFonts w:asciiTheme="majorBidi" w:hAnsiTheme="majorBidi" w:cstheme="majorBidi"/>
          <w:snapToGrid w:val="0"/>
        </w:rPr>
        <w:t xml:space="preserve">it was confirmed that his injuries </w:t>
      </w:r>
      <w:r w:rsidR="005E134F" w:rsidRPr="000A1EDD">
        <w:rPr>
          <w:rFonts w:asciiTheme="majorBidi" w:hAnsiTheme="majorBidi" w:cstheme="majorBidi"/>
          <w:snapToGrid w:val="0"/>
        </w:rPr>
        <w:t xml:space="preserve">were </w:t>
      </w:r>
      <w:r w:rsidR="00120CD9" w:rsidRPr="000A1EDD">
        <w:rPr>
          <w:rFonts w:asciiTheme="majorBidi" w:hAnsiTheme="majorBidi" w:cstheme="majorBidi"/>
          <w:snapToGrid w:val="0"/>
        </w:rPr>
        <w:t xml:space="preserve">compatible with the story provided. </w:t>
      </w:r>
    </w:p>
    <w:p w:rsidR="00A9702E" w:rsidRPr="000A1EDD" w:rsidRDefault="00B95295" w:rsidP="008752DC">
      <w:pPr>
        <w:pStyle w:val="SingleTxtG"/>
        <w:rPr>
          <w:rFonts w:asciiTheme="majorBidi" w:hAnsiTheme="majorBidi" w:cstheme="majorBidi"/>
          <w:snapToGrid w:val="0"/>
        </w:rPr>
      </w:pPr>
      <w:r w:rsidRPr="000A1EDD">
        <w:rPr>
          <w:rFonts w:asciiTheme="majorBidi" w:hAnsiTheme="majorBidi" w:cstheme="majorBidi"/>
          <w:snapToGrid w:val="0"/>
        </w:rPr>
        <w:t xml:space="preserve">5.4 </w:t>
      </w:r>
      <w:r w:rsidR="008752DC" w:rsidRPr="000A1EDD">
        <w:rPr>
          <w:rFonts w:asciiTheme="majorBidi" w:hAnsiTheme="majorBidi" w:cstheme="majorBidi"/>
          <w:snapToGrid w:val="0"/>
        </w:rPr>
        <w:tab/>
      </w:r>
      <w:r w:rsidR="00494735" w:rsidRPr="000A1EDD">
        <w:rPr>
          <w:rFonts w:asciiTheme="majorBidi" w:hAnsiTheme="majorBidi" w:cstheme="majorBidi"/>
          <w:snapToGrid w:val="0"/>
        </w:rPr>
        <w:t>As to the issue of the authenticity of his passport, the complainant maintains that the State party has not presented objective arguments supporting the allega</w:t>
      </w:r>
      <w:r w:rsidR="002946BD" w:rsidRPr="000A1EDD">
        <w:rPr>
          <w:rFonts w:asciiTheme="majorBidi" w:hAnsiTheme="majorBidi" w:cstheme="majorBidi"/>
          <w:snapToGrid w:val="0"/>
        </w:rPr>
        <w:t xml:space="preserve">tion that the Embassy of Bangladesh would actually issue a passport lacking authenticity without </w:t>
      </w:r>
      <w:r w:rsidR="00616074" w:rsidRPr="000A1EDD">
        <w:rPr>
          <w:rFonts w:asciiTheme="majorBidi" w:hAnsiTheme="majorBidi" w:cstheme="majorBidi"/>
          <w:snapToGrid w:val="0"/>
        </w:rPr>
        <w:t xml:space="preserve">a </w:t>
      </w:r>
      <w:r w:rsidR="002946BD" w:rsidRPr="000A1EDD">
        <w:rPr>
          <w:rFonts w:asciiTheme="majorBidi" w:hAnsiTheme="majorBidi" w:cstheme="majorBidi"/>
          <w:snapToGrid w:val="0"/>
        </w:rPr>
        <w:t>plausibl</w:t>
      </w:r>
      <w:r w:rsidR="00616074" w:rsidRPr="000A1EDD">
        <w:rPr>
          <w:rFonts w:asciiTheme="majorBidi" w:hAnsiTheme="majorBidi" w:cstheme="majorBidi"/>
          <w:snapToGrid w:val="0"/>
        </w:rPr>
        <w:t>e</w:t>
      </w:r>
      <w:r w:rsidR="002946BD" w:rsidRPr="000A1EDD">
        <w:rPr>
          <w:rFonts w:asciiTheme="majorBidi" w:hAnsiTheme="majorBidi" w:cstheme="majorBidi"/>
          <w:snapToGrid w:val="0"/>
        </w:rPr>
        <w:t xml:space="preserve"> demonstration </w:t>
      </w:r>
      <w:r w:rsidR="00895183" w:rsidRPr="000A1EDD">
        <w:rPr>
          <w:rFonts w:asciiTheme="majorBidi" w:hAnsiTheme="majorBidi" w:cstheme="majorBidi"/>
          <w:snapToGrid w:val="0"/>
        </w:rPr>
        <w:t xml:space="preserve">of </w:t>
      </w:r>
      <w:r w:rsidR="002946BD" w:rsidRPr="000A1EDD">
        <w:rPr>
          <w:rFonts w:asciiTheme="majorBidi" w:hAnsiTheme="majorBidi" w:cstheme="majorBidi"/>
          <w:snapToGrid w:val="0"/>
        </w:rPr>
        <w:t xml:space="preserve">his identity. </w:t>
      </w:r>
      <w:r w:rsidR="00A46051" w:rsidRPr="000A1EDD">
        <w:rPr>
          <w:rFonts w:asciiTheme="majorBidi" w:hAnsiTheme="majorBidi" w:cstheme="majorBidi"/>
          <w:snapToGrid w:val="0"/>
        </w:rPr>
        <w:t>He</w:t>
      </w:r>
      <w:r w:rsidR="002946BD" w:rsidRPr="000A1EDD">
        <w:rPr>
          <w:rFonts w:asciiTheme="majorBidi" w:hAnsiTheme="majorBidi" w:cstheme="majorBidi"/>
          <w:snapToGrid w:val="0"/>
        </w:rPr>
        <w:t xml:space="preserve"> notes that since the Migration Board questioned the authenticity of his passport, he </w:t>
      </w:r>
      <w:r w:rsidR="00616074" w:rsidRPr="000A1EDD">
        <w:rPr>
          <w:rFonts w:asciiTheme="majorBidi" w:hAnsiTheme="majorBidi" w:cstheme="majorBidi"/>
          <w:snapToGrid w:val="0"/>
        </w:rPr>
        <w:t xml:space="preserve">has </w:t>
      </w:r>
      <w:r w:rsidR="002946BD" w:rsidRPr="000A1EDD">
        <w:rPr>
          <w:rFonts w:asciiTheme="majorBidi" w:hAnsiTheme="majorBidi" w:cstheme="majorBidi"/>
          <w:snapToGrid w:val="0"/>
        </w:rPr>
        <w:t xml:space="preserve">approached the Embassy of Bangladesh in Stockholm in order to obtain new documents to prove his identity. The complainant adds that he does not fear the employees of the Embassy of Bangladesh, but rather </w:t>
      </w:r>
      <w:r w:rsidR="00616074" w:rsidRPr="000A1EDD">
        <w:rPr>
          <w:rFonts w:asciiTheme="majorBidi" w:hAnsiTheme="majorBidi" w:cstheme="majorBidi"/>
          <w:snapToGrid w:val="0"/>
        </w:rPr>
        <w:t>the authorities</w:t>
      </w:r>
      <w:r w:rsidR="002946BD" w:rsidRPr="000A1EDD">
        <w:rPr>
          <w:rFonts w:asciiTheme="majorBidi" w:hAnsiTheme="majorBidi" w:cstheme="majorBidi"/>
          <w:snapToGrid w:val="0"/>
        </w:rPr>
        <w:t xml:space="preserve"> in his home country and that for this reason he has never approached the authorities in Bangladesh. As to the allegedly forged court documents in Bangladesh, the complainant submits </w:t>
      </w:r>
      <w:r w:rsidR="00B40537" w:rsidRPr="000A1EDD">
        <w:rPr>
          <w:rFonts w:asciiTheme="majorBidi" w:hAnsiTheme="majorBidi" w:cstheme="majorBidi"/>
          <w:snapToGrid w:val="0"/>
        </w:rPr>
        <w:t xml:space="preserve">that he </w:t>
      </w:r>
      <w:r w:rsidR="002946BD" w:rsidRPr="000A1EDD">
        <w:rPr>
          <w:rFonts w:asciiTheme="majorBidi" w:hAnsiTheme="majorBidi" w:cstheme="majorBidi"/>
          <w:snapToGrid w:val="0"/>
        </w:rPr>
        <w:t>has contacted his lawyer there and has not received “an acceptable explanation (as) to why the court documents had shown the wrong court etc</w:t>
      </w:r>
      <w:r w:rsidR="00A418FB" w:rsidRPr="000A1EDD">
        <w:rPr>
          <w:rFonts w:asciiTheme="majorBidi" w:hAnsiTheme="majorBidi" w:cstheme="majorBidi"/>
          <w:snapToGrid w:val="0"/>
        </w:rPr>
        <w:t>”</w:t>
      </w:r>
      <w:r w:rsidR="002946BD" w:rsidRPr="000A1EDD">
        <w:rPr>
          <w:rFonts w:asciiTheme="majorBidi" w:hAnsiTheme="majorBidi" w:cstheme="majorBidi"/>
          <w:snapToGrid w:val="0"/>
        </w:rPr>
        <w:t>. In any event, his lawyer visited the “correct court in 2014 to retrieve proper documents</w:t>
      </w:r>
      <w:r w:rsidR="00A418FB" w:rsidRPr="000A1EDD">
        <w:rPr>
          <w:rFonts w:asciiTheme="majorBidi" w:hAnsiTheme="majorBidi" w:cstheme="majorBidi"/>
          <w:snapToGrid w:val="0"/>
        </w:rPr>
        <w:t>”</w:t>
      </w:r>
      <w:r w:rsidR="002946BD" w:rsidRPr="000A1EDD">
        <w:rPr>
          <w:rFonts w:asciiTheme="majorBidi" w:hAnsiTheme="majorBidi" w:cstheme="majorBidi"/>
          <w:snapToGrid w:val="0"/>
        </w:rPr>
        <w:t>.</w:t>
      </w:r>
      <w:r w:rsidR="00684679" w:rsidRPr="000A1EDD">
        <w:rPr>
          <w:rFonts w:asciiTheme="majorBidi" w:hAnsiTheme="majorBidi" w:cstheme="majorBidi"/>
          <w:snapToGrid w:val="0"/>
        </w:rPr>
        <w:t xml:space="preserve"> According to the retrieved copy of </w:t>
      </w:r>
      <w:r w:rsidR="00616074" w:rsidRPr="000A1EDD">
        <w:rPr>
          <w:rFonts w:asciiTheme="majorBidi" w:hAnsiTheme="majorBidi" w:cstheme="majorBidi"/>
          <w:snapToGrid w:val="0"/>
        </w:rPr>
        <w:t xml:space="preserve">the </w:t>
      </w:r>
      <w:r w:rsidR="00684679" w:rsidRPr="000A1EDD">
        <w:rPr>
          <w:rFonts w:asciiTheme="majorBidi" w:hAnsiTheme="majorBidi" w:cstheme="majorBidi"/>
          <w:snapToGrid w:val="0"/>
        </w:rPr>
        <w:t xml:space="preserve">complaint, a written complaint was submitted to police in Bangladesh by the complainant’s father on 2 March 2005. </w:t>
      </w:r>
      <w:r w:rsidR="00A46051" w:rsidRPr="000A1EDD">
        <w:rPr>
          <w:rFonts w:asciiTheme="majorBidi" w:hAnsiTheme="majorBidi" w:cstheme="majorBidi"/>
          <w:snapToGrid w:val="0"/>
        </w:rPr>
        <w:t>T</w:t>
      </w:r>
      <w:r w:rsidR="00684679" w:rsidRPr="000A1EDD">
        <w:rPr>
          <w:rFonts w:asciiTheme="majorBidi" w:hAnsiTheme="majorBidi" w:cstheme="majorBidi"/>
          <w:snapToGrid w:val="0"/>
        </w:rPr>
        <w:t xml:space="preserve">he complainant </w:t>
      </w:r>
      <w:r w:rsidR="00A46051" w:rsidRPr="000A1EDD">
        <w:rPr>
          <w:rFonts w:asciiTheme="majorBidi" w:hAnsiTheme="majorBidi" w:cstheme="majorBidi"/>
          <w:snapToGrid w:val="0"/>
        </w:rPr>
        <w:t xml:space="preserve">contends </w:t>
      </w:r>
      <w:r w:rsidR="00684679" w:rsidRPr="000A1EDD">
        <w:rPr>
          <w:rFonts w:asciiTheme="majorBidi" w:hAnsiTheme="majorBidi" w:cstheme="majorBidi"/>
          <w:snapToGrid w:val="0"/>
        </w:rPr>
        <w:t>that he took no part in submitting th</w:t>
      </w:r>
      <w:r w:rsidR="00616074" w:rsidRPr="000A1EDD">
        <w:rPr>
          <w:rFonts w:asciiTheme="majorBidi" w:hAnsiTheme="majorBidi" w:cstheme="majorBidi"/>
          <w:snapToGrid w:val="0"/>
        </w:rPr>
        <w:t>at</w:t>
      </w:r>
      <w:r w:rsidR="00684679" w:rsidRPr="000A1EDD">
        <w:rPr>
          <w:rFonts w:asciiTheme="majorBidi" w:hAnsiTheme="majorBidi" w:cstheme="majorBidi"/>
          <w:snapToGrid w:val="0"/>
        </w:rPr>
        <w:t xml:space="preserve"> complaint as he was at the hospital at the material time</w:t>
      </w:r>
      <w:r w:rsidR="00616074" w:rsidRPr="000A1EDD">
        <w:rPr>
          <w:rFonts w:asciiTheme="majorBidi" w:hAnsiTheme="majorBidi" w:cstheme="majorBidi"/>
          <w:snapToGrid w:val="0"/>
        </w:rPr>
        <w:t>,</w:t>
      </w:r>
      <w:r w:rsidR="00684679" w:rsidRPr="000A1EDD">
        <w:rPr>
          <w:rFonts w:asciiTheme="majorBidi" w:hAnsiTheme="majorBidi" w:cstheme="majorBidi"/>
          <w:snapToGrid w:val="0"/>
        </w:rPr>
        <w:t xml:space="preserve"> was not aware of his father’s actions and was told that the complaint was submitted after </w:t>
      </w:r>
      <w:r w:rsidR="00A46051" w:rsidRPr="000A1EDD">
        <w:rPr>
          <w:rFonts w:asciiTheme="majorBidi" w:hAnsiTheme="majorBidi" w:cstheme="majorBidi"/>
          <w:snapToGrid w:val="0"/>
        </w:rPr>
        <w:t>his departure</w:t>
      </w:r>
      <w:r w:rsidR="00684679" w:rsidRPr="000A1EDD">
        <w:rPr>
          <w:rFonts w:asciiTheme="majorBidi" w:hAnsiTheme="majorBidi" w:cstheme="majorBidi"/>
          <w:snapToGrid w:val="0"/>
        </w:rPr>
        <w:t>.</w:t>
      </w:r>
      <w:r w:rsidR="00DA5C3C" w:rsidRPr="000A1EDD">
        <w:rPr>
          <w:rFonts w:asciiTheme="majorBidi" w:hAnsiTheme="majorBidi" w:cstheme="majorBidi"/>
          <w:snapToGrid w:val="0"/>
        </w:rPr>
        <w:t xml:space="preserve"> Accordingly, in </w:t>
      </w:r>
      <w:r w:rsidR="00EE6527" w:rsidRPr="000A1EDD">
        <w:rPr>
          <w:rFonts w:asciiTheme="majorBidi" w:hAnsiTheme="majorBidi" w:cstheme="majorBidi"/>
          <w:snapToGrid w:val="0"/>
        </w:rPr>
        <w:t xml:space="preserve">the </w:t>
      </w:r>
      <w:r w:rsidR="00DA5C3C" w:rsidRPr="000A1EDD">
        <w:rPr>
          <w:rFonts w:asciiTheme="majorBidi" w:hAnsiTheme="majorBidi" w:cstheme="majorBidi"/>
          <w:snapToGrid w:val="0"/>
        </w:rPr>
        <w:t>light of the foregoing arguments, the complainant submits that his claim is admissible.</w:t>
      </w:r>
      <w:r w:rsidR="00A9702E" w:rsidRPr="000A1EDD">
        <w:rPr>
          <w:rFonts w:asciiTheme="majorBidi" w:hAnsiTheme="majorBidi" w:cstheme="majorBidi"/>
          <w:snapToGrid w:val="0"/>
        </w:rPr>
        <w:t xml:space="preserve"> </w:t>
      </w:r>
    </w:p>
    <w:p w:rsidR="005E134F" w:rsidRPr="000A1EDD" w:rsidRDefault="00A46051" w:rsidP="008752DC">
      <w:pPr>
        <w:pStyle w:val="SingleTxtG"/>
        <w:rPr>
          <w:rFonts w:asciiTheme="majorBidi" w:hAnsiTheme="majorBidi" w:cstheme="majorBidi"/>
          <w:lang w:eastAsia="en-GB"/>
        </w:rPr>
      </w:pPr>
      <w:r w:rsidRPr="000A1EDD">
        <w:rPr>
          <w:rFonts w:asciiTheme="majorBidi" w:hAnsiTheme="majorBidi" w:cstheme="majorBidi"/>
          <w:lang w:eastAsia="en-GB"/>
        </w:rPr>
        <w:t>6.1</w:t>
      </w:r>
      <w:r w:rsidR="00D20AA2" w:rsidRPr="000A1EDD">
        <w:rPr>
          <w:rFonts w:asciiTheme="majorBidi" w:hAnsiTheme="majorBidi" w:cstheme="majorBidi"/>
          <w:lang w:eastAsia="en-GB"/>
        </w:rPr>
        <w:t xml:space="preserve"> </w:t>
      </w:r>
      <w:r w:rsidR="008752DC" w:rsidRPr="000A1EDD">
        <w:rPr>
          <w:rFonts w:asciiTheme="majorBidi" w:hAnsiTheme="majorBidi" w:cstheme="majorBidi"/>
          <w:lang w:eastAsia="en-GB"/>
        </w:rPr>
        <w:tab/>
      </w:r>
      <w:r w:rsidR="00D20AA2" w:rsidRPr="000A1EDD">
        <w:rPr>
          <w:rFonts w:asciiTheme="majorBidi" w:hAnsiTheme="majorBidi" w:cstheme="majorBidi"/>
          <w:lang w:eastAsia="en-GB"/>
        </w:rPr>
        <w:t xml:space="preserve">On 1 February 2016, the State party submitted its further observations. </w:t>
      </w:r>
      <w:r w:rsidRPr="000A1EDD">
        <w:rPr>
          <w:rFonts w:asciiTheme="majorBidi" w:hAnsiTheme="majorBidi" w:cstheme="majorBidi"/>
          <w:lang w:eastAsia="en-GB"/>
        </w:rPr>
        <w:t xml:space="preserve">It </w:t>
      </w:r>
      <w:r w:rsidR="00A9702E" w:rsidRPr="000A1EDD">
        <w:rPr>
          <w:rFonts w:asciiTheme="majorBidi" w:hAnsiTheme="majorBidi" w:cstheme="majorBidi"/>
          <w:lang w:eastAsia="en-GB"/>
        </w:rPr>
        <w:t xml:space="preserve">reiterates its previous arguments that the complaint is inadmissible given that the </w:t>
      </w:r>
      <w:r w:rsidR="00616074" w:rsidRPr="000A1EDD">
        <w:rPr>
          <w:rFonts w:asciiTheme="majorBidi" w:hAnsiTheme="majorBidi" w:cstheme="majorBidi"/>
          <w:lang w:eastAsia="en-GB"/>
        </w:rPr>
        <w:t xml:space="preserve">European Court of Human Rights </w:t>
      </w:r>
      <w:r w:rsidR="00A9702E" w:rsidRPr="000A1EDD">
        <w:rPr>
          <w:rFonts w:asciiTheme="majorBidi" w:hAnsiTheme="majorBidi" w:cstheme="majorBidi"/>
          <w:lang w:eastAsia="en-GB"/>
        </w:rPr>
        <w:t xml:space="preserve">has assessed the same subject matter of the complainant’s claims that has been raised before the Committee. </w:t>
      </w:r>
      <w:r w:rsidRPr="000A1EDD">
        <w:rPr>
          <w:rFonts w:asciiTheme="majorBidi" w:hAnsiTheme="majorBidi" w:cstheme="majorBidi"/>
          <w:lang w:eastAsia="en-GB"/>
        </w:rPr>
        <w:t>T</w:t>
      </w:r>
      <w:r w:rsidR="00A9702E" w:rsidRPr="000A1EDD">
        <w:rPr>
          <w:rFonts w:asciiTheme="majorBidi" w:hAnsiTheme="majorBidi" w:cstheme="majorBidi"/>
          <w:lang w:eastAsia="en-GB"/>
        </w:rPr>
        <w:t xml:space="preserve">he complainant’s application submitted to the </w:t>
      </w:r>
      <w:r w:rsidR="00616074" w:rsidRPr="000A1EDD">
        <w:rPr>
          <w:rFonts w:asciiTheme="majorBidi" w:hAnsiTheme="majorBidi" w:cstheme="majorBidi"/>
          <w:lang w:eastAsia="en-GB"/>
        </w:rPr>
        <w:t xml:space="preserve">Court </w:t>
      </w:r>
      <w:r w:rsidR="00A9702E" w:rsidRPr="000A1EDD">
        <w:rPr>
          <w:rFonts w:asciiTheme="majorBidi" w:hAnsiTheme="majorBidi" w:cstheme="majorBidi"/>
          <w:lang w:eastAsia="en-GB"/>
        </w:rPr>
        <w:t>concerned the same person, was based on the same facts and related to the same substantive rights as in the present complaint.</w:t>
      </w:r>
      <w:r w:rsidR="00AA53C2" w:rsidRPr="000A1EDD">
        <w:rPr>
          <w:rStyle w:val="FootnoteReference"/>
          <w:rFonts w:asciiTheme="majorBidi" w:hAnsiTheme="majorBidi" w:cstheme="majorBidi"/>
          <w:lang w:eastAsia="en-GB"/>
        </w:rPr>
        <w:footnoteReference w:id="18"/>
      </w:r>
      <w:r w:rsidR="00A9702E" w:rsidRPr="000A1EDD">
        <w:rPr>
          <w:rFonts w:asciiTheme="majorBidi" w:hAnsiTheme="majorBidi" w:cstheme="majorBidi"/>
          <w:lang w:eastAsia="en-GB"/>
        </w:rPr>
        <w:t xml:space="preserve"> </w:t>
      </w:r>
    </w:p>
    <w:p w:rsidR="00E178F5" w:rsidRPr="000A1EDD" w:rsidRDefault="008C16BA" w:rsidP="008752DC">
      <w:pPr>
        <w:pStyle w:val="SingleTxtG"/>
        <w:rPr>
          <w:rFonts w:asciiTheme="majorBidi" w:hAnsiTheme="majorBidi" w:cstheme="majorBidi"/>
          <w:lang w:eastAsia="en-GB"/>
        </w:rPr>
      </w:pPr>
      <w:r w:rsidRPr="000A1EDD">
        <w:rPr>
          <w:rFonts w:asciiTheme="majorBidi" w:hAnsiTheme="majorBidi" w:cstheme="majorBidi"/>
          <w:lang w:eastAsia="en-GB"/>
        </w:rPr>
        <w:lastRenderedPageBreak/>
        <w:t>6.2</w:t>
      </w:r>
      <w:r w:rsidR="00A9702E" w:rsidRPr="000A1EDD">
        <w:rPr>
          <w:rFonts w:asciiTheme="majorBidi" w:hAnsiTheme="majorBidi" w:cstheme="majorBidi"/>
          <w:lang w:eastAsia="en-GB"/>
        </w:rPr>
        <w:t xml:space="preserve"> </w:t>
      </w:r>
      <w:r w:rsidR="008752DC" w:rsidRPr="000A1EDD">
        <w:rPr>
          <w:rFonts w:asciiTheme="majorBidi" w:hAnsiTheme="majorBidi" w:cstheme="majorBidi"/>
          <w:lang w:eastAsia="en-GB"/>
        </w:rPr>
        <w:tab/>
      </w:r>
      <w:r w:rsidR="00A9702E" w:rsidRPr="000A1EDD">
        <w:rPr>
          <w:rFonts w:asciiTheme="majorBidi" w:hAnsiTheme="majorBidi" w:cstheme="majorBidi"/>
          <w:lang w:eastAsia="en-GB"/>
        </w:rPr>
        <w:t xml:space="preserve">As to the complainant’s argument that he had been in contact with his lawyer in Bangladesh concerning the forged documents, but had not received an acceptable explanation </w:t>
      </w:r>
      <w:r w:rsidR="00015FEB" w:rsidRPr="000A1EDD">
        <w:rPr>
          <w:rFonts w:asciiTheme="majorBidi" w:hAnsiTheme="majorBidi" w:cstheme="majorBidi"/>
          <w:lang w:eastAsia="en-GB"/>
        </w:rPr>
        <w:t xml:space="preserve">as </w:t>
      </w:r>
      <w:r w:rsidR="00A9702E" w:rsidRPr="000A1EDD">
        <w:rPr>
          <w:rFonts w:asciiTheme="majorBidi" w:hAnsiTheme="majorBidi" w:cstheme="majorBidi"/>
          <w:lang w:eastAsia="en-GB"/>
        </w:rPr>
        <w:t>to why the documents had shown</w:t>
      </w:r>
      <w:r w:rsidR="00015FEB" w:rsidRPr="000A1EDD">
        <w:rPr>
          <w:rFonts w:asciiTheme="majorBidi" w:hAnsiTheme="majorBidi" w:cstheme="majorBidi"/>
          <w:lang w:eastAsia="en-GB"/>
        </w:rPr>
        <w:t>, for example,</w:t>
      </w:r>
      <w:r w:rsidR="00A9702E" w:rsidRPr="000A1EDD">
        <w:rPr>
          <w:rFonts w:asciiTheme="majorBidi" w:hAnsiTheme="majorBidi" w:cstheme="majorBidi"/>
          <w:lang w:eastAsia="en-GB"/>
        </w:rPr>
        <w:t xml:space="preserve"> the wrong court, the State party recalls that after the Migration Agency</w:t>
      </w:r>
      <w:r w:rsidR="00C367E4" w:rsidRPr="000A1EDD">
        <w:rPr>
          <w:rFonts w:asciiTheme="majorBidi" w:hAnsiTheme="majorBidi" w:cstheme="majorBidi"/>
          <w:lang w:eastAsia="en-GB"/>
        </w:rPr>
        <w:t xml:space="preserve"> </w:t>
      </w:r>
      <w:r w:rsidR="00A9702E" w:rsidRPr="000A1EDD">
        <w:rPr>
          <w:rFonts w:asciiTheme="majorBidi" w:hAnsiTheme="majorBidi" w:cstheme="majorBidi"/>
          <w:lang w:eastAsia="en-GB"/>
        </w:rPr>
        <w:t>had requested that a local lawyer in Bangladesh verify the authenticity of the documents, the complainant initially critici</w:t>
      </w:r>
      <w:r w:rsidR="00015FEB" w:rsidRPr="000A1EDD">
        <w:rPr>
          <w:rFonts w:asciiTheme="majorBidi" w:hAnsiTheme="majorBidi" w:cstheme="majorBidi"/>
          <w:lang w:eastAsia="en-GB"/>
        </w:rPr>
        <w:t>zed</w:t>
      </w:r>
      <w:r w:rsidR="00A9702E" w:rsidRPr="000A1EDD">
        <w:rPr>
          <w:rFonts w:asciiTheme="majorBidi" w:hAnsiTheme="majorBidi" w:cstheme="majorBidi"/>
          <w:lang w:eastAsia="en-GB"/>
        </w:rPr>
        <w:t xml:space="preserve"> the conclusion that the documents were forgeries. </w:t>
      </w:r>
      <w:r w:rsidRPr="000A1EDD">
        <w:rPr>
          <w:rFonts w:asciiTheme="majorBidi" w:hAnsiTheme="majorBidi" w:cstheme="majorBidi"/>
          <w:lang w:eastAsia="en-GB"/>
        </w:rPr>
        <w:t>T</w:t>
      </w:r>
      <w:r w:rsidR="00A9702E" w:rsidRPr="000A1EDD">
        <w:rPr>
          <w:rFonts w:asciiTheme="majorBidi" w:hAnsiTheme="majorBidi" w:cstheme="majorBidi"/>
          <w:lang w:eastAsia="en-GB"/>
        </w:rPr>
        <w:t>he State party finds it remarkable that the complainant has not at th</w:t>
      </w:r>
      <w:r w:rsidR="00015FEB" w:rsidRPr="000A1EDD">
        <w:rPr>
          <w:rFonts w:asciiTheme="majorBidi" w:hAnsiTheme="majorBidi" w:cstheme="majorBidi"/>
          <w:lang w:eastAsia="en-GB"/>
        </w:rPr>
        <w:t>e present</w:t>
      </w:r>
      <w:r w:rsidR="00A9702E" w:rsidRPr="000A1EDD">
        <w:rPr>
          <w:rFonts w:asciiTheme="majorBidi" w:hAnsiTheme="majorBidi" w:cstheme="majorBidi"/>
          <w:lang w:eastAsia="en-GB"/>
        </w:rPr>
        <w:t xml:space="preserve"> stage been able to provide an acceptable explanation </w:t>
      </w:r>
      <w:r w:rsidRPr="000A1EDD">
        <w:rPr>
          <w:rFonts w:asciiTheme="majorBidi" w:hAnsiTheme="majorBidi" w:cstheme="majorBidi"/>
          <w:lang w:eastAsia="en-GB"/>
        </w:rPr>
        <w:t xml:space="preserve">regarding </w:t>
      </w:r>
      <w:r w:rsidR="00A9702E" w:rsidRPr="000A1EDD">
        <w:rPr>
          <w:rFonts w:asciiTheme="majorBidi" w:hAnsiTheme="majorBidi" w:cstheme="majorBidi"/>
          <w:lang w:eastAsia="en-GB"/>
        </w:rPr>
        <w:t>the false documents</w:t>
      </w:r>
      <w:r w:rsidR="00015FEB" w:rsidRPr="000A1EDD">
        <w:rPr>
          <w:rFonts w:asciiTheme="majorBidi" w:hAnsiTheme="majorBidi" w:cstheme="majorBidi"/>
          <w:lang w:eastAsia="en-GB"/>
        </w:rPr>
        <w:t xml:space="preserve"> that were submitted</w:t>
      </w:r>
      <w:r w:rsidR="00A9702E" w:rsidRPr="000A1EDD">
        <w:rPr>
          <w:rFonts w:asciiTheme="majorBidi" w:hAnsiTheme="majorBidi" w:cstheme="majorBidi"/>
          <w:lang w:eastAsia="en-GB"/>
        </w:rPr>
        <w:t>. In addition, it is noteworthy that in his submission of 10 August 2015, the complainant presented similar documents</w:t>
      </w:r>
      <w:r w:rsidR="00015FEB" w:rsidRPr="000A1EDD">
        <w:rPr>
          <w:rFonts w:asciiTheme="majorBidi" w:hAnsiTheme="majorBidi" w:cstheme="majorBidi"/>
          <w:lang w:eastAsia="en-GB"/>
        </w:rPr>
        <w:t>,</w:t>
      </w:r>
      <w:r w:rsidR="00A9702E" w:rsidRPr="000A1EDD">
        <w:rPr>
          <w:rFonts w:asciiTheme="majorBidi" w:hAnsiTheme="majorBidi" w:cstheme="majorBidi"/>
          <w:lang w:eastAsia="en-GB"/>
        </w:rPr>
        <w:t xml:space="preserve"> but from another court. In view of this, the </w:t>
      </w:r>
      <w:r w:rsidR="005E134F" w:rsidRPr="000A1EDD">
        <w:rPr>
          <w:rFonts w:asciiTheme="majorBidi" w:hAnsiTheme="majorBidi" w:cstheme="majorBidi"/>
          <w:lang w:eastAsia="en-GB"/>
        </w:rPr>
        <w:t>State party maintains</w:t>
      </w:r>
      <w:r w:rsidR="00A9702E" w:rsidRPr="000A1EDD">
        <w:rPr>
          <w:rFonts w:asciiTheme="majorBidi" w:hAnsiTheme="majorBidi" w:cstheme="majorBidi"/>
          <w:lang w:eastAsia="en-GB"/>
        </w:rPr>
        <w:t xml:space="preserve"> that t</w:t>
      </w:r>
      <w:r w:rsidR="005E134F" w:rsidRPr="000A1EDD">
        <w:rPr>
          <w:rFonts w:asciiTheme="majorBidi" w:hAnsiTheme="majorBidi" w:cstheme="majorBidi"/>
          <w:lang w:eastAsia="en-GB"/>
        </w:rPr>
        <w:t>h</w:t>
      </w:r>
      <w:r w:rsidR="00015FEB" w:rsidRPr="000A1EDD">
        <w:rPr>
          <w:rFonts w:asciiTheme="majorBidi" w:hAnsiTheme="majorBidi" w:cstheme="majorBidi"/>
          <w:lang w:eastAsia="en-GB"/>
        </w:rPr>
        <w:t>e</w:t>
      </w:r>
      <w:r w:rsidR="005E134F" w:rsidRPr="000A1EDD">
        <w:rPr>
          <w:rFonts w:asciiTheme="majorBidi" w:hAnsiTheme="majorBidi" w:cstheme="majorBidi"/>
          <w:lang w:eastAsia="en-GB"/>
        </w:rPr>
        <w:t xml:space="preserve"> new evidence</w:t>
      </w:r>
      <w:r w:rsidR="00A9702E" w:rsidRPr="000A1EDD">
        <w:rPr>
          <w:rFonts w:asciiTheme="majorBidi" w:hAnsiTheme="majorBidi" w:cstheme="majorBidi"/>
          <w:lang w:eastAsia="en-GB"/>
        </w:rPr>
        <w:t xml:space="preserve"> cannot be deemed reliable. It also raises questions about the </w:t>
      </w:r>
      <w:r w:rsidR="005E134F" w:rsidRPr="000A1EDD">
        <w:rPr>
          <w:rFonts w:asciiTheme="majorBidi" w:hAnsiTheme="majorBidi" w:cstheme="majorBidi"/>
          <w:lang w:eastAsia="en-GB"/>
        </w:rPr>
        <w:t>credibility of the complainant.</w:t>
      </w:r>
    </w:p>
    <w:p w:rsidR="006A6EBE" w:rsidRPr="000A1EDD" w:rsidRDefault="008C16BA" w:rsidP="00A05250">
      <w:pPr>
        <w:pStyle w:val="SingleTxtG"/>
        <w:rPr>
          <w:rFonts w:asciiTheme="majorBidi" w:hAnsiTheme="majorBidi" w:cstheme="majorBidi"/>
          <w:lang w:eastAsia="en-GB"/>
        </w:rPr>
      </w:pPr>
      <w:r w:rsidRPr="000A1EDD">
        <w:rPr>
          <w:rFonts w:asciiTheme="majorBidi" w:hAnsiTheme="majorBidi" w:cstheme="majorBidi"/>
          <w:lang w:eastAsia="en-GB"/>
        </w:rPr>
        <w:t>6.3</w:t>
      </w:r>
      <w:r w:rsidR="00576246" w:rsidRPr="000A1EDD">
        <w:rPr>
          <w:rFonts w:asciiTheme="majorBidi" w:hAnsiTheme="majorBidi" w:cstheme="majorBidi"/>
          <w:lang w:eastAsia="en-GB"/>
        </w:rPr>
        <w:t xml:space="preserve"> </w:t>
      </w:r>
      <w:r w:rsidR="00A05250" w:rsidRPr="000A1EDD">
        <w:rPr>
          <w:rFonts w:asciiTheme="majorBidi" w:hAnsiTheme="majorBidi" w:cstheme="majorBidi"/>
          <w:lang w:eastAsia="en-GB"/>
        </w:rPr>
        <w:tab/>
      </w:r>
      <w:r w:rsidR="00576246" w:rsidRPr="000A1EDD">
        <w:rPr>
          <w:rFonts w:asciiTheme="majorBidi" w:hAnsiTheme="majorBidi" w:cstheme="majorBidi"/>
          <w:lang w:eastAsia="en-GB"/>
        </w:rPr>
        <w:t>As to the complainant’s arguments in the context of the public counsel</w:t>
      </w:r>
      <w:r w:rsidR="00015FEB" w:rsidRPr="000A1EDD">
        <w:rPr>
          <w:rFonts w:asciiTheme="majorBidi" w:hAnsiTheme="majorBidi" w:cstheme="majorBidi"/>
          <w:lang w:eastAsia="en-GB"/>
        </w:rPr>
        <w:t xml:space="preserve"> to him</w:t>
      </w:r>
      <w:r w:rsidR="00576246" w:rsidRPr="000A1EDD">
        <w:rPr>
          <w:rFonts w:asciiTheme="majorBidi" w:hAnsiTheme="majorBidi" w:cstheme="majorBidi"/>
          <w:lang w:eastAsia="en-GB"/>
        </w:rPr>
        <w:t xml:space="preserve">, the State party notes that </w:t>
      </w:r>
      <w:r w:rsidR="005753E4" w:rsidRPr="000A1EDD">
        <w:rPr>
          <w:rFonts w:asciiTheme="majorBidi" w:hAnsiTheme="majorBidi" w:cstheme="majorBidi"/>
          <w:lang w:eastAsia="en-GB"/>
        </w:rPr>
        <w:t xml:space="preserve">according to the minutes of the interview at the Migration Agency on 11 April 2012, the complainant stated that he had no specific requirements and that he accepted the counsel appointed by the Migration Agency. </w:t>
      </w:r>
      <w:r w:rsidR="00015FEB" w:rsidRPr="000A1EDD">
        <w:rPr>
          <w:rFonts w:asciiTheme="majorBidi" w:hAnsiTheme="majorBidi" w:cstheme="majorBidi"/>
          <w:lang w:eastAsia="en-GB"/>
        </w:rPr>
        <w:t>T</w:t>
      </w:r>
      <w:r w:rsidR="00CE28B5" w:rsidRPr="000A1EDD">
        <w:rPr>
          <w:rFonts w:asciiTheme="majorBidi" w:hAnsiTheme="majorBidi" w:cstheme="majorBidi"/>
          <w:lang w:eastAsia="en-GB"/>
        </w:rPr>
        <w:t>he public counsel was appointed on 17 April 2012</w:t>
      </w:r>
      <w:r w:rsidR="00015FEB" w:rsidRPr="000A1EDD">
        <w:rPr>
          <w:rFonts w:asciiTheme="majorBidi" w:hAnsiTheme="majorBidi" w:cstheme="majorBidi"/>
          <w:lang w:eastAsia="en-GB"/>
        </w:rPr>
        <w:t>,</w:t>
      </w:r>
      <w:r w:rsidR="00CE28B5" w:rsidRPr="000A1EDD">
        <w:rPr>
          <w:rFonts w:asciiTheme="majorBidi" w:hAnsiTheme="majorBidi" w:cstheme="majorBidi"/>
          <w:lang w:eastAsia="en-GB"/>
        </w:rPr>
        <w:t xml:space="preserve"> he attended the interview on 2 May 2012 and posed questions regarding the complainant’s reasons for asylum. A copy of the minutes from the interview was then communicated to the public counsel, who, on 9 July 2012, submitted further supplementary observations to the Migration Agency. Later in the proceedings, the public counsel was again given the opportunity to comment on the complainant’s case </w:t>
      </w:r>
      <w:r w:rsidR="00015FEB" w:rsidRPr="000A1EDD">
        <w:rPr>
          <w:rFonts w:asciiTheme="majorBidi" w:hAnsiTheme="majorBidi" w:cstheme="majorBidi"/>
          <w:lang w:eastAsia="en-GB"/>
        </w:rPr>
        <w:t xml:space="preserve">when </w:t>
      </w:r>
      <w:r w:rsidR="00CE28B5" w:rsidRPr="000A1EDD">
        <w:rPr>
          <w:rFonts w:asciiTheme="majorBidi" w:hAnsiTheme="majorBidi" w:cstheme="majorBidi"/>
          <w:lang w:eastAsia="en-GB"/>
        </w:rPr>
        <w:t xml:space="preserve">further questions </w:t>
      </w:r>
      <w:r w:rsidR="00015FEB" w:rsidRPr="000A1EDD">
        <w:rPr>
          <w:rFonts w:asciiTheme="majorBidi" w:hAnsiTheme="majorBidi" w:cstheme="majorBidi"/>
          <w:lang w:eastAsia="en-GB"/>
        </w:rPr>
        <w:t xml:space="preserve">were posed </w:t>
      </w:r>
      <w:r w:rsidR="00CE28B5" w:rsidRPr="000A1EDD">
        <w:rPr>
          <w:rFonts w:asciiTheme="majorBidi" w:hAnsiTheme="majorBidi" w:cstheme="majorBidi"/>
          <w:lang w:eastAsia="en-GB"/>
        </w:rPr>
        <w:t>by the Migration Agency regarding his identity. On 29 April 2013, the public counsel requested an extension of the time</w:t>
      </w:r>
      <w:r w:rsidR="00015FEB" w:rsidRPr="000A1EDD">
        <w:rPr>
          <w:rFonts w:asciiTheme="majorBidi" w:hAnsiTheme="majorBidi" w:cstheme="majorBidi"/>
          <w:lang w:eastAsia="en-GB"/>
        </w:rPr>
        <w:t xml:space="preserve"> </w:t>
      </w:r>
      <w:r w:rsidR="00CE28B5" w:rsidRPr="000A1EDD">
        <w:rPr>
          <w:rFonts w:asciiTheme="majorBidi" w:hAnsiTheme="majorBidi" w:cstheme="majorBidi"/>
          <w:lang w:eastAsia="en-GB"/>
        </w:rPr>
        <w:t xml:space="preserve">limit </w:t>
      </w:r>
      <w:r w:rsidRPr="000A1EDD">
        <w:rPr>
          <w:rFonts w:asciiTheme="majorBidi" w:hAnsiTheme="majorBidi" w:cstheme="majorBidi"/>
          <w:lang w:eastAsia="en-GB"/>
        </w:rPr>
        <w:t xml:space="preserve">as, </w:t>
      </w:r>
      <w:r w:rsidR="00CE28B5" w:rsidRPr="000A1EDD">
        <w:rPr>
          <w:rFonts w:asciiTheme="majorBidi" w:hAnsiTheme="majorBidi" w:cstheme="majorBidi"/>
          <w:lang w:eastAsia="en-GB"/>
        </w:rPr>
        <w:t xml:space="preserve">despite two separate invitations and phone calls, he had not been able to contact the complainant. On 6 May 2013, the public counsel submitted his closing statements in the case. Furthermore, </w:t>
      </w:r>
      <w:r w:rsidR="00E178F5" w:rsidRPr="000A1EDD">
        <w:rPr>
          <w:rFonts w:asciiTheme="majorBidi" w:hAnsiTheme="majorBidi" w:cstheme="majorBidi"/>
          <w:lang w:eastAsia="en-GB"/>
        </w:rPr>
        <w:t xml:space="preserve">upon the complainant’s request, by a decision of 12 September 2013, the Migration Court dismissed the counsel and appointed a new </w:t>
      </w:r>
      <w:r w:rsidRPr="000A1EDD">
        <w:rPr>
          <w:rFonts w:asciiTheme="majorBidi" w:hAnsiTheme="majorBidi" w:cstheme="majorBidi"/>
          <w:lang w:eastAsia="en-GB"/>
        </w:rPr>
        <w:t>one</w:t>
      </w:r>
      <w:r w:rsidR="00E178F5" w:rsidRPr="000A1EDD">
        <w:rPr>
          <w:rFonts w:asciiTheme="majorBidi" w:hAnsiTheme="majorBidi" w:cstheme="majorBidi"/>
          <w:lang w:eastAsia="en-GB"/>
        </w:rPr>
        <w:t xml:space="preserve">, </w:t>
      </w:r>
      <w:r w:rsidR="00015FEB" w:rsidRPr="000A1EDD">
        <w:rPr>
          <w:rFonts w:asciiTheme="majorBidi" w:hAnsiTheme="majorBidi" w:cstheme="majorBidi"/>
          <w:lang w:eastAsia="en-GB"/>
        </w:rPr>
        <w:t>owing</w:t>
      </w:r>
      <w:r w:rsidR="00E178F5" w:rsidRPr="000A1EDD">
        <w:rPr>
          <w:rFonts w:asciiTheme="majorBidi" w:hAnsiTheme="majorBidi" w:cstheme="majorBidi"/>
          <w:lang w:eastAsia="en-GB"/>
        </w:rPr>
        <w:t xml:space="preserve"> to the fact that the complainant had not been able to contact his counsel despite several attempts. However, </w:t>
      </w:r>
      <w:r w:rsidR="00DC5366" w:rsidRPr="000A1EDD">
        <w:rPr>
          <w:rFonts w:asciiTheme="majorBidi" w:hAnsiTheme="majorBidi" w:cstheme="majorBidi"/>
          <w:lang w:eastAsia="en-GB"/>
        </w:rPr>
        <w:t xml:space="preserve">according to the State party, in </w:t>
      </w:r>
      <w:r w:rsidR="00EE6527" w:rsidRPr="000A1EDD">
        <w:rPr>
          <w:rFonts w:asciiTheme="majorBidi" w:hAnsiTheme="majorBidi" w:cstheme="majorBidi"/>
          <w:lang w:eastAsia="en-GB"/>
        </w:rPr>
        <w:t xml:space="preserve">the </w:t>
      </w:r>
      <w:r w:rsidR="00DC5366" w:rsidRPr="000A1EDD">
        <w:rPr>
          <w:rFonts w:asciiTheme="majorBidi" w:hAnsiTheme="majorBidi" w:cstheme="majorBidi"/>
          <w:lang w:eastAsia="en-GB"/>
        </w:rPr>
        <w:t>light of the information on the complainant’s asylum case file</w:t>
      </w:r>
      <w:r w:rsidRPr="000A1EDD">
        <w:rPr>
          <w:rFonts w:asciiTheme="majorBidi" w:hAnsiTheme="majorBidi" w:cstheme="majorBidi"/>
          <w:lang w:eastAsia="en-GB"/>
        </w:rPr>
        <w:t>,</w:t>
      </w:r>
      <w:r w:rsidR="00DC5366" w:rsidRPr="000A1EDD">
        <w:rPr>
          <w:rFonts w:asciiTheme="majorBidi" w:hAnsiTheme="majorBidi" w:cstheme="majorBidi"/>
          <w:lang w:eastAsia="en-GB"/>
        </w:rPr>
        <w:t xml:space="preserve"> it is</w:t>
      </w:r>
      <w:r w:rsidR="00E178F5" w:rsidRPr="000A1EDD">
        <w:rPr>
          <w:rFonts w:asciiTheme="majorBidi" w:hAnsiTheme="majorBidi" w:cstheme="majorBidi"/>
          <w:lang w:eastAsia="en-GB"/>
        </w:rPr>
        <w:t xml:space="preserve"> evident that the first public counsel </w:t>
      </w:r>
      <w:r w:rsidR="00DC5366" w:rsidRPr="000A1EDD">
        <w:rPr>
          <w:rFonts w:asciiTheme="majorBidi" w:hAnsiTheme="majorBidi" w:cstheme="majorBidi"/>
          <w:lang w:eastAsia="en-GB"/>
        </w:rPr>
        <w:t>did perform his duties</w:t>
      </w:r>
      <w:r w:rsidR="00E178F5" w:rsidRPr="000A1EDD">
        <w:rPr>
          <w:rFonts w:asciiTheme="majorBidi" w:hAnsiTheme="majorBidi" w:cstheme="majorBidi"/>
          <w:lang w:eastAsia="en-GB"/>
        </w:rPr>
        <w:t xml:space="preserve"> in a satisfactory manner. </w:t>
      </w:r>
      <w:r w:rsidR="00A209DC" w:rsidRPr="000A1EDD">
        <w:rPr>
          <w:rFonts w:asciiTheme="majorBidi" w:hAnsiTheme="majorBidi" w:cstheme="majorBidi"/>
          <w:lang w:eastAsia="en-GB"/>
        </w:rPr>
        <w:t xml:space="preserve">In addition, in the context of the complainant’s request for oral hearing during the appeals proceedings, the State party notes that </w:t>
      </w:r>
      <w:r w:rsidR="00E81D48" w:rsidRPr="000A1EDD">
        <w:rPr>
          <w:rFonts w:asciiTheme="majorBidi" w:hAnsiTheme="majorBidi" w:cstheme="majorBidi"/>
          <w:lang w:eastAsia="en-GB"/>
        </w:rPr>
        <w:t>the</w:t>
      </w:r>
      <w:r w:rsidR="00A209DC" w:rsidRPr="000A1EDD">
        <w:rPr>
          <w:rFonts w:asciiTheme="majorBidi" w:hAnsiTheme="majorBidi" w:cstheme="majorBidi"/>
          <w:lang w:eastAsia="en-GB"/>
        </w:rPr>
        <w:t xml:space="preserve"> Court found that an oral hearing was not necessary </w:t>
      </w:r>
      <w:r w:rsidR="00015FEB" w:rsidRPr="000A1EDD">
        <w:rPr>
          <w:rFonts w:asciiTheme="majorBidi" w:hAnsiTheme="majorBidi" w:cstheme="majorBidi"/>
          <w:lang w:eastAsia="en-GB"/>
        </w:rPr>
        <w:t xml:space="preserve">owing </w:t>
      </w:r>
      <w:r w:rsidR="00A209DC" w:rsidRPr="000A1EDD">
        <w:rPr>
          <w:rFonts w:asciiTheme="majorBidi" w:hAnsiTheme="majorBidi" w:cstheme="majorBidi"/>
          <w:lang w:eastAsia="en-GB"/>
        </w:rPr>
        <w:t xml:space="preserve">to the investigation carried out in the case and the nature of the case. The new public counsel was </w:t>
      </w:r>
      <w:r w:rsidR="00E81D48" w:rsidRPr="000A1EDD">
        <w:rPr>
          <w:rFonts w:asciiTheme="majorBidi" w:hAnsiTheme="majorBidi" w:cstheme="majorBidi"/>
          <w:lang w:eastAsia="en-GB"/>
        </w:rPr>
        <w:t>g</w:t>
      </w:r>
      <w:r w:rsidR="00A209DC" w:rsidRPr="000A1EDD">
        <w:rPr>
          <w:rFonts w:asciiTheme="majorBidi" w:hAnsiTheme="majorBidi" w:cstheme="majorBidi"/>
          <w:lang w:eastAsia="en-GB"/>
        </w:rPr>
        <w:t xml:space="preserve">iven </w:t>
      </w:r>
      <w:r w:rsidR="00E81D48" w:rsidRPr="000A1EDD">
        <w:rPr>
          <w:rFonts w:asciiTheme="majorBidi" w:hAnsiTheme="majorBidi" w:cstheme="majorBidi"/>
          <w:lang w:eastAsia="en-GB"/>
        </w:rPr>
        <w:t>an</w:t>
      </w:r>
      <w:r w:rsidR="00A209DC" w:rsidRPr="000A1EDD">
        <w:rPr>
          <w:rFonts w:asciiTheme="majorBidi" w:hAnsiTheme="majorBidi" w:cstheme="majorBidi"/>
          <w:lang w:eastAsia="en-GB"/>
        </w:rPr>
        <w:t xml:space="preserve"> opportunity to submit his final observations and </w:t>
      </w:r>
      <w:r w:rsidR="00E81D48" w:rsidRPr="000A1EDD">
        <w:rPr>
          <w:rFonts w:asciiTheme="majorBidi" w:hAnsiTheme="majorBidi" w:cstheme="majorBidi"/>
          <w:lang w:eastAsia="en-GB"/>
        </w:rPr>
        <w:t>another request for</w:t>
      </w:r>
      <w:r w:rsidR="00A209DC" w:rsidRPr="000A1EDD">
        <w:rPr>
          <w:rFonts w:asciiTheme="majorBidi" w:hAnsiTheme="majorBidi" w:cstheme="majorBidi"/>
          <w:lang w:eastAsia="en-GB"/>
        </w:rPr>
        <w:t xml:space="preserve"> </w:t>
      </w:r>
      <w:r w:rsidR="00015FEB" w:rsidRPr="000A1EDD">
        <w:rPr>
          <w:rFonts w:asciiTheme="majorBidi" w:hAnsiTheme="majorBidi" w:cstheme="majorBidi"/>
          <w:lang w:eastAsia="en-GB"/>
        </w:rPr>
        <w:t xml:space="preserve">an </w:t>
      </w:r>
      <w:r w:rsidR="00A209DC" w:rsidRPr="000A1EDD">
        <w:rPr>
          <w:rFonts w:asciiTheme="majorBidi" w:hAnsiTheme="majorBidi" w:cstheme="majorBidi"/>
          <w:lang w:eastAsia="en-GB"/>
        </w:rPr>
        <w:t xml:space="preserve">oral hearing. The </w:t>
      </w:r>
      <w:r w:rsidR="00E81D48" w:rsidRPr="000A1EDD">
        <w:rPr>
          <w:rFonts w:asciiTheme="majorBidi" w:hAnsiTheme="majorBidi" w:cstheme="majorBidi"/>
          <w:lang w:eastAsia="en-GB"/>
        </w:rPr>
        <w:t xml:space="preserve">State party notes that this demonstrates </w:t>
      </w:r>
      <w:r w:rsidR="00A209DC" w:rsidRPr="000A1EDD">
        <w:rPr>
          <w:rFonts w:asciiTheme="majorBidi" w:hAnsiTheme="majorBidi" w:cstheme="majorBidi"/>
          <w:lang w:eastAsia="en-GB"/>
        </w:rPr>
        <w:t xml:space="preserve">that the complainant had proper legal representation and was given the opportunity to present his case </w:t>
      </w:r>
      <w:r w:rsidR="00015FEB" w:rsidRPr="000A1EDD">
        <w:rPr>
          <w:rFonts w:asciiTheme="majorBidi" w:hAnsiTheme="majorBidi" w:cstheme="majorBidi"/>
          <w:lang w:eastAsia="en-GB"/>
        </w:rPr>
        <w:t xml:space="preserve">fully </w:t>
      </w:r>
      <w:r w:rsidR="00A209DC" w:rsidRPr="000A1EDD">
        <w:rPr>
          <w:rFonts w:asciiTheme="majorBidi" w:hAnsiTheme="majorBidi" w:cstheme="majorBidi"/>
          <w:lang w:eastAsia="en-GB"/>
        </w:rPr>
        <w:t>with the assistance of legal couns</w:t>
      </w:r>
      <w:r w:rsidR="00E81D48" w:rsidRPr="000A1EDD">
        <w:rPr>
          <w:rFonts w:asciiTheme="majorBidi" w:hAnsiTheme="majorBidi" w:cstheme="majorBidi"/>
          <w:lang w:eastAsia="en-GB"/>
        </w:rPr>
        <w:t>el throughout the asylum proceedings</w:t>
      </w:r>
      <w:r w:rsidR="00A209DC" w:rsidRPr="000A1EDD">
        <w:rPr>
          <w:rFonts w:asciiTheme="majorBidi" w:hAnsiTheme="majorBidi" w:cstheme="majorBidi"/>
          <w:lang w:eastAsia="en-GB"/>
        </w:rPr>
        <w:t>.</w:t>
      </w:r>
      <w:r w:rsidR="006A6EBE" w:rsidRPr="000A1EDD">
        <w:rPr>
          <w:rFonts w:asciiTheme="majorBidi" w:hAnsiTheme="majorBidi" w:cstheme="majorBidi"/>
          <w:lang w:eastAsia="en-GB"/>
        </w:rPr>
        <w:t xml:space="preserve"> </w:t>
      </w:r>
    </w:p>
    <w:p w:rsidR="002010CE" w:rsidRPr="000A1EDD" w:rsidRDefault="008C16BA" w:rsidP="00A05250">
      <w:pPr>
        <w:pStyle w:val="SingleTxtG"/>
        <w:rPr>
          <w:rFonts w:asciiTheme="majorBidi" w:hAnsiTheme="majorBidi" w:cstheme="majorBidi"/>
          <w:lang w:eastAsia="en-GB"/>
        </w:rPr>
      </w:pPr>
      <w:r w:rsidRPr="000A1EDD">
        <w:rPr>
          <w:rFonts w:asciiTheme="majorBidi" w:hAnsiTheme="majorBidi" w:cstheme="majorBidi"/>
          <w:lang w:eastAsia="en-GB"/>
        </w:rPr>
        <w:t>6.4</w:t>
      </w:r>
      <w:r w:rsidR="006A6EBE" w:rsidRPr="000A1EDD">
        <w:rPr>
          <w:rFonts w:asciiTheme="majorBidi" w:hAnsiTheme="majorBidi" w:cstheme="majorBidi"/>
          <w:lang w:eastAsia="en-GB"/>
        </w:rPr>
        <w:t xml:space="preserve"> </w:t>
      </w:r>
      <w:r w:rsidR="00A05250" w:rsidRPr="000A1EDD">
        <w:rPr>
          <w:rFonts w:asciiTheme="majorBidi" w:hAnsiTheme="majorBidi" w:cstheme="majorBidi"/>
          <w:lang w:eastAsia="en-GB"/>
        </w:rPr>
        <w:tab/>
      </w:r>
      <w:r w:rsidR="006A6EBE" w:rsidRPr="000A1EDD">
        <w:rPr>
          <w:rFonts w:asciiTheme="majorBidi" w:hAnsiTheme="majorBidi" w:cstheme="majorBidi"/>
          <w:lang w:eastAsia="en-GB"/>
        </w:rPr>
        <w:t xml:space="preserve">The State party </w:t>
      </w:r>
      <w:r w:rsidRPr="000A1EDD">
        <w:rPr>
          <w:rFonts w:asciiTheme="majorBidi" w:hAnsiTheme="majorBidi" w:cstheme="majorBidi"/>
          <w:lang w:eastAsia="en-GB"/>
        </w:rPr>
        <w:t xml:space="preserve">adds </w:t>
      </w:r>
      <w:r w:rsidR="006A6EBE" w:rsidRPr="000A1EDD">
        <w:rPr>
          <w:rFonts w:asciiTheme="majorBidi" w:hAnsiTheme="majorBidi" w:cstheme="majorBidi"/>
          <w:lang w:eastAsia="en-GB"/>
        </w:rPr>
        <w:t xml:space="preserve">that during the interview on 11 April 2012, the complainant, </w:t>
      </w:r>
      <w:r w:rsidR="006A6EBE" w:rsidRPr="000A1EDD">
        <w:rPr>
          <w:rFonts w:asciiTheme="majorBidi" w:hAnsiTheme="majorBidi" w:cstheme="majorBidi"/>
          <w:iCs/>
          <w:lang w:eastAsia="en-GB"/>
        </w:rPr>
        <w:t>inter alia</w:t>
      </w:r>
      <w:r w:rsidR="006A6EBE" w:rsidRPr="000A1EDD">
        <w:rPr>
          <w:rFonts w:asciiTheme="majorBidi" w:hAnsiTheme="majorBidi" w:cstheme="majorBidi"/>
          <w:i/>
          <w:iCs/>
          <w:lang w:eastAsia="en-GB"/>
        </w:rPr>
        <w:t xml:space="preserve">, </w:t>
      </w:r>
      <w:r w:rsidR="006A6EBE" w:rsidRPr="000A1EDD">
        <w:rPr>
          <w:rFonts w:asciiTheme="majorBidi" w:hAnsiTheme="majorBidi" w:cstheme="majorBidi"/>
          <w:lang w:eastAsia="en-GB"/>
        </w:rPr>
        <w:t>accounted for his reasons for leaving his home country and what he risked if he were to return to Bangladesh. On 2 May 2012, the Migration Agency conducted an investigation regarding the complainant’s reasons for seeking asylum. During the interview on 3 May 2012, he submitted information concerning his identity, passport, family situation, health, education and work. In th</w:t>
      </w:r>
      <w:r w:rsidR="00015FEB" w:rsidRPr="000A1EDD">
        <w:rPr>
          <w:rFonts w:asciiTheme="majorBidi" w:hAnsiTheme="majorBidi" w:cstheme="majorBidi"/>
          <w:lang w:eastAsia="en-GB"/>
        </w:rPr>
        <w:t>at</w:t>
      </w:r>
      <w:r w:rsidR="006A6EBE" w:rsidRPr="000A1EDD">
        <w:rPr>
          <w:rFonts w:asciiTheme="majorBidi" w:hAnsiTheme="majorBidi" w:cstheme="majorBidi"/>
          <w:lang w:eastAsia="en-GB"/>
        </w:rPr>
        <w:t xml:space="preserve"> connection, the State party submits that according to the minutes of the interview </w:t>
      </w:r>
      <w:r w:rsidR="00015FEB" w:rsidRPr="000A1EDD">
        <w:rPr>
          <w:rFonts w:asciiTheme="majorBidi" w:hAnsiTheme="majorBidi" w:cstheme="majorBidi"/>
          <w:lang w:eastAsia="en-GB"/>
        </w:rPr>
        <w:t xml:space="preserve">held </w:t>
      </w:r>
      <w:r w:rsidR="006A6EBE" w:rsidRPr="000A1EDD">
        <w:rPr>
          <w:rFonts w:asciiTheme="majorBidi" w:hAnsiTheme="majorBidi" w:cstheme="majorBidi"/>
          <w:lang w:eastAsia="en-GB"/>
        </w:rPr>
        <w:t>on 2 May 2012, the complainant was informed that it could be the only occasion to present his asylum claims</w:t>
      </w:r>
      <w:r w:rsidR="00015FEB" w:rsidRPr="000A1EDD">
        <w:rPr>
          <w:rFonts w:asciiTheme="majorBidi" w:hAnsiTheme="majorBidi" w:cstheme="majorBidi"/>
          <w:lang w:eastAsia="en-GB"/>
        </w:rPr>
        <w:t xml:space="preserve"> orally</w:t>
      </w:r>
      <w:r w:rsidR="006A6EBE" w:rsidRPr="000A1EDD">
        <w:rPr>
          <w:rFonts w:asciiTheme="majorBidi" w:hAnsiTheme="majorBidi" w:cstheme="majorBidi"/>
          <w:lang w:eastAsia="en-GB"/>
        </w:rPr>
        <w:t xml:space="preserve">. Further, he was informed that </w:t>
      </w:r>
      <w:r w:rsidR="00015FEB" w:rsidRPr="000A1EDD">
        <w:rPr>
          <w:rFonts w:asciiTheme="majorBidi" w:hAnsiTheme="majorBidi" w:cstheme="majorBidi"/>
          <w:lang w:eastAsia="en-GB"/>
        </w:rPr>
        <w:t>it was his</w:t>
      </w:r>
      <w:r w:rsidR="006A6EBE" w:rsidRPr="000A1EDD">
        <w:rPr>
          <w:rFonts w:asciiTheme="majorBidi" w:hAnsiTheme="majorBidi" w:cstheme="majorBidi"/>
          <w:lang w:eastAsia="en-GB"/>
        </w:rPr>
        <w:t xml:space="preserve"> responsibility </w:t>
      </w:r>
      <w:r w:rsidR="00015FEB" w:rsidRPr="000A1EDD">
        <w:rPr>
          <w:rFonts w:asciiTheme="majorBidi" w:hAnsiTheme="majorBidi" w:cstheme="majorBidi"/>
          <w:lang w:eastAsia="en-GB"/>
        </w:rPr>
        <w:t>to</w:t>
      </w:r>
      <w:r w:rsidR="006A6EBE" w:rsidRPr="000A1EDD">
        <w:rPr>
          <w:rFonts w:asciiTheme="majorBidi" w:hAnsiTheme="majorBidi" w:cstheme="majorBidi"/>
          <w:lang w:eastAsia="en-GB"/>
        </w:rPr>
        <w:t xml:space="preserve"> present all his claims and that it was important that all his reasons were presented during the investigation. The complainant </w:t>
      </w:r>
      <w:r w:rsidRPr="000A1EDD">
        <w:rPr>
          <w:rFonts w:asciiTheme="majorBidi" w:hAnsiTheme="majorBidi" w:cstheme="majorBidi"/>
          <w:lang w:eastAsia="en-GB"/>
        </w:rPr>
        <w:t xml:space="preserve">confirmed </w:t>
      </w:r>
      <w:r w:rsidR="006A6EBE" w:rsidRPr="000A1EDD">
        <w:rPr>
          <w:rFonts w:asciiTheme="majorBidi" w:hAnsiTheme="majorBidi" w:cstheme="majorBidi"/>
          <w:lang w:eastAsia="en-GB"/>
        </w:rPr>
        <w:t>that he understood the interpreter well. In th</w:t>
      </w:r>
      <w:r w:rsidR="00015FEB" w:rsidRPr="000A1EDD">
        <w:rPr>
          <w:rFonts w:asciiTheme="majorBidi" w:hAnsiTheme="majorBidi" w:cstheme="majorBidi"/>
          <w:lang w:eastAsia="en-GB"/>
        </w:rPr>
        <w:t>at</w:t>
      </w:r>
      <w:r w:rsidR="006A6EBE" w:rsidRPr="000A1EDD">
        <w:rPr>
          <w:rFonts w:asciiTheme="majorBidi" w:hAnsiTheme="majorBidi" w:cstheme="majorBidi"/>
          <w:lang w:eastAsia="en-GB"/>
        </w:rPr>
        <w:t xml:space="preserve"> connection, the State party reiterates that the minutes of the asylum investigation were communicated to the public counsel</w:t>
      </w:r>
      <w:r w:rsidR="006472D1" w:rsidRPr="000A1EDD">
        <w:rPr>
          <w:rFonts w:asciiTheme="majorBidi" w:hAnsiTheme="majorBidi" w:cstheme="majorBidi"/>
          <w:lang w:eastAsia="en-GB"/>
        </w:rPr>
        <w:t>,</w:t>
      </w:r>
      <w:r w:rsidR="006A6EBE" w:rsidRPr="000A1EDD">
        <w:rPr>
          <w:rFonts w:asciiTheme="majorBidi" w:hAnsiTheme="majorBidi" w:cstheme="majorBidi"/>
          <w:lang w:eastAsia="en-GB"/>
        </w:rPr>
        <w:t xml:space="preserve"> who </w:t>
      </w:r>
      <w:r w:rsidR="00C5532F" w:rsidRPr="000A1EDD">
        <w:rPr>
          <w:rFonts w:asciiTheme="majorBidi" w:hAnsiTheme="majorBidi" w:cstheme="majorBidi"/>
          <w:lang w:eastAsia="en-GB"/>
        </w:rPr>
        <w:t>later</w:t>
      </w:r>
      <w:r w:rsidR="006A6EBE" w:rsidRPr="000A1EDD">
        <w:rPr>
          <w:rFonts w:asciiTheme="majorBidi" w:hAnsiTheme="majorBidi" w:cstheme="majorBidi"/>
          <w:lang w:eastAsia="en-GB"/>
        </w:rPr>
        <w:t xml:space="preserve"> submitted five pages of supplementary information and arguments. </w:t>
      </w:r>
    </w:p>
    <w:p w:rsidR="002D67A3" w:rsidRPr="000A1EDD" w:rsidRDefault="008C16BA" w:rsidP="00A05250">
      <w:pPr>
        <w:pStyle w:val="SingleTxtG"/>
        <w:rPr>
          <w:rFonts w:asciiTheme="majorBidi" w:hAnsiTheme="majorBidi" w:cstheme="majorBidi"/>
          <w:lang w:eastAsia="en-GB"/>
        </w:rPr>
      </w:pPr>
      <w:r w:rsidRPr="000A1EDD">
        <w:rPr>
          <w:rFonts w:asciiTheme="majorBidi" w:hAnsiTheme="majorBidi" w:cstheme="majorBidi"/>
          <w:lang w:eastAsia="en-GB"/>
        </w:rPr>
        <w:t>6.5</w:t>
      </w:r>
      <w:r w:rsidR="003E3D20" w:rsidRPr="000A1EDD">
        <w:rPr>
          <w:rFonts w:asciiTheme="majorBidi" w:hAnsiTheme="majorBidi" w:cstheme="majorBidi"/>
          <w:lang w:eastAsia="en-GB"/>
        </w:rPr>
        <w:t xml:space="preserve"> </w:t>
      </w:r>
      <w:r w:rsidR="00A05250" w:rsidRPr="000A1EDD">
        <w:rPr>
          <w:rFonts w:asciiTheme="majorBidi" w:hAnsiTheme="majorBidi" w:cstheme="majorBidi"/>
          <w:lang w:eastAsia="en-GB"/>
        </w:rPr>
        <w:tab/>
      </w:r>
      <w:r w:rsidR="003E3D20" w:rsidRPr="000A1EDD">
        <w:rPr>
          <w:rFonts w:asciiTheme="majorBidi" w:hAnsiTheme="majorBidi" w:cstheme="majorBidi"/>
          <w:lang w:eastAsia="en-GB"/>
        </w:rPr>
        <w:t>The State party finally reiterates its position concerning the significance of the invalidity and medical certificates from Bangladesh</w:t>
      </w:r>
      <w:r w:rsidR="002D67A3" w:rsidRPr="000A1EDD">
        <w:rPr>
          <w:rFonts w:asciiTheme="majorBidi" w:hAnsiTheme="majorBidi" w:cstheme="majorBidi"/>
          <w:lang w:eastAsia="en-GB"/>
        </w:rPr>
        <w:t xml:space="preserve"> and notes several mistakes in the complainant</w:t>
      </w:r>
      <w:r w:rsidRPr="000A1EDD">
        <w:rPr>
          <w:rFonts w:asciiTheme="majorBidi" w:hAnsiTheme="majorBidi" w:cstheme="majorBidi"/>
          <w:lang w:eastAsia="en-GB"/>
        </w:rPr>
        <w:t>’s</w:t>
      </w:r>
      <w:r w:rsidR="002D67A3" w:rsidRPr="000A1EDD">
        <w:rPr>
          <w:rFonts w:asciiTheme="majorBidi" w:hAnsiTheme="majorBidi" w:cstheme="majorBidi"/>
          <w:lang w:eastAsia="en-GB"/>
        </w:rPr>
        <w:t xml:space="preserve"> translations of the minutes of his asylum interview </w:t>
      </w:r>
      <w:r w:rsidR="002010CE" w:rsidRPr="000A1EDD">
        <w:rPr>
          <w:rFonts w:asciiTheme="majorBidi" w:hAnsiTheme="majorBidi" w:cstheme="majorBidi"/>
          <w:lang w:eastAsia="en-GB"/>
        </w:rPr>
        <w:t>of 2 May 2012.</w:t>
      </w:r>
      <w:r w:rsidR="003E3D20" w:rsidRPr="000A1EDD">
        <w:rPr>
          <w:rFonts w:asciiTheme="majorBidi" w:hAnsiTheme="majorBidi" w:cstheme="majorBidi"/>
          <w:lang w:eastAsia="en-GB"/>
        </w:rPr>
        <w:t xml:space="preserve"> </w:t>
      </w:r>
      <w:r w:rsidR="002010CE" w:rsidRPr="000A1EDD">
        <w:rPr>
          <w:rFonts w:asciiTheme="majorBidi" w:hAnsiTheme="majorBidi" w:cstheme="majorBidi"/>
          <w:lang w:eastAsia="en-GB"/>
        </w:rPr>
        <w:t xml:space="preserve">In </w:t>
      </w:r>
      <w:r w:rsidR="006472D1" w:rsidRPr="000A1EDD">
        <w:rPr>
          <w:rFonts w:asciiTheme="majorBidi" w:hAnsiTheme="majorBidi" w:cstheme="majorBidi"/>
          <w:lang w:eastAsia="en-GB"/>
        </w:rPr>
        <w:t xml:space="preserve">the </w:t>
      </w:r>
      <w:r w:rsidR="002010CE" w:rsidRPr="000A1EDD">
        <w:rPr>
          <w:rFonts w:asciiTheme="majorBidi" w:hAnsiTheme="majorBidi" w:cstheme="majorBidi"/>
          <w:lang w:eastAsia="en-GB"/>
        </w:rPr>
        <w:lastRenderedPageBreak/>
        <w:t>light of all the above</w:t>
      </w:r>
      <w:r w:rsidR="006472D1" w:rsidRPr="000A1EDD">
        <w:rPr>
          <w:rFonts w:asciiTheme="majorBidi" w:hAnsiTheme="majorBidi" w:cstheme="majorBidi"/>
          <w:lang w:eastAsia="en-GB"/>
        </w:rPr>
        <w:t>,</w:t>
      </w:r>
      <w:r w:rsidR="002010CE" w:rsidRPr="000A1EDD">
        <w:rPr>
          <w:rFonts w:asciiTheme="majorBidi" w:hAnsiTheme="majorBidi" w:cstheme="majorBidi"/>
          <w:lang w:eastAsia="en-GB"/>
        </w:rPr>
        <w:t xml:space="preserve"> the State party reiterates that the present complaint is inadmissible and without merit.</w:t>
      </w:r>
    </w:p>
    <w:p w:rsidR="00D32867" w:rsidRPr="000A1EDD" w:rsidRDefault="007821E7" w:rsidP="00D32867">
      <w:pPr>
        <w:pStyle w:val="H23G"/>
        <w:rPr>
          <w:rFonts w:asciiTheme="majorBidi" w:hAnsiTheme="majorBidi" w:cstheme="majorBidi"/>
        </w:rPr>
      </w:pPr>
      <w:r w:rsidRPr="000A1EDD">
        <w:rPr>
          <w:rFonts w:asciiTheme="majorBidi" w:hAnsiTheme="majorBidi" w:cstheme="majorBidi"/>
          <w:snapToGrid w:val="0"/>
        </w:rPr>
        <w:tab/>
      </w:r>
      <w:r w:rsidRPr="000A1EDD">
        <w:rPr>
          <w:rFonts w:asciiTheme="majorBidi" w:hAnsiTheme="majorBidi" w:cstheme="majorBidi"/>
          <w:snapToGrid w:val="0"/>
        </w:rPr>
        <w:tab/>
      </w:r>
      <w:r w:rsidR="00D32867" w:rsidRPr="000A1EDD">
        <w:rPr>
          <w:rFonts w:asciiTheme="majorBidi" w:hAnsiTheme="majorBidi" w:cstheme="majorBidi"/>
        </w:rPr>
        <w:t>Issues and proceedings before the Committee</w:t>
      </w:r>
    </w:p>
    <w:p w:rsidR="00D32867" w:rsidRPr="000A1EDD" w:rsidRDefault="00D32867" w:rsidP="00D32867">
      <w:pPr>
        <w:pStyle w:val="H4G"/>
        <w:rPr>
          <w:rFonts w:asciiTheme="majorBidi" w:hAnsiTheme="majorBidi" w:cstheme="majorBidi"/>
        </w:rPr>
      </w:pPr>
      <w:r w:rsidRPr="000A1EDD">
        <w:rPr>
          <w:rFonts w:asciiTheme="majorBidi" w:hAnsiTheme="majorBidi" w:cstheme="majorBidi"/>
        </w:rPr>
        <w:tab/>
      </w:r>
      <w:r w:rsidRPr="000A1EDD">
        <w:rPr>
          <w:rFonts w:asciiTheme="majorBidi" w:hAnsiTheme="majorBidi" w:cstheme="majorBidi"/>
        </w:rPr>
        <w:tab/>
        <w:t>Consideration of admissibility</w:t>
      </w:r>
    </w:p>
    <w:p w:rsidR="00D32867" w:rsidRPr="000A1EDD" w:rsidRDefault="008C16BA" w:rsidP="00D32867">
      <w:pPr>
        <w:pStyle w:val="SingleTxtG"/>
        <w:rPr>
          <w:rFonts w:asciiTheme="majorBidi" w:hAnsiTheme="majorBidi" w:cstheme="majorBidi"/>
        </w:rPr>
      </w:pPr>
      <w:r w:rsidRPr="000A1EDD">
        <w:rPr>
          <w:rFonts w:asciiTheme="majorBidi" w:hAnsiTheme="majorBidi" w:cstheme="majorBidi"/>
        </w:rPr>
        <w:t>7</w:t>
      </w:r>
      <w:r w:rsidR="00D32867" w:rsidRPr="000A1EDD">
        <w:rPr>
          <w:rFonts w:asciiTheme="majorBidi" w:hAnsiTheme="majorBidi" w:cstheme="majorBidi"/>
        </w:rPr>
        <w:t>.1</w:t>
      </w:r>
      <w:r w:rsidR="00D32867" w:rsidRPr="000A1EDD">
        <w:rPr>
          <w:rFonts w:asciiTheme="majorBidi" w:hAnsiTheme="majorBidi" w:cstheme="majorBidi"/>
        </w:rPr>
        <w:tab/>
        <w:t xml:space="preserve">Before considering any complaint submitted in a communication, the Committee must decide whether it is admissible under article 22 of the Convention. </w:t>
      </w:r>
    </w:p>
    <w:p w:rsidR="00D32867" w:rsidRPr="000A1EDD" w:rsidRDefault="008C16BA" w:rsidP="00D32867">
      <w:pPr>
        <w:pStyle w:val="SingleTxtG"/>
        <w:rPr>
          <w:rFonts w:asciiTheme="majorBidi" w:hAnsiTheme="majorBidi" w:cstheme="majorBidi"/>
          <w:bCs/>
        </w:rPr>
      </w:pPr>
      <w:r w:rsidRPr="000A1EDD">
        <w:rPr>
          <w:rFonts w:asciiTheme="majorBidi" w:hAnsiTheme="majorBidi" w:cstheme="majorBidi"/>
          <w:bCs/>
        </w:rPr>
        <w:t>7</w:t>
      </w:r>
      <w:r w:rsidR="00D32867" w:rsidRPr="000A1EDD">
        <w:rPr>
          <w:rFonts w:asciiTheme="majorBidi" w:hAnsiTheme="majorBidi" w:cstheme="majorBidi"/>
          <w:bCs/>
        </w:rPr>
        <w:t xml:space="preserve">.2 </w:t>
      </w:r>
      <w:r w:rsidR="00D32867" w:rsidRPr="000A1EDD">
        <w:rPr>
          <w:rFonts w:asciiTheme="majorBidi" w:hAnsiTheme="majorBidi" w:cstheme="majorBidi"/>
          <w:bCs/>
        </w:rPr>
        <w:tab/>
        <w:t xml:space="preserve">The Committee takes note of the State party’s observation that the complaint should be declared inadmissible under article 22 (5) (a) of the Convention, </w:t>
      </w:r>
      <w:r w:rsidRPr="000A1EDD">
        <w:rPr>
          <w:rFonts w:asciiTheme="majorBidi" w:hAnsiTheme="majorBidi" w:cstheme="majorBidi"/>
          <w:bCs/>
        </w:rPr>
        <w:t>as</w:t>
      </w:r>
      <w:r w:rsidR="00D32867" w:rsidRPr="000A1EDD">
        <w:rPr>
          <w:rFonts w:asciiTheme="majorBidi" w:hAnsiTheme="majorBidi" w:cstheme="majorBidi"/>
          <w:bCs/>
        </w:rPr>
        <w:t xml:space="preserve"> the same matter has already been examined by the </w:t>
      </w:r>
      <w:r w:rsidR="006472D1" w:rsidRPr="000A1EDD">
        <w:rPr>
          <w:rFonts w:asciiTheme="majorBidi" w:hAnsiTheme="majorBidi" w:cstheme="majorBidi"/>
          <w:lang w:eastAsia="en-GB"/>
        </w:rPr>
        <w:t>European Court of Human Rights</w:t>
      </w:r>
      <w:r w:rsidR="00D32867" w:rsidRPr="000A1EDD">
        <w:rPr>
          <w:rFonts w:asciiTheme="majorBidi" w:hAnsiTheme="majorBidi" w:cstheme="majorBidi"/>
          <w:bCs/>
        </w:rPr>
        <w:t xml:space="preserve">. The Committee also takes note of the complainant’s observation that </w:t>
      </w:r>
      <w:r w:rsidR="0065387B" w:rsidRPr="000A1EDD">
        <w:rPr>
          <w:rFonts w:asciiTheme="majorBidi" w:hAnsiTheme="majorBidi" w:cstheme="majorBidi"/>
        </w:rPr>
        <w:t xml:space="preserve">his application to the </w:t>
      </w:r>
      <w:r w:rsidR="006472D1" w:rsidRPr="000A1EDD">
        <w:rPr>
          <w:rFonts w:asciiTheme="majorBidi" w:hAnsiTheme="majorBidi" w:cstheme="majorBidi"/>
        </w:rPr>
        <w:t xml:space="preserve">Court </w:t>
      </w:r>
      <w:r w:rsidR="0065387B" w:rsidRPr="000A1EDD">
        <w:rPr>
          <w:rFonts w:asciiTheme="majorBidi" w:hAnsiTheme="majorBidi" w:cstheme="majorBidi"/>
        </w:rPr>
        <w:t xml:space="preserve">was rejected as inadmissible without a reason and </w:t>
      </w:r>
      <w:r w:rsidR="00D32867" w:rsidRPr="000A1EDD">
        <w:rPr>
          <w:rFonts w:asciiTheme="majorBidi" w:hAnsiTheme="majorBidi" w:cstheme="majorBidi"/>
          <w:bCs/>
        </w:rPr>
        <w:t xml:space="preserve">that its limited reasoning does not allow the Committee against Torture to conclude that the </w:t>
      </w:r>
      <w:r w:rsidR="006472D1" w:rsidRPr="000A1EDD">
        <w:rPr>
          <w:rFonts w:asciiTheme="majorBidi" w:hAnsiTheme="majorBidi" w:cstheme="majorBidi"/>
          <w:bCs/>
        </w:rPr>
        <w:t xml:space="preserve">Court </w:t>
      </w:r>
      <w:r w:rsidR="00D32867" w:rsidRPr="000A1EDD">
        <w:rPr>
          <w:rFonts w:asciiTheme="majorBidi" w:hAnsiTheme="majorBidi" w:cstheme="majorBidi"/>
          <w:bCs/>
        </w:rPr>
        <w:t>gave sufficient consider</w:t>
      </w:r>
      <w:r w:rsidR="0065387B" w:rsidRPr="000A1EDD">
        <w:rPr>
          <w:rFonts w:asciiTheme="majorBidi" w:hAnsiTheme="majorBidi" w:cstheme="majorBidi"/>
          <w:bCs/>
        </w:rPr>
        <w:t xml:space="preserve">ation </w:t>
      </w:r>
      <w:r w:rsidR="006472D1" w:rsidRPr="000A1EDD">
        <w:rPr>
          <w:rFonts w:asciiTheme="majorBidi" w:hAnsiTheme="majorBidi" w:cstheme="majorBidi"/>
          <w:bCs/>
        </w:rPr>
        <w:t xml:space="preserve">to </w:t>
      </w:r>
      <w:r w:rsidR="0065387B" w:rsidRPr="000A1EDD">
        <w:rPr>
          <w:rFonts w:asciiTheme="majorBidi" w:hAnsiTheme="majorBidi" w:cstheme="majorBidi"/>
          <w:bCs/>
        </w:rPr>
        <w:t>the merits of the case</w:t>
      </w:r>
      <w:r w:rsidR="00D32867" w:rsidRPr="000A1EDD">
        <w:rPr>
          <w:rFonts w:asciiTheme="majorBidi" w:hAnsiTheme="majorBidi" w:cstheme="majorBidi"/>
          <w:bCs/>
        </w:rPr>
        <w:t xml:space="preserve">. </w:t>
      </w:r>
    </w:p>
    <w:p w:rsidR="00D32867" w:rsidRPr="000A1EDD" w:rsidRDefault="008C16BA" w:rsidP="00D32867">
      <w:pPr>
        <w:pStyle w:val="SingleTxtG"/>
        <w:rPr>
          <w:rFonts w:asciiTheme="majorBidi" w:hAnsiTheme="majorBidi" w:cstheme="majorBidi"/>
          <w:bCs/>
        </w:rPr>
      </w:pPr>
      <w:r w:rsidRPr="000A1EDD">
        <w:rPr>
          <w:rFonts w:asciiTheme="majorBidi" w:hAnsiTheme="majorBidi" w:cstheme="majorBidi"/>
          <w:bCs/>
        </w:rPr>
        <w:t>7</w:t>
      </w:r>
      <w:r w:rsidR="00D32867" w:rsidRPr="000A1EDD">
        <w:rPr>
          <w:rFonts w:asciiTheme="majorBidi" w:hAnsiTheme="majorBidi" w:cstheme="majorBidi"/>
          <w:bCs/>
        </w:rPr>
        <w:t xml:space="preserve">.3 </w:t>
      </w:r>
      <w:r w:rsidR="00D32867" w:rsidRPr="000A1EDD">
        <w:rPr>
          <w:rFonts w:asciiTheme="majorBidi" w:hAnsiTheme="majorBidi" w:cstheme="majorBidi"/>
          <w:bCs/>
        </w:rPr>
        <w:tab/>
        <w:t>The Committee recalls that</w:t>
      </w:r>
      <w:r w:rsidR="00061D66" w:rsidRPr="000A1EDD">
        <w:rPr>
          <w:rFonts w:asciiTheme="majorBidi" w:hAnsiTheme="majorBidi" w:cstheme="majorBidi"/>
          <w:bCs/>
        </w:rPr>
        <w:t>,</w:t>
      </w:r>
      <w:r w:rsidR="00D32867" w:rsidRPr="000A1EDD">
        <w:rPr>
          <w:rFonts w:asciiTheme="majorBidi" w:hAnsiTheme="majorBidi" w:cstheme="majorBidi"/>
          <w:bCs/>
        </w:rPr>
        <w:t xml:space="preserve"> </w:t>
      </w:r>
      <w:r w:rsidR="006472D1" w:rsidRPr="000A1EDD">
        <w:rPr>
          <w:rFonts w:asciiTheme="majorBidi" w:hAnsiTheme="majorBidi" w:cstheme="majorBidi"/>
          <w:bCs/>
        </w:rPr>
        <w:t xml:space="preserve">in accordance with article 22 (5) (a) of the Convention, </w:t>
      </w:r>
      <w:r w:rsidR="00D32867" w:rsidRPr="000A1EDD">
        <w:rPr>
          <w:rFonts w:asciiTheme="majorBidi" w:hAnsiTheme="majorBidi" w:cstheme="majorBidi"/>
          <w:bCs/>
        </w:rPr>
        <w:t xml:space="preserve">it shall not consider any </w:t>
      </w:r>
      <w:r w:rsidR="006472D1" w:rsidRPr="000A1EDD">
        <w:rPr>
          <w:rFonts w:asciiTheme="majorBidi" w:hAnsiTheme="majorBidi" w:cstheme="majorBidi"/>
          <w:bCs/>
        </w:rPr>
        <w:t xml:space="preserve">communication </w:t>
      </w:r>
      <w:r w:rsidR="00D32867" w:rsidRPr="000A1EDD">
        <w:rPr>
          <w:rFonts w:asciiTheme="majorBidi" w:hAnsiTheme="majorBidi" w:cstheme="majorBidi"/>
          <w:bCs/>
        </w:rPr>
        <w:t>from an individual unless it has ascertained that the same matter has not been and is not being examined under another procedure of international investigation or settlement.</w:t>
      </w:r>
      <w:r w:rsidR="00D32867" w:rsidRPr="000A1EDD">
        <w:rPr>
          <w:rStyle w:val="FootnoteReference"/>
          <w:rFonts w:asciiTheme="majorBidi" w:hAnsiTheme="majorBidi" w:cstheme="majorBidi"/>
          <w:bCs/>
        </w:rPr>
        <w:footnoteReference w:id="19"/>
      </w:r>
      <w:r w:rsidR="00D32867" w:rsidRPr="000A1EDD">
        <w:rPr>
          <w:rFonts w:asciiTheme="majorBidi" w:hAnsiTheme="majorBidi" w:cstheme="majorBidi"/>
          <w:bCs/>
        </w:rPr>
        <w:t xml:space="preserve"> The Committee considers that a complaint has been or is being examined by another procedure of international investigation or settlement if the examination by the other procedure related or relates to the same matter within the meaning of article 22 (5) (a), which must be understood as relating to the same parties, the same facts and the same substantive rights.</w:t>
      </w:r>
      <w:r w:rsidR="00D32867" w:rsidRPr="000A1EDD">
        <w:rPr>
          <w:rStyle w:val="FootnoteReference"/>
          <w:rFonts w:asciiTheme="majorBidi" w:hAnsiTheme="majorBidi" w:cstheme="majorBidi"/>
          <w:bCs/>
        </w:rPr>
        <w:footnoteReference w:id="20"/>
      </w:r>
    </w:p>
    <w:p w:rsidR="00D32867" w:rsidRPr="000A1EDD" w:rsidRDefault="005A2C1C" w:rsidP="00D32867">
      <w:pPr>
        <w:pStyle w:val="SingleTxtG"/>
        <w:rPr>
          <w:rFonts w:asciiTheme="majorBidi" w:hAnsiTheme="majorBidi" w:cstheme="majorBidi"/>
          <w:bCs/>
        </w:rPr>
      </w:pPr>
      <w:r w:rsidRPr="000A1EDD">
        <w:rPr>
          <w:rFonts w:asciiTheme="majorBidi" w:hAnsiTheme="majorBidi" w:cstheme="majorBidi"/>
          <w:bCs/>
        </w:rPr>
        <w:t>7</w:t>
      </w:r>
      <w:r w:rsidR="00D32867" w:rsidRPr="000A1EDD">
        <w:rPr>
          <w:rFonts w:asciiTheme="majorBidi" w:hAnsiTheme="majorBidi" w:cstheme="majorBidi"/>
          <w:bCs/>
        </w:rPr>
        <w:t xml:space="preserve">.4 </w:t>
      </w:r>
      <w:r w:rsidR="00D32867" w:rsidRPr="000A1EDD">
        <w:rPr>
          <w:rFonts w:asciiTheme="majorBidi" w:hAnsiTheme="majorBidi" w:cstheme="majorBidi"/>
          <w:bCs/>
        </w:rPr>
        <w:tab/>
        <w:t>The Committee observes that the present complaint raises claims under article 3 of the Convention, relatin</w:t>
      </w:r>
      <w:r w:rsidR="008C16BA" w:rsidRPr="000A1EDD">
        <w:rPr>
          <w:rFonts w:asciiTheme="majorBidi" w:hAnsiTheme="majorBidi" w:cstheme="majorBidi"/>
          <w:bCs/>
        </w:rPr>
        <w:t>g</w:t>
      </w:r>
      <w:r w:rsidR="00D32867" w:rsidRPr="000A1EDD">
        <w:rPr>
          <w:rFonts w:asciiTheme="majorBidi" w:hAnsiTheme="majorBidi" w:cstheme="majorBidi"/>
          <w:bCs/>
        </w:rPr>
        <w:t xml:space="preserve"> to the alleged risk of torture to which the complainant would be subjected if removed to </w:t>
      </w:r>
      <w:r w:rsidR="0065387B" w:rsidRPr="000A1EDD">
        <w:rPr>
          <w:rFonts w:asciiTheme="majorBidi" w:hAnsiTheme="majorBidi" w:cstheme="majorBidi"/>
          <w:bCs/>
        </w:rPr>
        <w:t>Bangladesh</w:t>
      </w:r>
      <w:r w:rsidR="00D32867" w:rsidRPr="000A1EDD">
        <w:rPr>
          <w:rFonts w:asciiTheme="majorBidi" w:hAnsiTheme="majorBidi" w:cstheme="majorBidi"/>
          <w:bCs/>
        </w:rPr>
        <w:t xml:space="preserve">. Accordingly, in the light of the information contained </w:t>
      </w:r>
      <w:r w:rsidR="008C16BA" w:rsidRPr="000A1EDD">
        <w:rPr>
          <w:rFonts w:asciiTheme="majorBidi" w:hAnsiTheme="majorBidi" w:cstheme="majorBidi"/>
          <w:bCs/>
        </w:rPr>
        <w:t xml:space="preserve">on </w:t>
      </w:r>
      <w:r w:rsidR="00D32867" w:rsidRPr="000A1EDD">
        <w:rPr>
          <w:rFonts w:asciiTheme="majorBidi" w:hAnsiTheme="majorBidi" w:cstheme="majorBidi"/>
          <w:bCs/>
        </w:rPr>
        <w:t xml:space="preserve">file, the Committee concludes that complainant’s application submitted to the </w:t>
      </w:r>
      <w:r w:rsidR="00D32867" w:rsidRPr="000A1EDD">
        <w:rPr>
          <w:rFonts w:asciiTheme="majorBidi" w:hAnsiTheme="majorBidi" w:cstheme="majorBidi"/>
        </w:rPr>
        <w:t>European Court of Human Rights</w:t>
      </w:r>
      <w:r w:rsidR="00D32867" w:rsidRPr="000A1EDD">
        <w:rPr>
          <w:rFonts w:asciiTheme="majorBidi" w:hAnsiTheme="majorBidi" w:cstheme="majorBidi"/>
          <w:bCs/>
        </w:rPr>
        <w:t xml:space="preserve"> on </w:t>
      </w:r>
      <w:r w:rsidR="0065387B" w:rsidRPr="000A1EDD">
        <w:rPr>
          <w:rFonts w:asciiTheme="majorBidi" w:hAnsiTheme="majorBidi" w:cstheme="majorBidi"/>
          <w:bCs/>
        </w:rPr>
        <w:t>22 August</w:t>
      </w:r>
      <w:r w:rsidR="00D32867" w:rsidRPr="000A1EDD">
        <w:rPr>
          <w:rFonts w:asciiTheme="majorBidi" w:hAnsiTheme="majorBidi" w:cstheme="majorBidi"/>
          <w:bCs/>
        </w:rPr>
        <w:t xml:space="preserve"> 2014 concerned the same person, was based on the same facts and related to the same substantive rights as those invoked in the present complaint</w:t>
      </w:r>
      <w:r w:rsidR="006472D1" w:rsidRPr="000A1EDD">
        <w:rPr>
          <w:rFonts w:asciiTheme="majorBidi" w:hAnsiTheme="majorBidi" w:cstheme="majorBidi"/>
          <w:bCs/>
        </w:rPr>
        <w:t>,</w:t>
      </w:r>
      <w:r w:rsidR="0065387B" w:rsidRPr="000A1EDD">
        <w:rPr>
          <w:rFonts w:asciiTheme="majorBidi" w:hAnsiTheme="majorBidi" w:cstheme="majorBidi"/>
          <w:bCs/>
        </w:rPr>
        <w:t xml:space="preserve"> i.e. risk of torture upon return to Bangladesh</w:t>
      </w:r>
      <w:r w:rsidR="00D32867" w:rsidRPr="000A1EDD">
        <w:rPr>
          <w:rFonts w:asciiTheme="majorBidi" w:hAnsiTheme="majorBidi" w:cstheme="majorBidi"/>
          <w:bCs/>
        </w:rPr>
        <w:t xml:space="preserve">. The Committee therefore proceeds to examine whether his application was examined by the </w:t>
      </w:r>
      <w:r w:rsidR="00D32867" w:rsidRPr="000A1EDD">
        <w:rPr>
          <w:rFonts w:asciiTheme="majorBidi" w:hAnsiTheme="majorBidi" w:cstheme="majorBidi"/>
        </w:rPr>
        <w:t>European Court of Human Rights</w:t>
      </w:r>
      <w:r w:rsidR="00D32867" w:rsidRPr="000A1EDD">
        <w:rPr>
          <w:rFonts w:asciiTheme="majorBidi" w:hAnsiTheme="majorBidi" w:cstheme="majorBidi"/>
          <w:bCs/>
        </w:rPr>
        <w:t xml:space="preserve"> in the sense of article 22 (5) (a) of the Convention. </w:t>
      </w:r>
    </w:p>
    <w:p w:rsidR="00D32867" w:rsidRPr="000A1EDD" w:rsidRDefault="005A2C1C" w:rsidP="00D32867">
      <w:pPr>
        <w:pStyle w:val="SingleTxtG"/>
        <w:rPr>
          <w:rFonts w:asciiTheme="majorBidi" w:hAnsiTheme="majorBidi" w:cstheme="majorBidi"/>
        </w:rPr>
      </w:pPr>
      <w:r w:rsidRPr="000A1EDD">
        <w:rPr>
          <w:rFonts w:asciiTheme="majorBidi" w:hAnsiTheme="majorBidi" w:cstheme="majorBidi"/>
          <w:bCs/>
        </w:rPr>
        <w:t>7</w:t>
      </w:r>
      <w:r w:rsidR="00D32867" w:rsidRPr="000A1EDD">
        <w:rPr>
          <w:rFonts w:asciiTheme="majorBidi" w:hAnsiTheme="majorBidi" w:cstheme="majorBidi"/>
          <w:bCs/>
        </w:rPr>
        <w:t>.5</w:t>
      </w:r>
      <w:r w:rsidR="00D32867" w:rsidRPr="000A1EDD">
        <w:rPr>
          <w:rFonts w:asciiTheme="majorBidi" w:hAnsiTheme="majorBidi" w:cstheme="majorBidi"/>
          <w:bCs/>
        </w:rPr>
        <w:tab/>
        <w:t xml:space="preserve">In the present case, the Committee observes that the </w:t>
      </w:r>
      <w:r w:rsidR="00D32867" w:rsidRPr="000A1EDD">
        <w:rPr>
          <w:rFonts w:asciiTheme="majorBidi" w:hAnsiTheme="majorBidi" w:cstheme="majorBidi"/>
        </w:rPr>
        <w:t>European Court of Human Rights</w:t>
      </w:r>
      <w:r w:rsidR="00D32867" w:rsidRPr="000A1EDD">
        <w:rPr>
          <w:rFonts w:asciiTheme="majorBidi" w:hAnsiTheme="majorBidi" w:cstheme="majorBidi"/>
          <w:bCs/>
        </w:rPr>
        <w:t xml:space="preserve"> declared the complainant’s application inadmissible as it considered that “</w:t>
      </w:r>
      <w:r w:rsidR="00D32867" w:rsidRPr="000A1EDD">
        <w:rPr>
          <w:rFonts w:asciiTheme="majorBidi" w:hAnsiTheme="majorBidi" w:cstheme="majorBidi"/>
          <w:iCs/>
        </w:rPr>
        <w:t>the material in its possession … did not disclose any appearance of violation of the rights and freedoms set out in the Convention or its Protocols”</w:t>
      </w:r>
      <w:r w:rsidR="00D32867" w:rsidRPr="000A1EDD">
        <w:rPr>
          <w:rFonts w:asciiTheme="majorBidi" w:hAnsiTheme="majorBidi" w:cstheme="majorBidi"/>
          <w:i/>
        </w:rPr>
        <w:t xml:space="preserve">. </w:t>
      </w:r>
      <w:r w:rsidR="00D32867" w:rsidRPr="000A1EDD">
        <w:rPr>
          <w:rFonts w:asciiTheme="majorBidi" w:hAnsiTheme="majorBidi" w:cstheme="majorBidi"/>
        </w:rPr>
        <w:t>In th</w:t>
      </w:r>
      <w:r w:rsidR="006472D1" w:rsidRPr="000A1EDD">
        <w:rPr>
          <w:rFonts w:asciiTheme="majorBidi" w:hAnsiTheme="majorBidi" w:cstheme="majorBidi"/>
        </w:rPr>
        <w:t>ose</w:t>
      </w:r>
      <w:r w:rsidRPr="000A1EDD">
        <w:rPr>
          <w:rFonts w:asciiTheme="majorBidi" w:hAnsiTheme="majorBidi" w:cstheme="majorBidi"/>
        </w:rPr>
        <w:t xml:space="preserve"> circumstances</w:t>
      </w:r>
      <w:r w:rsidR="00D32867" w:rsidRPr="000A1EDD">
        <w:rPr>
          <w:rFonts w:asciiTheme="majorBidi" w:hAnsiTheme="majorBidi" w:cstheme="majorBidi"/>
        </w:rPr>
        <w:t xml:space="preserve">, the Committee considers that the decision of the </w:t>
      </w:r>
      <w:r w:rsidR="006472D1" w:rsidRPr="000A1EDD">
        <w:rPr>
          <w:rFonts w:asciiTheme="majorBidi" w:hAnsiTheme="majorBidi" w:cstheme="majorBidi"/>
        </w:rPr>
        <w:t xml:space="preserve">Court </w:t>
      </w:r>
      <w:r w:rsidR="00D32867" w:rsidRPr="000A1EDD">
        <w:rPr>
          <w:rFonts w:asciiTheme="majorBidi" w:hAnsiTheme="majorBidi" w:cstheme="majorBidi"/>
        </w:rPr>
        <w:t>was not solely based on procedural issues, but on reasons that indicate a sufficient consideration of the merits of the case.</w:t>
      </w:r>
      <w:r w:rsidR="00D32867" w:rsidRPr="000A1EDD">
        <w:rPr>
          <w:rStyle w:val="FootnoteReference"/>
          <w:rFonts w:asciiTheme="majorBidi" w:hAnsiTheme="majorBidi" w:cstheme="majorBidi"/>
        </w:rPr>
        <w:footnoteReference w:id="21"/>
      </w:r>
      <w:r w:rsidR="00D32867" w:rsidRPr="000A1EDD">
        <w:rPr>
          <w:rFonts w:asciiTheme="majorBidi" w:hAnsiTheme="majorBidi" w:cstheme="majorBidi"/>
        </w:rPr>
        <w:t xml:space="preserve"> Accordingly, the Committee considers that the claims raised by the complainant regarding the alleged risk he would face if deported to </w:t>
      </w:r>
      <w:r w:rsidR="0065387B" w:rsidRPr="000A1EDD">
        <w:rPr>
          <w:rFonts w:asciiTheme="majorBidi" w:hAnsiTheme="majorBidi" w:cstheme="majorBidi"/>
        </w:rPr>
        <w:t>Bangladesh</w:t>
      </w:r>
      <w:r w:rsidR="00D32867" w:rsidRPr="000A1EDD">
        <w:rPr>
          <w:rFonts w:asciiTheme="majorBidi" w:hAnsiTheme="majorBidi" w:cstheme="majorBidi"/>
        </w:rPr>
        <w:t xml:space="preserve"> are inadmissible in accordance with article 22 (5) (a) of the Convention.</w:t>
      </w:r>
    </w:p>
    <w:p w:rsidR="00D32867" w:rsidRPr="000A1EDD" w:rsidRDefault="005A2C1C" w:rsidP="00D32867">
      <w:pPr>
        <w:pStyle w:val="SingleTxtG"/>
        <w:rPr>
          <w:rFonts w:asciiTheme="majorBidi" w:hAnsiTheme="majorBidi" w:cstheme="majorBidi"/>
          <w:bCs/>
        </w:rPr>
      </w:pPr>
      <w:r w:rsidRPr="000A1EDD">
        <w:rPr>
          <w:rFonts w:asciiTheme="majorBidi" w:hAnsiTheme="majorBidi" w:cstheme="majorBidi"/>
          <w:bCs/>
        </w:rPr>
        <w:lastRenderedPageBreak/>
        <w:t>7</w:t>
      </w:r>
      <w:r w:rsidR="00D32867" w:rsidRPr="000A1EDD">
        <w:rPr>
          <w:rFonts w:asciiTheme="majorBidi" w:hAnsiTheme="majorBidi" w:cstheme="majorBidi"/>
          <w:bCs/>
        </w:rPr>
        <w:t>.6</w:t>
      </w:r>
      <w:r w:rsidR="00D32867" w:rsidRPr="000A1EDD">
        <w:rPr>
          <w:rFonts w:asciiTheme="majorBidi" w:hAnsiTheme="majorBidi" w:cstheme="majorBidi"/>
          <w:bCs/>
        </w:rPr>
        <w:tab/>
        <w:t>In view of the above, the Committee considers that the requirement of</w:t>
      </w:r>
      <w:r w:rsidR="00D32867" w:rsidRPr="000A1EDD">
        <w:rPr>
          <w:rFonts w:asciiTheme="majorBidi" w:hAnsiTheme="majorBidi" w:cstheme="majorBidi"/>
          <w:bCs/>
        </w:rPr>
        <w:br/>
        <w:t>article 22 (5) (a) of the Convention has not been met in the present case.</w:t>
      </w:r>
    </w:p>
    <w:p w:rsidR="00D32867" w:rsidRPr="000A1EDD" w:rsidRDefault="000E0066" w:rsidP="00D32867">
      <w:pPr>
        <w:pStyle w:val="SingleTxtG"/>
        <w:rPr>
          <w:rFonts w:asciiTheme="majorBidi" w:hAnsiTheme="majorBidi" w:cstheme="majorBidi"/>
          <w:bCs/>
        </w:rPr>
      </w:pPr>
      <w:r w:rsidRPr="000A1EDD">
        <w:rPr>
          <w:rFonts w:asciiTheme="majorBidi" w:hAnsiTheme="majorBidi" w:cstheme="majorBidi"/>
          <w:bCs/>
        </w:rPr>
        <w:t>8</w:t>
      </w:r>
      <w:r w:rsidR="00D32867" w:rsidRPr="000A1EDD">
        <w:rPr>
          <w:rFonts w:asciiTheme="majorBidi" w:hAnsiTheme="majorBidi" w:cstheme="majorBidi"/>
          <w:bCs/>
        </w:rPr>
        <w:t>.</w:t>
      </w:r>
      <w:r w:rsidR="00D32867" w:rsidRPr="000A1EDD">
        <w:rPr>
          <w:rFonts w:asciiTheme="majorBidi" w:hAnsiTheme="majorBidi" w:cstheme="majorBidi"/>
          <w:bCs/>
        </w:rPr>
        <w:tab/>
        <w:t xml:space="preserve">The Committee therefore decides: </w:t>
      </w:r>
    </w:p>
    <w:p w:rsidR="00D32867" w:rsidRPr="000A1EDD" w:rsidRDefault="00D32867" w:rsidP="00D32867">
      <w:pPr>
        <w:pStyle w:val="SingleTxtG"/>
        <w:rPr>
          <w:rFonts w:asciiTheme="majorBidi" w:hAnsiTheme="majorBidi" w:cstheme="majorBidi"/>
          <w:bCs/>
        </w:rPr>
      </w:pPr>
      <w:r w:rsidRPr="000A1EDD">
        <w:rPr>
          <w:rFonts w:asciiTheme="majorBidi" w:hAnsiTheme="majorBidi" w:cstheme="majorBidi"/>
          <w:bCs/>
        </w:rPr>
        <w:tab/>
        <w:t>(a)</w:t>
      </w:r>
      <w:r w:rsidRPr="000A1EDD">
        <w:rPr>
          <w:rFonts w:asciiTheme="majorBidi" w:hAnsiTheme="majorBidi" w:cstheme="majorBidi"/>
          <w:bCs/>
        </w:rPr>
        <w:tab/>
        <w:t xml:space="preserve">That the </w:t>
      </w:r>
      <w:r w:rsidR="006472D1" w:rsidRPr="000A1EDD">
        <w:rPr>
          <w:rFonts w:asciiTheme="majorBidi" w:hAnsiTheme="majorBidi" w:cstheme="majorBidi"/>
          <w:bCs/>
        </w:rPr>
        <w:t xml:space="preserve">communication </w:t>
      </w:r>
      <w:r w:rsidRPr="000A1EDD">
        <w:rPr>
          <w:rFonts w:asciiTheme="majorBidi" w:hAnsiTheme="majorBidi" w:cstheme="majorBidi"/>
          <w:bCs/>
        </w:rPr>
        <w:t>is inadmissible under article 22 (5) (a) of the Convention;</w:t>
      </w:r>
    </w:p>
    <w:p w:rsidR="00D32867" w:rsidRPr="000A1EDD" w:rsidRDefault="00D32867" w:rsidP="00D32867">
      <w:pPr>
        <w:pStyle w:val="SingleTxtG"/>
        <w:spacing w:after="0"/>
        <w:rPr>
          <w:rFonts w:asciiTheme="majorBidi" w:hAnsiTheme="majorBidi" w:cstheme="majorBidi"/>
          <w:bCs/>
        </w:rPr>
      </w:pPr>
      <w:r w:rsidRPr="000A1EDD">
        <w:rPr>
          <w:rFonts w:asciiTheme="majorBidi" w:hAnsiTheme="majorBidi" w:cstheme="majorBidi"/>
          <w:bCs/>
        </w:rPr>
        <w:tab/>
        <w:t>(b)</w:t>
      </w:r>
      <w:r w:rsidRPr="000A1EDD">
        <w:rPr>
          <w:rFonts w:asciiTheme="majorBidi" w:hAnsiTheme="majorBidi" w:cstheme="majorBidi"/>
          <w:bCs/>
        </w:rPr>
        <w:tab/>
        <w:t>That th</w:t>
      </w:r>
      <w:r w:rsidR="006472D1" w:rsidRPr="000A1EDD">
        <w:rPr>
          <w:rFonts w:asciiTheme="majorBidi" w:hAnsiTheme="majorBidi" w:cstheme="majorBidi"/>
          <w:bCs/>
        </w:rPr>
        <w:t>e present</w:t>
      </w:r>
      <w:r w:rsidRPr="000A1EDD">
        <w:rPr>
          <w:rFonts w:asciiTheme="majorBidi" w:hAnsiTheme="majorBidi" w:cstheme="majorBidi"/>
          <w:bCs/>
        </w:rPr>
        <w:t xml:space="preserve"> decision shall be communicated to the complainant and to the State party.</w:t>
      </w:r>
    </w:p>
    <w:p w:rsidR="00D32867" w:rsidRPr="000A1EDD" w:rsidRDefault="00D32867" w:rsidP="00D32867">
      <w:pPr>
        <w:pStyle w:val="SingleTxtG"/>
        <w:spacing w:before="240" w:after="0"/>
        <w:jc w:val="center"/>
        <w:rPr>
          <w:rFonts w:asciiTheme="majorBidi" w:hAnsiTheme="majorBidi" w:cstheme="majorBidi"/>
          <w:u w:val="single"/>
        </w:rPr>
      </w:pPr>
      <w:r w:rsidRPr="000A1EDD">
        <w:rPr>
          <w:rFonts w:asciiTheme="majorBidi" w:hAnsiTheme="majorBidi" w:cstheme="majorBidi"/>
          <w:u w:val="single"/>
        </w:rPr>
        <w:tab/>
      </w:r>
      <w:r w:rsidRPr="000A1EDD">
        <w:rPr>
          <w:rFonts w:asciiTheme="majorBidi" w:hAnsiTheme="majorBidi" w:cstheme="majorBidi"/>
          <w:u w:val="single"/>
        </w:rPr>
        <w:tab/>
      </w:r>
      <w:r w:rsidRPr="000A1EDD">
        <w:rPr>
          <w:rFonts w:asciiTheme="majorBidi" w:hAnsiTheme="majorBidi" w:cstheme="majorBidi"/>
          <w:u w:val="single"/>
        </w:rPr>
        <w:tab/>
      </w:r>
    </w:p>
    <w:p w:rsidR="00D26C4C" w:rsidRPr="000A1EDD" w:rsidRDefault="00D26C4C" w:rsidP="00C51347">
      <w:pPr>
        <w:pStyle w:val="H23G"/>
        <w:rPr>
          <w:rFonts w:asciiTheme="majorBidi" w:eastAsia="Cambria" w:hAnsiTheme="majorBidi" w:cstheme="majorBidi"/>
          <w:snapToGrid w:val="0"/>
        </w:rPr>
      </w:pPr>
    </w:p>
    <w:sectPr w:rsidR="00D26C4C" w:rsidRPr="000A1EDD" w:rsidSect="000A1EDD">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14" w:rsidRDefault="00A53B14"/>
  </w:endnote>
  <w:endnote w:type="continuationSeparator" w:id="0">
    <w:p w:rsidR="00A53B14" w:rsidRDefault="00A53B14"/>
  </w:endnote>
  <w:endnote w:type="continuationNotice" w:id="1">
    <w:p w:rsidR="00A53B14" w:rsidRDefault="00A53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39T30Lfz">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69" w:rsidRPr="000A1EDD" w:rsidRDefault="00344369" w:rsidP="000A1EDD">
    <w:pPr>
      <w:pStyle w:val="Footer"/>
      <w:tabs>
        <w:tab w:val="right" w:pos="9638"/>
      </w:tabs>
      <w:suppressAutoHyphens w:val="0"/>
      <w:spacing w:line="240" w:lineRule="atLeast"/>
      <w:rPr>
        <w:lang w:val="es-ES" w:eastAsia="es-ES"/>
      </w:rPr>
    </w:pPr>
    <w:r w:rsidRPr="00785A61">
      <w:rPr>
        <w:b/>
        <w:sz w:val="18"/>
      </w:rPr>
      <w:fldChar w:fldCharType="begin"/>
    </w:r>
    <w:r w:rsidRPr="00785A61">
      <w:rPr>
        <w:b/>
        <w:sz w:val="18"/>
      </w:rPr>
      <w:instrText xml:space="preserve"> PAGE  \* MERGEFORMAT </w:instrText>
    </w:r>
    <w:r w:rsidRPr="00785A61">
      <w:rPr>
        <w:b/>
        <w:sz w:val="18"/>
      </w:rPr>
      <w:fldChar w:fldCharType="separate"/>
    </w:r>
    <w:r w:rsidR="00322C80">
      <w:rPr>
        <w:b/>
        <w:noProof/>
        <w:sz w:val="18"/>
      </w:rPr>
      <w:t>2</w:t>
    </w:r>
    <w:r w:rsidRPr="00785A6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69" w:rsidRPr="00785A61" w:rsidRDefault="00344369" w:rsidP="000A1EDD">
    <w:pPr>
      <w:pStyle w:val="Footer"/>
      <w:tabs>
        <w:tab w:val="right" w:pos="9638"/>
      </w:tabs>
      <w:suppressAutoHyphens w:val="0"/>
      <w:spacing w:line="240" w:lineRule="atLeast"/>
      <w:rPr>
        <w:b/>
        <w:sz w:val="18"/>
      </w:rPr>
    </w:pPr>
    <w:r>
      <w:tab/>
    </w:r>
    <w:r w:rsidRPr="00785A61">
      <w:rPr>
        <w:b/>
        <w:sz w:val="18"/>
      </w:rPr>
      <w:fldChar w:fldCharType="begin"/>
    </w:r>
    <w:r w:rsidRPr="00785A61">
      <w:rPr>
        <w:b/>
        <w:sz w:val="18"/>
      </w:rPr>
      <w:instrText xml:space="preserve"> PAGE  \* MERGEFORMAT </w:instrText>
    </w:r>
    <w:r w:rsidRPr="00785A61">
      <w:rPr>
        <w:b/>
        <w:sz w:val="18"/>
      </w:rPr>
      <w:fldChar w:fldCharType="separate"/>
    </w:r>
    <w:r w:rsidR="00322C80">
      <w:rPr>
        <w:b/>
        <w:noProof/>
        <w:sz w:val="18"/>
      </w:rPr>
      <w:t>3</w:t>
    </w:r>
    <w:r w:rsidRPr="00785A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63" w:rsidRDefault="00513B63" w:rsidP="00513B63">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513B63" w:rsidRDefault="00513B63" w:rsidP="00513B63">
    <w:pPr>
      <w:pStyle w:val="Footer"/>
      <w:ind w:right="1134"/>
      <w:rPr>
        <w:sz w:val="20"/>
      </w:rPr>
    </w:pPr>
    <w:r>
      <w:rPr>
        <w:sz w:val="20"/>
      </w:rPr>
      <w:t>GE.16-20827(E)</w:t>
    </w:r>
  </w:p>
  <w:p w:rsidR="00513B63" w:rsidRPr="00513B63" w:rsidRDefault="00513B63" w:rsidP="00513B6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AT/C/58/D/627/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627/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14" w:rsidRPr="000B175B" w:rsidRDefault="00A53B14" w:rsidP="000B175B">
      <w:pPr>
        <w:tabs>
          <w:tab w:val="right" w:pos="2155"/>
        </w:tabs>
        <w:spacing w:after="80"/>
        <w:ind w:left="680"/>
        <w:rPr>
          <w:u w:val="single"/>
        </w:rPr>
      </w:pPr>
      <w:r>
        <w:rPr>
          <w:u w:val="single"/>
        </w:rPr>
        <w:tab/>
      </w:r>
    </w:p>
  </w:footnote>
  <w:footnote w:type="continuationSeparator" w:id="0">
    <w:p w:rsidR="00A53B14" w:rsidRPr="00FC68B7" w:rsidRDefault="00A53B14" w:rsidP="00FC68B7">
      <w:pPr>
        <w:tabs>
          <w:tab w:val="left" w:pos="2155"/>
        </w:tabs>
        <w:spacing w:after="80"/>
        <w:ind w:left="680"/>
        <w:rPr>
          <w:u w:val="single"/>
        </w:rPr>
      </w:pPr>
      <w:r>
        <w:rPr>
          <w:u w:val="single"/>
        </w:rPr>
        <w:tab/>
      </w:r>
    </w:p>
  </w:footnote>
  <w:footnote w:type="continuationNotice" w:id="1">
    <w:p w:rsidR="00A53B14" w:rsidRDefault="00A53B14"/>
  </w:footnote>
  <w:footnote w:id="2">
    <w:p w:rsidR="00344369" w:rsidRPr="00010DA0" w:rsidRDefault="000A1EDD" w:rsidP="00C51347">
      <w:pPr>
        <w:pStyle w:val="FootnoteText"/>
      </w:pPr>
      <w:r>
        <w:rPr>
          <w:sz w:val="20"/>
        </w:rPr>
        <w:tab/>
      </w:r>
      <w:r w:rsidR="00344369" w:rsidRPr="000A1EDD">
        <w:rPr>
          <w:rStyle w:val="FootnoteReference"/>
          <w:sz w:val="20"/>
          <w:vertAlign w:val="baseline"/>
        </w:rPr>
        <w:t>*</w:t>
      </w:r>
      <w:r w:rsidR="00344369">
        <w:tab/>
        <w:t xml:space="preserve">Adopted by the Committee at its fifty-eighth session </w:t>
      </w:r>
      <w:r w:rsidR="00344369" w:rsidRPr="00134645">
        <w:t>(25 July-12 August 2016).</w:t>
      </w:r>
    </w:p>
  </w:footnote>
  <w:footnote w:id="3">
    <w:p w:rsidR="00344369" w:rsidRPr="00010DA0" w:rsidRDefault="00C51347" w:rsidP="000A1EDD">
      <w:pPr>
        <w:pStyle w:val="FootnoteText"/>
      </w:pPr>
      <w:r>
        <w:rPr>
          <w:sz w:val="20"/>
        </w:rPr>
        <w:tab/>
      </w:r>
      <w:r w:rsidR="00344369" w:rsidRPr="000A1EDD">
        <w:rPr>
          <w:rStyle w:val="FootnoteReference"/>
          <w:sz w:val="20"/>
          <w:vertAlign w:val="baseline"/>
        </w:rPr>
        <w:t>**</w:t>
      </w:r>
      <w:r w:rsidR="00344369">
        <w:tab/>
        <w:t xml:space="preserve">The </w:t>
      </w:r>
      <w:r w:rsidR="00344369" w:rsidRPr="00010DA0">
        <w:t>following</w:t>
      </w:r>
      <w:r w:rsidR="00344369">
        <w:t xml:space="preserve"> members of the Committee participated in the examination of the present communication: </w:t>
      </w:r>
      <w:r w:rsidR="00344369" w:rsidRPr="000A1EDD">
        <w:rPr>
          <w:szCs w:val="18"/>
        </w:rPr>
        <w:t>Essadia Belmir, Alessio Bruni, Felice Gaer,</w:t>
      </w:r>
      <w:r w:rsidR="00344369" w:rsidRPr="00134645">
        <w:rPr>
          <w:color w:val="000000"/>
          <w:szCs w:val="18"/>
          <w:lang w:eastAsia="en-GB"/>
        </w:rPr>
        <w:t xml:space="preserve"> </w:t>
      </w:r>
      <w:r w:rsidR="00344369" w:rsidRPr="00E00025">
        <w:rPr>
          <w:color w:val="000000"/>
          <w:szCs w:val="18"/>
          <w:lang w:eastAsia="en-GB"/>
        </w:rPr>
        <w:t>Abdelwahab Hani, Claude Heller Rouassant,</w:t>
      </w:r>
      <w:r w:rsidR="00344369" w:rsidRPr="000A1EDD">
        <w:rPr>
          <w:szCs w:val="18"/>
        </w:rPr>
        <w:t xml:space="preserve"> </w:t>
      </w:r>
      <w:r w:rsidR="00344369" w:rsidRPr="000A1EDD">
        <w:rPr>
          <w:bCs/>
          <w:szCs w:val="18"/>
        </w:rPr>
        <w:t>Jens Modvig,</w:t>
      </w:r>
      <w:r w:rsidR="00344369" w:rsidRPr="000A1EDD">
        <w:rPr>
          <w:color w:val="000000"/>
          <w:szCs w:val="18"/>
          <w:lang w:eastAsia="en-GB"/>
        </w:rPr>
        <w:t xml:space="preserve"> Ana Racu, Sébastien Touz</w:t>
      </w:r>
      <w:r w:rsidR="00344369">
        <w:rPr>
          <w:color w:val="000000"/>
          <w:szCs w:val="18"/>
          <w:lang w:eastAsia="en-GB"/>
        </w:rPr>
        <w:t>é</w:t>
      </w:r>
      <w:r w:rsidR="00344369" w:rsidRPr="000A1EDD">
        <w:rPr>
          <w:bCs/>
          <w:szCs w:val="18"/>
        </w:rPr>
        <w:t xml:space="preserve"> </w:t>
      </w:r>
      <w:r w:rsidR="00344369">
        <w:rPr>
          <w:bCs/>
          <w:szCs w:val="18"/>
        </w:rPr>
        <w:t>and</w:t>
      </w:r>
      <w:r w:rsidR="00344369" w:rsidRPr="000A1EDD">
        <w:t xml:space="preserve"> Kening Zhang.</w:t>
      </w:r>
      <w:r w:rsidR="00344369">
        <w:t xml:space="preserve"> </w:t>
      </w:r>
    </w:p>
  </w:footnote>
  <w:footnote w:id="4">
    <w:p w:rsidR="00344369" w:rsidRPr="00E118A1" w:rsidRDefault="00344369" w:rsidP="000A1EDD">
      <w:pPr>
        <w:pStyle w:val="FootnoteText"/>
        <w:widowControl w:val="0"/>
        <w:tabs>
          <w:tab w:val="clear" w:pos="1021"/>
          <w:tab w:val="right" w:pos="1020"/>
        </w:tabs>
      </w:pPr>
      <w:r w:rsidRPr="00010DA0">
        <w:tab/>
      </w:r>
      <w:r>
        <w:rPr>
          <w:rStyle w:val="FootnoteReference"/>
        </w:rPr>
        <w:footnoteRef/>
      </w:r>
      <w:r>
        <w:tab/>
        <w:t>The case file contains a copy of the decision of the Court of 27 August 2014. In the decision, the Court states, inter alia, the following</w:t>
      </w:r>
      <w:r w:rsidRPr="004E493B">
        <w:t>: “</w:t>
      </w:r>
      <w:r w:rsidRPr="000A1EDD">
        <w:t>In addition, in the light of all the material in its possession, and insofar as the matters complained of were within its competence, the Court …, sitting in a single-judge formation, found that they did not disclose any appearance of violation of the rights and freedoms set out in the Convention or its Protocols and declared your application inadmissible”.</w:t>
      </w:r>
      <w:r w:rsidR="0098574B">
        <w:t xml:space="preserve"> </w:t>
      </w:r>
    </w:p>
  </w:footnote>
  <w:footnote w:id="5">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037EAA">
        <w:t xml:space="preserve">The State party refers to </w:t>
      </w:r>
      <w:r>
        <w:t>communications</w:t>
      </w:r>
      <w:r w:rsidRPr="00037EAA">
        <w:t xml:space="preserve"> No. </w:t>
      </w:r>
      <w:r>
        <w:t xml:space="preserve">305/2006, </w:t>
      </w:r>
      <w:r w:rsidRPr="009462A3">
        <w:rPr>
          <w:i/>
        </w:rPr>
        <w:t>A.R.A. v. Sweden</w:t>
      </w:r>
      <w:r>
        <w:t>, decision adopted on 30</w:t>
      </w:r>
      <w:r w:rsidR="00010DA0">
        <w:t> </w:t>
      </w:r>
      <w:r>
        <w:t xml:space="preserve">April 2007, paras. 6.1 and 6.2, and 140/1999, </w:t>
      </w:r>
      <w:r w:rsidRPr="009462A3">
        <w:rPr>
          <w:i/>
        </w:rPr>
        <w:t>A.G. v. Sweden</w:t>
      </w:r>
      <w:r>
        <w:t xml:space="preserve">, decision adopted on 2 May 2000, paras. </w:t>
      </w:r>
      <w:r w:rsidRPr="00BE327B">
        <w:rPr>
          <w:szCs w:val="18"/>
        </w:rPr>
        <w:t>6.2 an</w:t>
      </w:r>
      <w:r>
        <w:t>d 7.</w:t>
      </w:r>
    </w:p>
  </w:footnote>
  <w:footnote w:id="6">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E146B6">
        <w:rPr>
          <w:szCs w:val="18"/>
        </w:rPr>
        <w:t>The State party refers to Human Rights Committee</w:t>
      </w:r>
      <w:r>
        <w:rPr>
          <w:szCs w:val="18"/>
        </w:rPr>
        <w:t xml:space="preserve"> </w:t>
      </w:r>
      <w:r w:rsidRPr="00E146B6">
        <w:rPr>
          <w:szCs w:val="18"/>
        </w:rPr>
        <w:t>communication</w:t>
      </w:r>
      <w:r>
        <w:rPr>
          <w:szCs w:val="18"/>
        </w:rPr>
        <w:t>s</w:t>
      </w:r>
      <w:r w:rsidRPr="00E146B6">
        <w:rPr>
          <w:szCs w:val="18"/>
        </w:rPr>
        <w:t xml:space="preserve"> No.</w:t>
      </w:r>
      <w:r>
        <w:rPr>
          <w:szCs w:val="18"/>
        </w:rPr>
        <w:t xml:space="preserve"> </w:t>
      </w:r>
      <w:r w:rsidRPr="00E146B6">
        <w:rPr>
          <w:szCs w:val="18"/>
        </w:rPr>
        <w:t xml:space="preserve">989/2001, </w:t>
      </w:r>
      <w:r w:rsidRPr="00E146B6">
        <w:rPr>
          <w:i/>
          <w:szCs w:val="18"/>
        </w:rPr>
        <w:t>Kollar v. Austria</w:t>
      </w:r>
      <w:r w:rsidRPr="00E146B6">
        <w:rPr>
          <w:szCs w:val="18"/>
        </w:rPr>
        <w:t xml:space="preserve">, </w:t>
      </w:r>
      <w:r w:rsidRPr="00A418FB">
        <w:rPr>
          <w:szCs w:val="18"/>
        </w:rPr>
        <w:t>decision</w:t>
      </w:r>
      <w:r w:rsidR="00A418FB">
        <w:rPr>
          <w:szCs w:val="18"/>
        </w:rPr>
        <w:t xml:space="preserve"> on admissibility</w:t>
      </w:r>
      <w:r>
        <w:rPr>
          <w:szCs w:val="18"/>
        </w:rPr>
        <w:t xml:space="preserve"> adopted on 30 July 2003, </w:t>
      </w:r>
      <w:r w:rsidRPr="00E146B6">
        <w:rPr>
          <w:szCs w:val="18"/>
        </w:rPr>
        <w:t>para. 8.4</w:t>
      </w:r>
      <w:r>
        <w:rPr>
          <w:szCs w:val="18"/>
        </w:rPr>
        <w:t>,</w:t>
      </w:r>
      <w:r w:rsidRPr="00E146B6">
        <w:rPr>
          <w:szCs w:val="18"/>
        </w:rPr>
        <w:t xml:space="preserve"> and No. 584/1994, </w:t>
      </w:r>
      <w:r w:rsidRPr="00E146B6">
        <w:rPr>
          <w:i/>
          <w:szCs w:val="18"/>
        </w:rPr>
        <w:t>Valentijn v. France</w:t>
      </w:r>
      <w:r w:rsidRPr="00A418FB">
        <w:rPr>
          <w:szCs w:val="18"/>
        </w:rPr>
        <w:t>, decision</w:t>
      </w:r>
      <w:r w:rsidR="00A418FB">
        <w:rPr>
          <w:szCs w:val="18"/>
        </w:rPr>
        <w:t xml:space="preserve"> on admissibility</w:t>
      </w:r>
      <w:r>
        <w:rPr>
          <w:szCs w:val="18"/>
        </w:rPr>
        <w:t xml:space="preserve"> adopted on 22 July 1996,</w:t>
      </w:r>
      <w:r w:rsidRPr="00E146B6">
        <w:rPr>
          <w:szCs w:val="18"/>
        </w:rPr>
        <w:t xml:space="preserve"> para. 5.2.</w:t>
      </w:r>
      <w:r>
        <w:t xml:space="preserve"> </w:t>
      </w:r>
    </w:p>
  </w:footnote>
  <w:footnote w:id="7">
    <w:p w:rsidR="00344369" w:rsidRPr="0051606E" w:rsidRDefault="00344369" w:rsidP="000A1EDD">
      <w:pPr>
        <w:pStyle w:val="FootnoteText"/>
        <w:widowControl w:val="0"/>
        <w:tabs>
          <w:tab w:val="clear" w:pos="1021"/>
          <w:tab w:val="right" w:pos="1020"/>
        </w:tabs>
      </w:pPr>
      <w:r>
        <w:tab/>
      </w:r>
      <w:r>
        <w:rPr>
          <w:rStyle w:val="FootnoteReference"/>
        </w:rPr>
        <w:footnoteRef/>
      </w:r>
      <w:r>
        <w:tab/>
      </w:r>
      <w:r w:rsidRPr="00E146B6">
        <w:rPr>
          <w:szCs w:val="18"/>
        </w:rPr>
        <w:t xml:space="preserve">The State party refers to </w:t>
      </w:r>
      <w:r w:rsidRPr="00DD73B1">
        <w:rPr>
          <w:i/>
          <w:color w:val="000000"/>
          <w:szCs w:val="18"/>
          <w:lang w:eastAsia="en-GB"/>
        </w:rPr>
        <w:t>A.G. v</w:t>
      </w:r>
      <w:r>
        <w:rPr>
          <w:i/>
          <w:color w:val="000000"/>
          <w:szCs w:val="18"/>
          <w:lang w:eastAsia="en-GB"/>
        </w:rPr>
        <w:t>.</w:t>
      </w:r>
      <w:r w:rsidRPr="00DD73B1">
        <w:rPr>
          <w:i/>
          <w:color w:val="000000"/>
          <w:szCs w:val="18"/>
          <w:lang w:eastAsia="en-GB"/>
        </w:rPr>
        <w:t xml:space="preserve"> Sweden</w:t>
      </w:r>
      <w:r w:rsidRPr="00DD73B1">
        <w:rPr>
          <w:color w:val="000000"/>
          <w:szCs w:val="18"/>
          <w:lang w:eastAsia="en-GB"/>
        </w:rPr>
        <w:t xml:space="preserve">, </w:t>
      </w:r>
      <w:r w:rsidRPr="00E146B6">
        <w:rPr>
          <w:color w:val="000000"/>
          <w:szCs w:val="18"/>
          <w:lang w:eastAsia="en-GB"/>
        </w:rPr>
        <w:t>paras. 6.2 and 7</w:t>
      </w:r>
      <w:r>
        <w:rPr>
          <w:color w:val="000000"/>
          <w:szCs w:val="18"/>
          <w:lang w:eastAsia="en-GB"/>
        </w:rPr>
        <w:t>,</w:t>
      </w:r>
      <w:r w:rsidRPr="00DD73B1">
        <w:rPr>
          <w:color w:val="000000"/>
          <w:szCs w:val="18"/>
          <w:lang w:eastAsia="en-GB"/>
        </w:rPr>
        <w:t xml:space="preserve"> and </w:t>
      </w:r>
      <w:r w:rsidRPr="00DD73B1">
        <w:rPr>
          <w:i/>
          <w:color w:val="000000"/>
          <w:szCs w:val="18"/>
          <w:lang w:eastAsia="en-GB"/>
        </w:rPr>
        <w:t>A.R.A. v. Sweden</w:t>
      </w:r>
      <w:r w:rsidRPr="00DD73B1">
        <w:rPr>
          <w:color w:val="000000"/>
          <w:szCs w:val="18"/>
          <w:lang w:eastAsia="en-GB"/>
        </w:rPr>
        <w:t>, paras. 6.1</w:t>
      </w:r>
      <w:r>
        <w:rPr>
          <w:color w:val="000000"/>
          <w:szCs w:val="18"/>
          <w:lang w:eastAsia="en-GB"/>
        </w:rPr>
        <w:t xml:space="preserve"> and </w:t>
      </w:r>
      <w:r w:rsidRPr="00DD73B1">
        <w:rPr>
          <w:color w:val="000000"/>
          <w:szCs w:val="18"/>
          <w:lang w:eastAsia="en-GB"/>
        </w:rPr>
        <w:t>6.2</w:t>
      </w:r>
      <w:r w:rsidRPr="00E146B6">
        <w:rPr>
          <w:color w:val="000000"/>
          <w:szCs w:val="18"/>
          <w:lang w:eastAsia="en-GB"/>
        </w:rPr>
        <w:t>.</w:t>
      </w:r>
      <w:r>
        <w:t xml:space="preserve"> </w:t>
      </w:r>
    </w:p>
  </w:footnote>
  <w:footnote w:id="8">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E146B6">
        <w:rPr>
          <w:szCs w:val="18"/>
        </w:rPr>
        <w:t>The State party refers to c</w:t>
      </w:r>
      <w:r w:rsidRPr="00E146B6">
        <w:rPr>
          <w:color w:val="000000"/>
          <w:szCs w:val="18"/>
          <w:lang w:eastAsia="en-GB"/>
        </w:rPr>
        <w:t xml:space="preserve">ommunication No. 216/2002, </w:t>
      </w:r>
      <w:r w:rsidRPr="00E146B6">
        <w:rPr>
          <w:i/>
          <w:color w:val="000000"/>
          <w:szCs w:val="18"/>
          <w:lang w:eastAsia="en-GB"/>
        </w:rPr>
        <w:t>H.I.A. v. Sweden</w:t>
      </w:r>
      <w:r w:rsidRPr="00E146B6">
        <w:rPr>
          <w:color w:val="000000"/>
          <w:szCs w:val="18"/>
          <w:lang w:eastAsia="en-GB"/>
        </w:rPr>
        <w:t>, decision adopted on 2 May 2003, para. 6.2.</w:t>
      </w:r>
      <w:r>
        <w:t xml:space="preserve"> </w:t>
      </w:r>
    </w:p>
  </w:footnote>
  <w:footnote w:id="9">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B94CF7">
        <w:rPr>
          <w:szCs w:val="18"/>
        </w:rPr>
        <w:t xml:space="preserve">The State party refers to communications No. 150/1999, </w:t>
      </w:r>
      <w:r w:rsidRPr="00B94CF7">
        <w:rPr>
          <w:i/>
          <w:szCs w:val="18"/>
        </w:rPr>
        <w:t>S.L. v. Sweden</w:t>
      </w:r>
      <w:r w:rsidRPr="00B94CF7">
        <w:rPr>
          <w:szCs w:val="18"/>
        </w:rPr>
        <w:t xml:space="preserve">, Views adopted on 11 May 2001, para. 6.3, and No. 213/2002, </w:t>
      </w:r>
      <w:r w:rsidRPr="00B94CF7">
        <w:rPr>
          <w:i/>
          <w:szCs w:val="18"/>
        </w:rPr>
        <w:t>E.J.V.M. v. Sweden</w:t>
      </w:r>
      <w:r w:rsidRPr="00B94CF7">
        <w:rPr>
          <w:szCs w:val="18"/>
        </w:rPr>
        <w:t xml:space="preserve">, </w:t>
      </w:r>
      <w:r>
        <w:rPr>
          <w:szCs w:val="18"/>
        </w:rPr>
        <w:t>d</w:t>
      </w:r>
      <w:r w:rsidRPr="00B94CF7">
        <w:rPr>
          <w:szCs w:val="18"/>
        </w:rPr>
        <w:t>ecision adopted on 14 November 2003, para.</w:t>
      </w:r>
      <w:r w:rsidR="00C51347">
        <w:rPr>
          <w:szCs w:val="18"/>
        </w:rPr>
        <w:t> </w:t>
      </w:r>
      <w:r w:rsidRPr="00B94CF7">
        <w:rPr>
          <w:szCs w:val="18"/>
        </w:rPr>
        <w:t>8.3.</w:t>
      </w:r>
      <w:r w:rsidRPr="00B94CF7">
        <w:t xml:space="preserve"> </w:t>
      </w:r>
    </w:p>
  </w:footnote>
  <w:footnote w:id="10">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B94CF7">
        <w:t>See</w:t>
      </w:r>
      <w:r>
        <w:t>, for example,</w:t>
      </w:r>
      <w:r w:rsidRPr="00B94CF7">
        <w:t xml:space="preserve"> </w:t>
      </w:r>
      <w:r w:rsidRPr="001A5516">
        <w:t xml:space="preserve">communications No. 178/2001, </w:t>
      </w:r>
      <w:r w:rsidRPr="001A5516">
        <w:rPr>
          <w:i/>
        </w:rPr>
        <w:t>H.O. v. Sweden</w:t>
      </w:r>
      <w:r w:rsidRPr="001A5516">
        <w:t xml:space="preserve">, Views adopted on 13 November 2001, para. 13, and No. 203/2002, </w:t>
      </w:r>
      <w:r w:rsidRPr="001A5516">
        <w:rPr>
          <w:i/>
        </w:rPr>
        <w:t>A.R. v. Netherlands</w:t>
      </w:r>
      <w:r w:rsidRPr="001A5516">
        <w:t>, decision adopted on 14 November 2003, para.</w:t>
      </w:r>
      <w:r w:rsidR="00C51347">
        <w:t> </w:t>
      </w:r>
      <w:r w:rsidRPr="001A5516">
        <w:t xml:space="preserve">7.3. </w:t>
      </w:r>
    </w:p>
  </w:footnote>
  <w:footnote w:id="11">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1A5516">
        <w:rPr>
          <w:szCs w:val="18"/>
        </w:rPr>
        <w:t xml:space="preserve">See, </w:t>
      </w:r>
      <w:r>
        <w:rPr>
          <w:szCs w:val="18"/>
        </w:rPr>
        <w:t>for example,</w:t>
      </w:r>
      <w:r w:rsidRPr="001A5516">
        <w:rPr>
          <w:szCs w:val="18"/>
        </w:rPr>
        <w:t xml:space="preserve"> the Committee’s general comment No. 1 </w:t>
      </w:r>
      <w:r w:rsidRPr="00B94CF7">
        <w:t xml:space="preserve">(1997) on the implementation of </w:t>
      </w:r>
      <w:r w:rsidRPr="00B94CF7">
        <w:rPr>
          <w:rFonts w:eastAsia="Garamond"/>
        </w:rPr>
        <w:t>article 3</w:t>
      </w:r>
      <w:r w:rsidRPr="001A5516">
        <w:rPr>
          <w:szCs w:val="18"/>
        </w:rPr>
        <w:t>, paras. 5</w:t>
      </w:r>
      <w:r w:rsidR="00C51347">
        <w:rPr>
          <w:szCs w:val="18"/>
        </w:rPr>
        <w:t>-</w:t>
      </w:r>
      <w:r w:rsidRPr="001A5516">
        <w:rPr>
          <w:szCs w:val="18"/>
        </w:rPr>
        <w:t>7.</w:t>
      </w:r>
      <w:r w:rsidRPr="00B94CF7">
        <w:t xml:space="preserve"> </w:t>
      </w:r>
    </w:p>
  </w:footnote>
  <w:footnote w:id="12">
    <w:p w:rsidR="00344369" w:rsidRPr="00010DA0" w:rsidRDefault="00344369" w:rsidP="000A1EDD">
      <w:pPr>
        <w:pStyle w:val="FootnoteText"/>
        <w:widowControl w:val="0"/>
      </w:pPr>
      <w:r>
        <w:tab/>
      </w:r>
      <w:r>
        <w:rPr>
          <w:rStyle w:val="FootnoteReference"/>
        </w:rPr>
        <w:footnoteRef/>
      </w:r>
      <w:r>
        <w:tab/>
        <w:t xml:space="preserve">The State party refers to </w:t>
      </w:r>
      <w:r w:rsidRPr="00537939">
        <w:rPr>
          <w:rFonts w:eastAsia="Garamond"/>
        </w:rPr>
        <w:t>Ministry f</w:t>
      </w:r>
      <w:r w:rsidRPr="00775A24">
        <w:rPr>
          <w:rFonts w:eastAsia="Garamond"/>
        </w:rPr>
        <w:t xml:space="preserve">or Foreign Affairs of </w:t>
      </w:r>
      <w:r w:rsidRPr="000C5EBD">
        <w:rPr>
          <w:rFonts w:eastAsia="Garamond"/>
        </w:rPr>
        <w:t>Sweden</w:t>
      </w:r>
      <w:r>
        <w:rPr>
          <w:rFonts w:eastAsia="Garamond"/>
        </w:rPr>
        <w:t xml:space="preserve">, “Human rights in Bangladesh” (2013); </w:t>
      </w:r>
      <w:r w:rsidRPr="00F921DF">
        <w:rPr>
          <w:rFonts w:eastAsia="Garamond"/>
        </w:rPr>
        <w:t>International Federation for Human Rights</w:t>
      </w:r>
      <w:r>
        <w:rPr>
          <w:rFonts w:eastAsia="Garamond"/>
        </w:rPr>
        <w:t>, “</w:t>
      </w:r>
      <w:r w:rsidRPr="00F921DF">
        <w:rPr>
          <w:rFonts w:eastAsia="Garamond"/>
        </w:rPr>
        <w:t>Bangladesh human rights report 2013</w:t>
      </w:r>
      <w:r>
        <w:rPr>
          <w:rFonts w:eastAsia="Garamond"/>
        </w:rPr>
        <w:t xml:space="preserve">” (April 2014); </w:t>
      </w:r>
      <w:r>
        <w:rPr>
          <w:iCs/>
          <w:color w:val="000000"/>
          <w:lang w:eastAsia="en-GB"/>
        </w:rPr>
        <w:t>United States of America Department of State,</w:t>
      </w:r>
      <w:r w:rsidRPr="007A7078">
        <w:rPr>
          <w:rFonts w:eastAsia="Garamond"/>
        </w:rPr>
        <w:t xml:space="preserve"> “</w:t>
      </w:r>
      <w:r w:rsidRPr="000A1EDD">
        <w:rPr>
          <w:iCs/>
          <w:color w:val="000000"/>
          <w:lang w:eastAsia="en-GB"/>
        </w:rPr>
        <w:t xml:space="preserve">Country reports on human rights practices </w:t>
      </w:r>
      <w:r>
        <w:rPr>
          <w:iCs/>
          <w:color w:val="000000"/>
          <w:lang w:eastAsia="en-GB"/>
        </w:rPr>
        <w:t xml:space="preserve">for 2013 </w:t>
      </w:r>
      <w:r w:rsidRPr="000A1EDD">
        <w:rPr>
          <w:iCs/>
          <w:color w:val="000000"/>
          <w:lang w:eastAsia="en-GB"/>
        </w:rPr>
        <w:t>– Bangladesh</w:t>
      </w:r>
      <w:r>
        <w:rPr>
          <w:iCs/>
          <w:color w:val="000000"/>
          <w:lang w:eastAsia="en-GB"/>
        </w:rPr>
        <w:t>”; and Human Rights Watch, “</w:t>
      </w:r>
      <w:r w:rsidRPr="007A7078">
        <w:rPr>
          <w:iCs/>
          <w:color w:val="000000"/>
          <w:lang w:eastAsia="en-GB"/>
        </w:rPr>
        <w:t>World Report 2014: Bangladesh</w:t>
      </w:r>
      <w:r>
        <w:rPr>
          <w:iCs/>
          <w:color w:val="000000"/>
          <w:lang w:eastAsia="en-GB"/>
        </w:rPr>
        <w:t>”.</w:t>
      </w:r>
    </w:p>
  </w:footnote>
  <w:footnote w:id="13">
    <w:p w:rsidR="00344369" w:rsidRPr="000A1EDD" w:rsidRDefault="00344369" w:rsidP="000A1EDD">
      <w:pPr>
        <w:pStyle w:val="FootnoteText"/>
        <w:widowControl w:val="0"/>
        <w:tabs>
          <w:tab w:val="clear" w:pos="1021"/>
          <w:tab w:val="right" w:pos="1020"/>
        </w:tabs>
      </w:pPr>
      <w:r>
        <w:tab/>
      </w:r>
      <w:r>
        <w:rPr>
          <w:rStyle w:val="FootnoteReference"/>
        </w:rPr>
        <w:footnoteRef/>
      </w:r>
      <w:r>
        <w:tab/>
        <w:t xml:space="preserve">See Human Rights Committee </w:t>
      </w:r>
      <w:r>
        <w:rPr>
          <w:color w:val="000000"/>
          <w:szCs w:val="18"/>
          <w:lang w:eastAsia="en-GB"/>
        </w:rPr>
        <w:t>c</w:t>
      </w:r>
      <w:r w:rsidRPr="00A60926">
        <w:rPr>
          <w:color w:val="000000"/>
          <w:szCs w:val="18"/>
          <w:lang w:eastAsia="en-GB"/>
        </w:rPr>
        <w:t>ommunication No.</w:t>
      </w:r>
      <w:r>
        <w:rPr>
          <w:color w:val="000000"/>
          <w:szCs w:val="18"/>
          <w:lang w:eastAsia="en-GB"/>
        </w:rPr>
        <w:t xml:space="preserve"> </w:t>
      </w:r>
      <w:r w:rsidRPr="00A60926">
        <w:rPr>
          <w:color w:val="000000"/>
          <w:szCs w:val="18"/>
          <w:lang w:eastAsia="en-GB"/>
        </w:rPr>
        <w:t xml:space="preserve">2149/2012, </w:t>
      </w:r>
      <w:r w:rsidRPr="00A60926">
        <w:rPr>
          <w:i/>
          <w:color w:val="000000"/>
          <w:szCs w:val="18"/>
          <w:lang w:eastAsia="en-GB"/>
        </w:rPr>
        <w:t>M.I. v. Sweden</w:t>
      </w:r>
      <w:r w:rsidRPr="00A60926">
        <w:rPr>
          <w:color w:val="000000"/>
          <w:szCs w:val="18"/>
          <w:lang w:eastAsia="en-GB"/>
        </w:rPr>
        <w:t>, Views adopted on 14</w:t>
      </w:r>
      <w:r w:rsidR="00C51347">
        <w:rPr>
          <w:color w:val="000000"/>
          <w:szCs w:val="18"/>
          <w:lang w:eastAsia="en-GB"/>
        </w:rPr>
        <w:t> </w:t>
      </w:r>
      <w:r w:rsidRPr="00A60926">
        <w:rPr>
          <w:color w:val="000000"/>
          <w:szCs w:val="18"/>
          <w:lang w:eastAsia="en-GB"/>
        </w:rPr>
        <w:t>August 2013, para. 4.5.</w:t>
      </w:r>
      <w:r>
        <w:t xml:space="preserve"> </w:t>
      </w:r>
    </w:p>
  </w:footnote>
  <w:footnote w:id="14">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B94CF7">
        <w:t xml:space="preserve">See </w:t>
      </w:r>
      <w:r w:rsidRPr="00B94CF7">
        <w:rPr>
          <w:rFonts w:eastAsia="Garamond"/>
          <w:szCs w:val="18"/>
        </w:rPr>
        <w:t>the Committee’s general comment No. 1, para. 9, and</w:t>
      </w:r>
      <w:r>
        <w:rPr>
          <w:rFonts w:eastAsia="Garamond"/>
          <w:szCs w:val="18"/>
        </w:rPr>
        <w:t xml:space="preserve">, for example, </w:t>
      </w:r>
      <w:r w:rsidRPr="00B94CF7">
        <w:rPr>
          <w:szCs w:val="18"/>
        </w:rPr>
        <w:t>communication No.</w:t>
      </w:r>
      <w:r w:rsidR="00C51347">
        <w:rPr>
          <w:szCs w:val="18"/>
        </w:rPr>
        <w:t> </w:t>
      </w:r>
      <w:r w:rsidRPr="00B94CF7">
        <w:rPr>
          <w:szCs w:val="18"/>
        </w:rPr>
        <w:t xml:space="preserve">277/2005, </w:t>
      </w:r>
      <w:r w:rsidRPr="00B94CF7">
        <w:rPr>
          <w:rFonts w:eastAsia="Garamond"/>
          <w:i/>
          <w:szCs w:val="18"/>
        </w:rPr>
        <w:t xml:space="preserve">N.Z.S. </w:t>
      </w:r>
      <w:r w:rsidRPr="00B94CF7">
        <w:rPr>
          <w:i/>
          <w:szCs w:val="18"/>
        </w:rPr>
        <w:t>v. Sweden</w:t>
      </w:r>
      <w:r w:rsidRPr="00B94CF7">
        <w:rPr>
          <w:szCs w:val="18"/>
        </w:rPr>
        <w:t>, decision adopted on 22 November 2006, para. 8.6.</w:t>
      </w:r>
      <w:r>
        <w:t xml:space="preserve"> </w:t>
      </w:r>
    </w:p>
  </w:footnote>
  <w:footnote w:id="15">
    <w:p w:rsidR="00344369" w:rsidRPr="0051606E" w:rsidRDefault="00344369" w:rsidP="000A1EDD">
      <w:pPr>
        <w:pStyle w:val="FootnoteText"/>
        <w:widowControl w:val="0"/>
        <w:tabs>
          <w:tab w:val="clear" w:pos="1021"/>
          <w:tab w:val="right" w:pos="1020"/>
        </w:tabs>
      </w:pPr>
      <w:r>
        <w:tab/>
      </w:r>
      <w:r>
        <w:rPr>
          <w:rStyle w:val="FootnoteReference"/>
        </w:rPr>
        <w:footnoteRef/>
      </w:r>
      <w:r>
        <w:tab/>
      </w:r>
      <w:r w:rsidRPr="001A5516">
        <w:rPr>
          <w:szCs w:val="18"/>
        </w:rPr>
        <w:t>See</w:t>
      </w:r>
      <w:r w:rsidRPr="00B94CF7">
        <w:rPr>
          <w:szCs w:val="18"/>
        </w:rPr>
        <w:t xml:space="preserve">, </w:t>
      </w:r>
      <w:r>
        <w:rPr>
          <w:szCs w:val="18"/>
        </w:rPr>
        <w:t>for example,</w:t>
      </w:r>
      <w:r w:rsidRPr="00B94CF7">
        <w:rPr>
          <w:szCs w:val="18"/>
        </w:rPr>
        <w:t xml:space="preserve"> communication No. 219/2002, </w:t>
      </w:r>
      <w:r w:rsidRPr="00B94CF7">
        <w:rPr>
          <w:i/>
          <w:szCs w:val="18"/>
        </w:rPr>
        <w:t>G.K. v. Switzerland</w:t>
      </w:r>
      <w:r w:rsidRPr="00B94CF7">
        <w:rPr>
          <w:szCs w:val="18"/>
        </w:rPr>
        <w:t>, decision adopted on 7 May 2003, para. 6.12</w:t>
      </w:r>
      <w:r w:rsidRPr="00B94CF7">
        <w:t>.</w:t>
      </w:r>
      <w:r>
        <w:t xml:space="preserve"> </w:t>
      </w:r>
    </w:p>
  </w:footnote>
  <w:footnote w:id="16">
    <w:p w:rsidR="00344369" w:rsidRPr="000E0066" w:rsidRDefault="00344369" w:rsidP="00C51347">
      <w:pPr>
        <w:pStyle w:val="FootnoteText"/>
        <w:widowControl w:val="0"/>
        <w:tabs>
          <w:tab w:val="clear" w:pos="1021"/>
          <w:tab w:val="right" w:pos="1020"/>
        </w:tabs>
      </w:pPr>
      <w:r>
        <w:tab/>
      </w:r>
      <w:r>
        <w:rPr>
          <w:rStyle w:val="FootnoteReference"/>
        </w:rPr>
        <w:footnoteRef/>
      </w:r>
      <w:r>
        <w:tab/>
      </w:r>
      <w:r w:rsidRPr="00DA566E">
        <w:rPr>
          <w:color w:val="000000"/>
          <w:szCs w:val="18"/>
          <w:lang w:eastAsia="en-GB"/>
        </w:rPr>
        <w:t>Application No. 41827/07, judgment of 9 March 2010.</w:t>
      </w:r>
      <w:r>
        <w:t xml:space="preserve"> </w:t>
      </w:r>
    </w:p>
  </w:footnote>
  <w:footnote w:id="17">
    <w:p w:rsidR="00344369" w:rsidRPr="000E0066" w:rsidRDefault="00344369" w:rsidP="000A1EDD">
      <w:pPr>
        <w:pStyle w:val="FootnoteText"/>
        <w:widowControl w:val="0"/>
        <w:tabs>
          <w:tab w:val="clear" w:pos="1021"/>
          <w:tab w:val="right" w:pos="1020"/>
        </w:tabs>
      </w:pPr>
      <w:r>
        <w:tab/>
      </w:r>
      <w:r>
        <w:rPr>
          <w:rStyle w:val="FootnoteReference"/>
        </w:rPr>
        <w:footnoteRef/>
      </w:r>
      <w:r>
        <w:tab/>
      </w:r>
      <w:r w:rsidRPr="00DA566E">
        <w:rPr>
          <w:szCs w:val="18"/>
        </w:rPr>
        <w:t>Application N</w:t>
      </w:r>
      <w:r w:rsidRPr="00DA566E">
        <w:rPr>
          <w:color w:val="000000"/>
          <w:szCs w:val="18"/>
          <w:lang w:eastAsia="en-GB"/>
        </w:rPr>
        <w:t>o 61204/09, judgment of 5 September 2013.</w:t>
      </w:r>
      <w:r>
        <w:t xml:space="preserve"> </w:t>
      </w:r>
    </w:p>
  </w:footnote>
  <w:footnote w:id="18">
    <w:p w:rsidR="00344369" w:rsidRPr="000A1EDD" w:rsidRDefault="00344369" w:rsidP="000A1EDD">
      <w:pPr>
        <w:pStyle w:val="FootnoteText"/>
        <w:widowControl w:val="0"/>
        <w:tabs>
          <w:tab w:val="clear" w:pos="1021"/>
          <w:tab w:val="right" w:pos="1020"/>
        </w:tabs>
      </w:pPr>
      <w:r>
        <w:tab/>
      </w:r>
      <w:r>
        <w:rPr>
          <w:rStyle w:val="FootnoteReference"/>
        </w:rPr>
        <w:footnoteRef/>
      </w:r>
      <w:r>
        <w:tab/>
      </w:r>
      <w:r w:rsidRPr="00A9702E">
        <w:rPr>
          <w:color w:val="000000"/>
          <w:szCs w:val="18"/>
          <w:lang w:eastAsia="en-GB"/>
        </w:rPr>
        <w:t xml:space="preserve">The State party refers to communication No. </w:t>
      </w:r>
      <w:r>
        <w:rPr>
          <w:color w:val="000000"/>
          <w:szCs w:val="18"/>
          <w:lang w:eastAsia="en-GB"/>
        </w:rPr>
        <w:t>6</w:t>
      </w:r>
      <w:r w:rsidRPr="00A9702E">
        <w:rPr>
          <w:color w:val="000000"/>
          <w:szCs w:val="18"/>
          <w:lang w:eastAsia="en-GB"/>
        </w:rPr>
        <w:t xml:space="preserve">43/2014, </w:t>
      </w:r>
      <w:r w:rsidRPr="000A1EDD">
        <w:rPr>
          <w:i/>
          <w:color w:val="000000"/>
          <w:szCs w:val="18"/>
          <w:lang w:eastAsia="en-GB"/>
        </w:rPr>
        <w:t>U. v. Sweden</w:t>
      </w:r>
      <w:r>
        <w:rPr>
          <w:color w:val="000000"/>
          <w:szCs w:val="18"/>
          <w:lang w:eastAsia="en-GB"/>
        </w:rPr>
        <w:t xml:space="preserve">, </w:t>
      </w:r>
      <w:r w:rsidRPr="00A9702E">
        <w:rPr>
          <w:color w:val="000000"/>
          <w:szCs w:val="18"/>
          <w:lang w:eastAsia="en-GB"/>
        </w:rPr>
        <w:t xml:space="preserve">decision </w:t>
      </w:r>
      <w:r w:rsidR="00061D66">
        <w:rPr>
          <w:color w:val="000000"/>
          <w:szCs w:val="18"/>
          <w:lang w:eastAsia="en-GB"/>
        </w:rPr>
        <w:t>adopted on</w:t>
      </w:r>
      <w:r w:rsidRPr="00A9702E">
        <w:rPr>
          <w:color w:val="000000"/>
          <w:szCs w:val="18"/>
          <w:lang w:eastAsia="en-GB"/>
        </w:rPr>
        <w:t xml:space="preserve"> 23</w:t>
      </w:r>
      <w:r w:rsidR="00C51347">
        <w:rPr>
          <w:color w:val="000000"/>
          <w:szCs w:val="18"/>
          <w:lang w:eastAsia="en-GB"/>
        </w:rPr>
        <w:t> </w:t>
      </w:r>
      <w:r w:rsidRPr="00A9702E">
        <w:rPr>
          <w:color w:val="000000"/>
          <w:szCs w:val="18"/>
          <w:lang w:eastAsia="en-GB"/>
        </w:rPr>
        <w:t>November 2015</w:t>
      </w:r>
      <w:r>
        <w:rPr>
          <w:color w:val="000000"/>
          <w:szCs w:val="18"/>
          <w:lang w:eastAsia="en-GB"/>
        </w:rPr>
        <w:t>,</w:t>
      </w:r>
      <w:r w:rsidRPr="00A9702E">
        <w:rPr>
          <w:color w:val="000000"/>
          <w:szCs w:val="18"/>
          <w:lang w:eastAsia="en-GB"/>
        </w:rPr>
        <w:t xml:space="preserve"> paras. 6.3</w:t>
      </w:r>
      <w:r>
        <w:rPr>
          <w:color w:val="000000"/>
          <w:szCs w:val="18"/>
          <w:lang w:eastAsia="en-GB"/>
        </w:rPr>
        <w:t xml:space="preserve"> and </w:t>
      </w:r>
      <w:r w:rsidRPr="00A9702E">
        <w:rPr>
          <w:color w:val="000000"/>
          <w:szCs w:val="18"/>
          <w:lang w:eastAsia="en-GB"/>
        </w:rPr>
        <w:t>6.4</w:t>
      </w:r>
      <w:r>
        <w:rPr>
          <w:color w:val="000000"/>
          <w:szCs w:val="18"/>
          <w:lang w:eastAsia="en-GB"/>
        </w:rPr>
        <w:t>.</w:t>
      </w:r>
      <w:r>
        <w:t xml:space="preserve"> </w:t>
      </w:r>
    </w:p>
  </w:footnote>
  <w:footnote w:id="19">
    <w:p w:rsidR="00344369" w:rsidRPr="00A93BF8" w:rsidRDefault="00344369" w:rsidP="000A1EDD">
      <w:pPr>
        <w:pStyle w:val="FootnoteText"/>
      </w:pPr>
      <w:r>
        <w:tab/>
      </w:r>
      <w:r w:rsidRPr="00A93BF8">
        <w:rPr>
          <w:rStyle w:val="FootnoteReference"/>
        </w:rPr>
        <w:footnoteRef/>
      </w:r>
      <w:r>
        <w:tab/>
      </w:r>
      <w:r w:rsidRPr="00A93BF8">
        <w:t xml:space="preserve">See, for example, </w:t>
      </w:r>
      <w:r w:rsidRPr="0019052A">
        <w:rPr>
          <w:i/>
        </w:rPr>
        <w:t>A.R.A. v. Sweden</w:t>
      </w:r>
      <w:r w:rsidRPr="00A93BF8">
        <w:t>, para</w:t>
      </w:r>
      <w:r>
        <w:t>. 6.1, and communication No.</w:t>
      </w:r>
      <w:r w:rsidR="00061D66">
        <w:t xml:space="preserve"> </w:t>
      </w:r>
      <w:r>
        <w:t xml:space="preserve">642/2014, </w:t>
      </w:r>
      <w:r w:rsidRPr="0065387B">
        <w:rPr>
          <w:i/>
        </w:rPr>
        <w:t>M.T. v. Sweden</w:t>
      </w:r>
      <w:r>
        <w:t>, decision adopted on 7 August 2015, para 8.3.</w:t>
      </w:r>
    </w:p>
  </w:footnote>
  <w:footnote w:id="20">
    <w:p w:rsidR="00344369" w:rsidRPr="00C562CA" w:rsidRDefault="00344369" w:rsidP="000A1EDD">
      <w:pPr>
        <w:pStyle w:val="FootnoteText"/>
        <w:widowControl w:val="0"/>
        <w:tabs>
          <w:tab w:val="clear" w:pos="1021"/>
          <w:tab w:val="right" w:pos="1020"/>
        </w:tabs>
      </w:pPr>
      <w:r>
        <w:tab/>
      </w:r>
      <w:r>
        <w:rPr>
          <w:rStyle w:val="FootnoteReference"/>
        </w:rPr>
        <w:footnoteRef/>
      </w:r>
      <w:r>
        <w:tab/>
      </w:r>
      <w:r w:rsidRPr="00E20801">
        <w:t xml:space="preserve">See, for example, </w:t>
      </w:r>
      <w:r>
        <w:t xml:space="preserve">communication No. 479/2011, </w:t>
      </w:r>
      <w:r w:rsidRPr="002B4A39">
        <w:rPr>
          <w:i/>
          <w:iCs/>
        </w:rPr>
        <w:t>E.E. v. Russian Federation</w:t>
      </w:r>
      <w:r>
        <w:t>, decision adopted on 24</w:t>
      </w:r>
      <w:r w:rsidR="00C51347">
        <w:t> </w:t>
      </w:r>
      <w:r>
        <w:t xml:space="preserve">May 2013, para. 8.4, and </w:t>
      </w:r>
      <w:r w:rsidRPr="0065387B">
        <w:rPr>
          <w:i/>
        </w:rPr>
        <w:t>M.T. v. Sweden</w:t>
      </w:r>
      <w:r>
        <w:t>, para 8.3.</w:t>
      </w:r>
    </w:p>
  </w:footnote>
  <w:footnote w:id="21">
    <w:p w:rsidR="00344369" w:rsidRPr="00631BB9" w:rsidRDefault="00344369" w:rsidP="000A1EDD">
      <w:pPr>
        <w:pStyle w:val="FootnoteText"/>
        <w:widowControl w:val="0"/>
        <w:tabs>
          <w:tab w:val="clear" w:pos="1021"/>
          <w:tab w:val="right" w:pos="1020"/>
        </w:tabs>
      </w:pPr>
      <w:r>
        <w:tab/>
      </w:r>
      <w:r>
        <w:rPr>
          <w:rStyle w:val="FootnoteReference"/>
        </w:rPr>
        <w:footnoteRef/>
      </w:r>
      <w:r>
        <w:tab/>
      </w:r>
      <w:r w:rsidRPr="00694981">
        <w:t>See, for example, com</w:t>
      </w:r>
      <w:r>
        <w:t>munication</w:t>
      </w:r>
      <w:r w:rsidRPr="00694981">
        <w:t xml:space="preserve"> No. 479/2011, </w:t>
      </w:r>
      <w:r w:rsidRPr="002B4A39">
        <w:rPr>
          <w:i/>
          <w:iCs/>
        </w:rPr>
        <w:t>E.E. v. Russian Federation</w:t>
      </w:r>
      <w:r>
        <w:t>, paras.</w:t>
      </w:r>
      <w:r w:rsidR="0073369F">
        <w:t> </w:t>
      </w:r>
      <w:r>
        <w:t>8.2</w:t>
      </w:r>
      <w:r w:rsidR="0073369F">
        <w:t>-</w:t>
      </w:r>
      <w:r>
        <w:t xml:space="preserve">8.4 and </w:t>
      </w:r>
      <w:r w:rsidRPr="0065387B">
        <w:rPr>
          <w:i/>
        </w:rPr>
        <w:t>M.T.</w:t>
      </w:r>
      <w:r w:rsidR="00C51347">
        <w:rPr>
          <w:i/>
        </w:rPr>
        <w:t> </w:t>
      </w:r>
      <w:r w:rsidRPr="0065387B">
        <w:rPr>
          <w:i/>
        </w:rPr>
        <w:t>v. Sweden</w:t>
      </w:r>
      <w:r>
        <w:t xml:space="preserve">, paras 8.4 and 8.5.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69" w:rsidRPr="00785A61" w:rsidRDefault="00344369" w:rsidP="00005327">
    <w:pPr>
      <w:pStyle w:val="Header"/>
    </w:pPr>
    <w:r>
      <w:t>CAT/C/58/D/627/2014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69" w:rsidRPr="002A0256" w:rsidRDefault="00344369" w:rsidP="00AD75F0">
    <w:pPr>
      <w:pStyle w:val="Header"/>
      <w:jc w:val="right"/>
    </w:pPr>
    <w:r>
      <w:t>CAT/C/58/D/627/2014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20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94656"/>
    <w:multiLevelType w:val="hybridMultilevel"/>
    <w:tmpl w:val="1A7434C8"/>
    <w:lvl w:ilvl="0" w:tplc="E304B2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A022CEC"/>
    <w:multiLevelType w:val="hybridMultilevel"/>
    <w:tmpl w:val="84DA21FE"/>
    <w:lvl w:ilvl="0" w:tplc="58BA48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F47709D"/>
    <w:multiLevelType w:val="hybridMultilevel"/>
    <w:tmpl w:val="0C3485CC"/>
    <w:lvl w:ilvl="0" w:tplc="285240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38"/>
    <w:rsid w:val="000006A4"/>
    <w:rsid w:val="0000248A"/>
    <w:rsid w:val="00005327"/>
    <w:rsid w:val="000077B8"/>
    <w:rsid w:val="00010311"/>
    <w:rsid w:val="00010DA0"/>
    <w:rsid w:val="00015FEB"/>
    <w:rsid w:val="00016464"/>
    <w:rsid w:val="000218EA"/>
    <w:rsid w:val="000218FE"/>
    <w:rsid w:val="00025F8E"/>
    <w:rsid w:val="00026A50"/>
    <w:rsid w:val="00030A80"/>
    <w:rsid w:val="00030C4B"/>
    <w:rsid w:val="0003225A"/>
    <w:rsid w:val="0003276C"/>
    <w:rsid w:val="0003386B"/>
    <w:rsid w:val="000352A5"/>
    <w:rsid w:val="000360C6"/>
    <w:rsid w:val="00037536"/>
    <w:rsid w:val="00040296"/>
    <w:rsid w:val="000404CF"/>
    <w:rsid w:val="000407ED"/>
    <w:rsid w:val="00042538"/>
    <w:rsid w:val="000425A8"/>
    <w:rsid w:val="000431A6"/>
    <w:rsid w:val="00044076"/>
    <w:rsid w:val="000440EF"/>
    <w:rsid w:val="00045224"/>
    <w:rsid w:val="000465D1"/>
    <w:rsid w:val="00050F6B"/>
    <w:rsid w:val="00051496"/>
    <w:rsid w:val="000515F9"/>
    <w:rsid w:val="0005248B"/>
    <w:rsid w:val="000530B0"/>
    <w:rsid w:val="00055D93"/>
    <w:rsid w:val="0005744C"/>
    <w:rsid w:val="00057E97"/>
    <w:rsid w:val="00061D66"/>
    <w:rsid w:val="00061F70"/>
    <w:rsid w:val="000620B7"/>
    <w:rsid w:val="00063ACB"/>
    <w:rsid w:val="000653B2"/>
    <w:rsid w:val="000707C1"/>
    <w:rsid w:val="00072C8C"/>
    <w:rsid w:val="000732DE"/>
    <w:rsid w:val="000733B5"/>
    <w:rsid w:val="00076017"/>
    <w:rsid w:val="00076AAF"/>
    <w:rsid w:val="00080555"/>
    <w:rsid w:val="00081815"/>
    <w:rsid w:val="00084A20"/>
    <w:rsid w:val="00084D1A"/>
    <w:rsid w:val="000926FA"/>
    <w:rsid w:val="00092C19"/>
    <w:rsid w:val="000931C0"/>
    <w:rsid w:val="000942AD"/>
    <w:rsid w:val="00094A47"/>
    <w:rsid w:val="00094B47"/>
    <w:rsid w:val="00095919"/>
    <w:rsid w:val="00095FA9"/>
    <w:rsid w:val="00096278"/>
    <w:rsid w:val="000964F6"/>
    <w:rsid w:val="0009681D"/>
    <w:rsid w:val="000A1EDD"/>
    <w:rsid w:val="000B175B"/>
    <w:rsid w:val="000B3672"/>
    <w:rsid w:val="000B3A0F"/>
    <w:rsid w:val="000B3C2B"/>
    <w:rsid w:val="000B3F39"/>
    <w:rsid w:val="000B4EF7"/>
    <w:rsid w:val="000C28B7"/>
    <w:rsid w:val="000C2C03"/>
    <w:rsid w:val="000C2C07"/>
    <w:rsid w:val="000C2D2E"/>
    <w:rsid w:val="000C37A8"/>
    <w:rsid w:val="000C4331"/>
    <w:rsid w:val="000C5EBD"/>
    <w:rsid w:val="000C705B"/>
    <w:rsid w:val="000D01CC"/>
    <w:rsid w:val="000D020F"/>
    <w:rsid w:val="000D17C3"/>
    <w:rsid w:val="000D2EB0"/>
    <w:rsid w:val="000D342F"/>
    <w:rsid w:val="000D62E3"/>
    <w:rsid w:val="000D6A51"/>
    <w:rsid w:val="000D6CFD"/>
    <w:rsid w:val="000E0066"/>
    <w:rsid w:val="000E01F5"/>
    <w:rsid w:val="000E0415"/>
    <w:rsid w:val="000E210C"/>
    <w:rsid w:val="000E5354"/>
    <w:rsid w:val="000E7C3D"/>
    <w:rsid w:val="000E7CA0"/>
    <w:rsid w:val="000F0098"/>
    <w:rsid w:val="000F2284"/>
    <w:rsid w:val="000F2318"/>
    <w:rsid w:val="000F4619"/>
    <w:rsid w:val="000F5257"/>
    <w:rsid w:val="000F6D48"/>
    <w:rsid w:val="0010113D"/>
    <w:rsid w:val="001051BF"/>
    <w:rsid w:val="001103AA"/>
    <w:rsid w:val="001119BE"/>
    <w:rsid w:val="00114FA0"/>
    <w:rsid w:val="00115DA8"/>
    <w:rsid w:val="00115E3A"/>
    <w:rsid w:val="001162D4"/>
    <w:rsid w:val="00117576"/>
    <w:rsid w:val="001203E5"/>
    <w:rsid w:val="00120B2E"/>
    <w:rsid w:val="00120CD9"/>
    <w:rsid w:val="00121C8E"/>
    <w:rsid w:val="00122EBE"/>
    <w:rsid w:val="00123A1A"/>
    <w:rsid w:val="00124A72"/>
    <w:rsid w:val="001255FA"/>
    <w:rsid w:val="00125AB0"/>
    <w:rsid w:val="00126520"/>
    <w:rsid w:val="001275E2"/>
    <w:rsid w:val="00127DE9"/>
    <w:rsid w:val="00131211"/>
    <w:rsid w:val="00131E66"/>
    <w:rsid w:val="00132792"/>
    <w:rsid w:val="00133158"/>
    <w:rsid w:val="00134645"/>
    <w:rsid w:val="001360DB"/>
    <w:rsid w:val="001401DE"/>
    <w:rsid w:val="00141919"/>
    <w:rsid w:val="00143907"/>
    <w:rsid w:val="001450BD"/>
    <w:rsid w:val="00145EDD"/>
    <w:rsid w:val="00147B55"/>
    <w:rsid w:val="001516F0"/>
    <w:rsid w:val="00153179"/>
    <w:rsid w:val="00153E70"/>
    <w:rsid w:val="001541A1"/>
    <w:rsid w:val="00154862"/>
    <w:rsid w:val="00161D69"/>
    <w:rsid w:val="001640A0"/>
    <w:rsid w:val="00164501"/>
    <w:rsid w:val="00165F3A"/>
    <w:rsid w:val="00165FA3"/>
    <w:rsid w:val="00170096"/>
    <w:rsid w:val="001706AC"/>
    <w:rsid w:val="001774E9"/>
    <w:rsid w:val="00177853"/>
    <w:rsid w:val="00177C15"/>
    <w:rsid w:val="00177F76"/>
    <w:rsid w:val="001814FB"/>
    <w:rsid w:val="001818E0"/>
    <w:rsid w:val="00181B4D"/>
    <w:rsid w:val="00182B7C"/>
    <w:rsid w:val="00183227"/>
    <w:rsid w:val="00185FC6"/>
    <w:rsid w:val="00191C9C"/>
    <w:rsid w:val="0019432A"/>
    <w:rsid w:val="0019442B"/>
    <w:rsid w:val="001978A6"/>
    <w:rsid w:val="0019793D"/>
    <w:rsid w:val="00197B02"/>
    <w:rsid w:val="001A03E6"/>
    <w:rsid w:val="001A20C4"/>
    <w:rsid w:val="001A3AB7"/>
    <w:rsid w:val="001A3D74"/>
    <w:rsid w:val="001A45AF"/>
    <w:rsid w:val="001A7E38"/>
    <w:rsid w:val="001A7F19"/>
    <w:rsid w:val="001A7FDB"/>
    <w:rsid w:val="001B14E9"/>
    <w:rsid w:val="001B1858"/>
    <w:rsid w:val="001B1AE4"/>
    <w:rsid w:val="001B1BD3"/>
    <w:rsid w:val="001B1FE3"/>
    <w:rsid w:val="001B28F6"/>
    <w:rsid w:val="001B3C5D"/>
    <w:rsid w:val="001B4B04"/>
    <w:rsid w:val="001B51BE"/>
    <w:rsid w:val="001B63F8"/>
    <w:rsid w:val="001C1CD1"/>
    <w:rsid w:val="001C1D4E"/>
    <w:rsid w:val="001C3527"/>
    <w:rsid w:val="001C5F3F"/>
    <w:rsid w:val="001C6663"/>
    <w:rsid w:val="001C7895"/>
    <w:rsid w:val="001D0C8C"/>
    <w:rsid w:val="001D26DF"/>
    <w:rsid w:val="001D31C5"/>
    <w:rsid w:val="001D3A03"/>
    <w:rsid w:val="001D3DCB"/>
    <w:rsid w:val="001D602B"/>
    <w:rsid w:val="001E1188"/>
    <w:rsid w:val="001E2856"/>
    <w:rsid w:val="001E2B6D"/>
    <w:rsid w:val="001E350B"/>
    <w:rsid w:val="001E414E"/>
    <w:rsid w:val="001F0F0B"/>
    <w:rsid w:val="001F0F61"/>
    <w:rsid w:val="001F17D1"/>
    <w:rsid w:val="001F19C1"/>
    <w:rsid w:val="001F3BCA"/>
    <w:rsid w:val="001F4BD8"/>
    <w:rsid w:val="001F6885"/>
    <w:rsid w:val="002010CE"/>
    <w:rsid w:val="00201120"/>
    <w:rsid w:val="00202DA8"/>
    <w:rsid w:val="00202EA7"/>
    <w:rsid w:val="00202F3D"/>
    <w:rsid w:val="0020302F"/>
    <w:rsid w:val="0020571E"/>
    <w:rsid w:val="00205AD1"/>
    <w:rsid w:val="00210EE5"/>
    <w:rsid w:val="002117B3"/>
    <w:rsid w:val="00211E0B"/>
    <w:rsid w:val="00213695"/>
    <w:rsid w:val="00214161"/>
    <w:rsid w:val="002149B4"/>
    <w:rsid w:val="00214F5D"/>
    <w:rsid w:val="002178F2"/>
    <w:rsid w:val="00220622"/>
    <w:rsid w:val="00222B37"/>
    <w:rsid w:val="00223901"/>
    <w:rsid w:val="00224890"/>
    <w:rsid w:val="0022571C"/>
    <w:rsid w:val="00226752"/>
    <w:rsid w:val="00231149"/>
    <w:rsid w:val="00231394"/>
    <w:rsid w:val="002330D9"/>
    <w:rsid w:val="00233774"/>
    <w:rsid w:val="00233D4D"/>
    <w:rsid w:val="00234705"/>
    <w:rsid w:val="00237410"/>
    <w:rsid w:val="00240CD4"/>
    <w:rsid w:val="00241654"/>
    <w:rsid w:val="00241811"/>
    <w:rsid w:val="00244166"/>
    <w:rsid w:val="00246307"/>
    <w:rsid w:val="00246D19"/>
    <w:rsid w:val="00247E03"/>
    <w:rsid w:val="00251186"/>
    <w:rsid w:val="002554DD"/>
    <w:rsid w:val="002564D6"/>
    <w:rsid w:val="00256C5E"/>
    <w:rsid w:val="00257ECF"/>
    <w:rsid w:val="002611EF"/>
    <w:rsid w:val="0026218D"/>
    <w:rsid w:val="00264EB1"/>
    <w:rsid w:val="00265340"/>
    <w:rsid w:val="00265D2E"/>
    <w:rsid w:val="00267CF0"/>
    <w:rsid w:val="00267F5F"/>
    <w:rsid w:val="00275BB9"/>
    <w:rsid w:val="002762A4"/>
    <w:rsid w:val="00276D41"/>
    <w:rsid w:val="002771DB"/>
    <w:rsid w:val="0027730D"/>
    <w:rsid w:val="002809C5"/>
    <w:rsid w:val="002834B6"/>
    <w:rsid w:val="00283575"/>
    <w:rsid w:val="00283EDD"/>
    <w:rsid w:val="00285580"/>
    <w:rsid w:val="0028582C"/>
    <w:rsid w:val="0028626B"/>
    <w:rsid w:val="00286B4D"/>
    <w:rsid w:val="00286C54"/>
    <w:rsid w:val="0028771D"/>
    <w:rsid w:val="00291663"/>
    <w:rsid w:val="002946BD"/>
    <w:rsid w:val="002955D6"/>
    <w:rsid w:val="00297799"/>
    <w:rsid w:val="002A004D"/>
    <w:rsid w:val="002A0256"/>
    <w:rsid w:val="002A3D1A"/>
    <w:rsid w:val="002A45E1"/>
    <w:rsid w:val="002A54E3"/>
    <w:rsid w:val="002A683C"/>
    <w:rsid w:val="002B3C39"/>
    <w:rsid w:val="002B466B"/>
    <w:rsid w:val="002B57C8"/>
    <w:rsid w:val="002B5F00"/>
    <w:rsid w:val="002B71F7"/>
    <w:rsid w:val="002C2857"/>
    <w:rsid w:val="002C3239"/>
    <w:rsid w:val="002D05C2"/>
    <w:rsid w:val="002D0A13"/>
    <w:rsid w:val="002D0C17"/>
    <w:rsid w:val="002D3031"/>
    <w:rsid w:val="002D45D8"/>
    <w:rsid w:val="002D511C"/>
    <w:rsid w:val="002D5515"/>
    <w:rsid w:val="002D5D69"/>
    <w:rsid w:val="002D67A3"/>
    <w:rsid w:val="002D7846"/>
    <w:rsid w:val="002E38E2"/>
    <w:rsid w:val="002E4DC8"/>
    <w:rsid w:val="002F0D9F"/>
    <w:rsid w:val="002F1398"/>
    <w:rsid w:val="002F1546"/>
    <w:rsid w:val="002F175C"/>
    <w:rsid w:val="002F1A00"/>
    <w:rsid w:val="002F4A6E"/>
    <w:rsid w:val="002F55B4"/>
    <w:rsid w:val="002F5956"/>
    <w:rsid w:val="002F6F0F"/>
    <w:rsid w:val="00300B1B"/>
    <w:rsid w:val="00303FC2"/>
    <w:rsid w:val="003046C1"/>
    <w:rsid w:val="00305060"/>
    <w:rsid w:val="00305210"/>
    <w:rsid w:val="00307A89"/>
    <w:rsid w:val="0031435D"/>
    <w:rsid w:val="00314AEE"/>
    <w:rsid w:val="00314F7A"/>
    <w:rsid w:val="003165BD"/>
    <w:rsid w:val="003202D5"/>
    <w:rsid w:val="00320E27"/>
    <w:rsid w:val="003229D8"/>
    <w:rsid w:val="00322C80"/>
    <w:rsid w:val="00323432"/>
    <w:rsid w:val="00323B6C"/>
    <w:rsid w:val="0032453D"/>
    <w:rsid w:val="003279E5"/>
    <w:rsid w:val="00330952"/>
    <w:rsid w:val="00331BDA"/>
    <w:rsid w:val="003331F6"/>
    <w:rsid w:val="00334863"/>
    <w:rsid w:val="003351BF"/>
    <w:rsid w:val="003370D9"/>
    <w:rsid w:val="0033745E"/>
    <w:rsid w:val="00337473"/>
    <w:rsid w:val="00337E17"/>
    <w:rsid w:val="00340548"/>
    <w:rsid w:val="00341118"/>
    <w:rsid w:val="0034254A"/>
    <w:rsid w:val="0034364D"/>
    <w:rsid w:val="0034428F"/>
    <w:rsid w:val="00344369"/>
    <w:rsid w:val="00344F63"/>
    <w:rsid w:val="00346358"/>
    <w:rsid w:val="00347C0E"/>
    <w:rsid w:val="00352709"/>
    <w:rsid w:val="00353D26"/>
    <w:rsid w:val="00354302"/>
    <w:rsid w:val="00354F98"/>
    <w:rsid w:val="00357D7C"/>
    <w:rsid w:val="0036586F"/>
    <w:rsid w:val="003659C5"/>
    <w:rsid w:val="003710E7"/>
    <w:rsid w:val="00371178"/>
    <w:rsid w:val="0037556C"/>
    <w:rsid w:val="00375E9B"/>
    <w:rsid w:val="00376654"/>
    <w:rsid w:val="00381A41"/>
    <w:rsid w:val="003824A9"/>
    <w:rsid w:val="00383364"/>
    <w:rsid w:val="003850DF"/>
    <w:rsid w:val="00390DD6"/>
    <w:rsid w:val="00390E97"/>
    <w:rsid w:val="00395F31"/>
    <w:rsid w:val="00396BAC"/>
    <w:rsid w:val="003A0945"/>
    <w:rsid w:val="003A1E6E"/>
    <w:rsid w:val="003A408F"/>
    <w:rsid w:val="003A48CB"/>
    <w:rsid w:val="003A552B"/>
    <w:rsid w:val="003A6810"/>
    <w:rsid w:val="003A701B"/>
    <w:rsid w:val="003B022C"/>
    <w:rsid w:val="003B1D53"/>
    <w:rsid w:val="003B20D4"/>
    <w:rsid w:val="003B3FFF"/>
    <w:rsid w:val="003B4314"/>
    <w:rsid w:val="003C002F"/>
    <w:rsid w:val="003C1305"/>
    <w:rsid w:val="003C1586"/>
    <w:rsid w:val="003C2020"/>
    <w:rsid w:val="003C2CC4"/>
    <w:rsid w:val="003C3975"/>
    <w:rsid w:val="003C3F5A"/>
    <w:rsid w:val="003C6111"/>
    <w:rsid w:val="003D0E12"/>
    <w:rsid w:val="003D1F3E"/>
    <w:rsid w:val="003D2FFD"/>
    <w:rsid w:val="003D4253"/>
    <w:rsid w:val="003D4B23"/>
    <w:rsid w:val="003D4DE7"/>
    <w:rsid w:val="003D7986"/>
    <w:rsid w:val="003D79A9"/>
    <w:rsid w:val="003E2F9B"/>
    <w:rsid w:val="003E3D20"/>
    <w:rsid w:val="003E4BE2"/>
    <w:rsid w:val="003F0464"/>
    <w:rsid w:val="003F3814"/>
    <w:rsid w:val="003F4553"/>
    <w:rsid w:val="003F4589"/>
    <w:rsid w:val="003F7618"/>
    <w:rsid w:val="003F7DFF"/>
    <w:rsid w:val="00406B87"/>
    <w:rsid w:val="00407B05"/>
    <w:rsid w:val="004109C5"/>
    <w:rsid w:val="00410C89"/>
    <w:rsid w:val="004129F7"/>
    <w:rsid w:val="0041380F"/>
    <w:rsid w:val="00413CEC"/>
    <w:rsid w:val="00414771"/>
    <w:rsid w:val="00416EAF"/>
    <w:rsid w:val="004221D4"/>
    <w:rsid w:val="00422B28"/>
    <w:rsid w:val="0042438D"/>
    <w:rsid w:val="00426B9B"/>
    <w:rsid w:val="004309A3"/>
    <w:rsid w:val="00431679"/>
    <w:rsid w:val="00431C6E"/>
    <w:rsid w:val="00431E72"/>
    <w:rsid w:val="0043207E"/>
    <w:rsid w:val="004325CB"/>
    <w:rsid w:val="0043276D"/>
    <w:rsid w:val="00432822"/>
    <w:rsid w:val="00436114"/>
    <w:rsid w:val="00437047"/>
    <w:rsid w:val="00442A83"/>
    <w:rsid w:val="004437F2"/>
    <w:rsid w:val="00444E73"/>
    <w:rsid w:val="00444FDE"/>
    <w:rsid w:val="0045018F"/>
    <w:rsid w:val="00451C9B"/>
    <w:rsid w:val="00452CAF"/>
    <w:rsid w:val="00453736"/>
    <w:rsid w:val="0045495B"/>
    <w:rsid w:val="0045589A"/>
    <w:rsid w:val="004559F9"/>
    <w:rsid w:val="00456837"/>
    <w:rsid w:val="004605BC"/>
    <w:rsid w:val="00461F0D"/>
    <w:rsid w:val="0046348A"/>
    <w:rsid w:val="00467A4C"/>
    <w:rsid w:val="00470BC5"/>
    <w:rsid w:val="004711D9"/>
    <w:rsid w:val="00472839"/>
    <w:rsid w:val="004735BD"/>
    <w:rsid w:val="0047366A"/>
    <w:rsid w:val="0047398D"/>
    <w:rsid w:val="00475072"/>
    <w:rsid w:val="0048541D"/>
    <w:rsid w:val="00485DF1"/>
    <w:rsid w:val="0048765F"/>
    <w:rsid w:val="00494735"/>
    <w:rsid w:val="00494E19"/>
    <w:rsid w:val="00497A6A"/>
    <w:rsid w:val="004A4699"/>
    <w:rsid w:val="004A57F0"/>
    <w:rsid w:val="004A57F8"/>
    <w:rsid w:val="004A63C3"/>
    <w:rsid w:val="004B07D8"/>
    <w:rsid w:val="004B2B84"/>
    <w:rsid w:val="004B473F"/>
    <w:rsid w:val="004B4C23"/>
    <w:rsid w:val="004B4E89"/>
    <w:rsid w:val="004B5A15"/>
    <w:rsid w:val="004B6330"/>
    <w:rsid w:val="004B6683"/>
    <w:rsid w:val="004B7802"/>
    <w:rsid w:val="004C0DF7"/>
    <w:rsid w:val="004C1E30"/>
    <w:rsid w:val="004C6343"/>
    <w:rsid w:val="004C7ED7"/>
    <w:rsid w:val="004D0D0F"/>
    <w:rsid w:val="004D35EC"/>
    <w:rsid w:val="004D37F4"/>
    <w:rsid w:val="004D4F87"/>
    <w:rsid w:val="004D6E94"/>
    <w:rsid w:val="004E0A2D"/>
    <w:rsid w:val="004E3783"/>
    <w:rsid w:val="004E4810"/>
    <w:rsid w:val="004E493B"/>
    <w:rsid w:val="004E5846"/>
    <w:rsid w:val="004E5D93"/>
    <w:rsid w:val="004E6B36"/>
    <w:rsid w:val="004F2EBB"/>
    <w:rsid w:val="004F4E52"/>
    <w:rsid w:val="00503A46"/>
    <w:rsid w:val="005045AB"/>
    <w:rsid w:val="00504D69"/>
    <w:rsid w:val="00505919"/>
    <w:rsid w:val="0051042E"/>
    <w:rsid w:val="00510ECA"/>
    <w:rsid w:val="005119FD"/>
    <w:rsid w:val="00513B63"/>
    <w:rsid w:val="00515D57"/>
    <w:rsid w:val="00516043"/>
    <w:rsid w:val="0051606E"/>
    <w:rsid w:val="00516EBF"/>
    <w:rsid w:val="0052136D"/>
    <w:rsid w:val="005214F6"/>
    <w:rsid w:val="00522740"/>
    <w:rsid w:val="00522E7C"/>
    <w:rsid w:val="00523C5D"/>
    <w:rsid w:val="00526329"/>
    <w:rsid w:val="00526898"/>
    <w:rsid w:val="0052775E"/>
    <w:rsid w:val="005307A0"/>
    <w:rsid w:val="00533F55"/>
    <w:rsid w:val="0053422B"/>
    <w:rsid w:val="005356F4"/>
    <w:rsid w:val="00536EAF"/>
    <w:rsid w:val="00540EFE"/>
    <w:rsid w:val="005420F2"/>
    <w:rsid w:val="00543B46"/>
    <w:rsid w:val="00545389"/>
    <w:rsid w:val="00545A68"/>
    <w:rsid w:val="00545B38"/>
    <w:rsid w:val="00545C95"/>
    <w:rsid w:val="00545EEB"/>
    <w:rsid w:val="005464D8"/>
    <w:rsid w:val="00546C7E"/>
    <w:rsid w:val="005479CC"/>
    <w:rsid w:val="00551027"/>
    <w:rsid w:val="005556BF"/>
    <w:rsid w:val="005569EC"/>
    <w:rsid w:val="0056249B"/>
    <w:rsid w:val="005628B6"/>
    <w:rsid w:val="005636C7"/>
    <w:rsid w:val="00564F50"/>
    <w:rsid w:val="005652D0"/>
    <w:rsid w:val="00565CEE"/>
    <w:rsid w:val="005668D9"/>
    <w:rsid w:val="00566B76"/>
    <w:rsid w:val="00567E09"/>
    <w:rsid w:val="00570419"/>
    <w:rsid w:val="00571184"/>
    <w:rsid w:val="005715BB"/>
    <w:rsid w:val="005753E4"/>
    <w:rsid w:val="00576246"/>
    <w:rsid w:val="00576268"/>
    <w:rsid w:val="005806D8"/>
    <w:rsid w:val="00581A17"/>
    <w:rsid w:val="00586664"/>
    <w:rsid w:val="00586B44"/>
    <w:rsid w:val="005875F6"/>
    <w:rsid w:val="0059081A"/>
    <w:rsid w:val="00590CD4"/>
    <w:rsid w:val="00591835"/>
    <w:rsid w:val="00591EEF"/>
    <w:rsid w:val="00591F33"/>
    <w:rsid w:val="005923C0"/>
    <w:rsid w:val="0059347A"/>
    <w:rsid w:val="00594A73"/>
    <w:rsid w:val="00594B48"/>
    <w:rsid w:val="0059567B"/>
    <w:rsid w:val="00597408"/>
    <w:rsid w:val="005A06DC"/>
    <w:rsid w:val="005A1975"/>
    <w:rsid w:val="005A2C1C"/>
    <w:rsid w:val="005A3A05"/>
    <w:rsid w:val="005A43C9"/>
    <w:rsid w:val="005B1388"/>
    <w:rsid w:val="005B3DB3"/>
    <w:rsid w:val="005B4393"/>
    <w:rsid w:val="005B57F4"/>
    <w:rsid w:val="005C185C"/>
    <w:rsid w:val="005C3812"/>
    <w:rsid w:val="005C45E3"/>
    <w:rsid w:val="005D0FDF"/>
    <w:rsid w:val="005D21E5"/>
    <w:rsid w:val="005D2FD3"/>
    <w:rsid w:val="005D4C10"/>
    <w:rsid w:val="005D594D"/>
    <w:rsid w:val="005D5AC7"/>
    <w:rsid w:val="005D63C2"/>
    <w:rsid w:val="005D6D06"/>
    <w:rsid w:val="005E0F10"/>
    <w:rsid w:val="005E11C1"/>
    <w:rsid w:val="005E134F"/>
    <w:rsid w:val="005E4862"/>
    <w:rsid w:val="005E6B99"/>
    <w:rsid w:val="005E70DE"/>
    <w:rsid w:val="005E7AC6"/>
    <w:rsid w:val="005F08E9"/>
    <w:rsid w:val="005F0D56"/>
    <w:rsid w:val="005F1C5C"/>
    <w:rsid w:val="005F3D09"/>
    <w:rsid w:val="005F63F2"/>
    <w:rsid w:val="005F7B75"/>
    <w:rsid w:val="005F7BCE"/>
    <w:rsid w:val="006001EE"/>
    <w:rsid w:val="00600949"/>
    <w:rsid w:val="00604051"/>
    <w:rsid w:val="00605042"/>
    <w:rsid w:val="00606C59"/>
    <w:rsid w:val="00607063"/>
    <w:rsid w:val="00607B2D"/>
    <w:rsid w:val="00610918"/>
    <w:rsid w:val="00611960"/>
    <w:rsid w:val="00611FC4"/>
    <w:rsid w:val="00612984"/>
    <w:rsid w:val="00616074"/>
    <w:rsid w:val="006174D2"/>
    <w:rsid w:val="00617666"/>
    <w:rsid w:val="006176FB"/>
    <w:rsid w:val="00617729"/>
    <w:rsid w:val="00617744"/>
    <w:rsid w:val="006241A2"/>
    <w:rsid w:val="00630255"/>
    <w:rsid w:val="00630551"/>
    <w:rsid w:val="00630D71"/>
    <w:rsid w:val="006327A9"/>
    <w:rsid w:val="006354B9"/>
    <w:rsid w:val="006368EB"/>
    <w:rsid w:val="00640123"/>
    <w:rsid w:val="00640B26"/>
    <w:rsid w:val="00642D46"/>
    <w:rsid w:val="00642F32"/>
    <w:rsid w:val="00646B5B"/>
    <w:rsid w:val="006472D1"/>
    <w:rsid w:val="00647EB5"/>
    <w:rsid w:val="00651AFE"/>
    <w:rsid w:val="00652D0A"/>
    <w:rsid w:val="0065387B"/>
    <w:rsid w:val="00655A09"/>
    <w:rsid w:val="006561EC"/>
    <w:rsid w:val="0065674C"/>
    <w:rsid w:val="00660479"/>
    <w:rsid w:val="00662BB6"/>
    <w:rsid w:val="006632E2"/>
    <w:rsid w:val="00663AC6"/>
    <w:rsid w:val="006642B1"/>
    <w:rsid w:val="00665519"/>
    <w:rsid w:val="00665B89"/>
    <w:rsid w:val="0066694E"/>
    <w:rsid w:val="0067055C"/>
    <w:rsid w:val="00670A6F"/>
    <w:rsid w:val="006721BA"/>
    <w:rsid w:val="00673C52"/>
    <w:rsid w:val="00675DDE"/>
    <w:rsid w:val="00684679"/>
    <w:rsid w:val="00684C21"/>
    <w:rsid w:val="006850DE"/>
    <w:rsid w:val="00687553"/>
    <w:rsid w:val="006879A4"/>
    <w:rsid w:val="00687E46"/>
    <w:rsid w:val="00690BFF"/>
    <w:rsid w:val="006938D7"/>
    <w:rsid w:val="006945DC"/>
    <w:rsid w:val="00694F01"/>
    <w:rsid w:val="00695491"/>
    <w:rsid w:val="006970AD"/>
    <w:rsid w:val="006A2B5E"/>
    <w:rsid w:val="006A4445"/>
    <w:rsid w:val="006A4EA3"/>
    <w:rsid w:val="006A57E6"/>
    <w:rsid w:val="006A6EBE"/>
    <w:rsid w:val="006B2446"/>
    <w:rsid w:val="006B2584"/>
    <w:rsid w:val="006B2B77"/>
    <w:rsid w:val="006B4766"/>
    <w:rsid w:val="006B60F3"/>
    <w:rsid w:val="006B6695"/>
    <w:rsid w:val="006B7360"/>
    <w:rsid w:val="006B7805"/>
    <w:rsid w:val="006C044D"/>
    <w:rsid w:val="006C0B1E"/>
    <w:rsid w:val="006C19AB"/>
    <w:rsid w:val="006C2422"/>
    <w:rsid w:val="006C386B"/>
    <w:rsid w:val="006C40E8"/>
    <w:rsid w:val="006C563E"/>
    <w:rsid w:val="006C5D61"/>
    <w:rsid w:val="006D37AF"/>
    <w:rsid w:val="006D3DD8"/>
    <w:rsid w:val="006D47B4"/>
    <w:rsid w:val="006D49CE"/>
    <w:rsid w:val="006D4AB3"/>
    <w:rsid w:val="006D51D0"/>
    <w:rsid w:val="006D6A09"/>
    <w:rsid w:val="006D6D8B"/>
    <w:rsid w:val="006D7EBA"/>
    <w:rsid w:val="006E3202"/>
    <w:rsid w:val="006E564B"/>
    <w:rsid w:val="006E7191"/>
    <w:rsid w:val="006F3454"/>
    <w:rsid w:val="006F5689"/>
    <w:rsid w:val="006F63A7"/>
    <w:rsid w:val="006F7096"/>
    <w:rsid w:val="00700431"/>
    <w:rsid w:val="007019E5"/>
    <w:rsid w:val="0070345A"/>
    <w:rsid w:val="00703577"/>
    <w:rsid w:val="00703E95"/>
    <w:rsid w:val="00707420"/>
    <w:rsid w:val="0070769A"/>
    <w:rsid w:val="00710A7E"/>
    <w:rsid w:val="0071573F"/>
    <w:rsid w:val="00716C65"/>
    <w:rsid w:val="00717B83"/>
    <w:rsid w:val="00723D2B"/>
    <w:rsid w:val="0072632A"/>
    <w:rsid w:val="007304C9"/>
    <w:rsid w:val="007327D5"/>
    <w:rsid w:val="0073369F"/>
    <w:rsid w:val="00733D14"/>
    <w:rsid w:val="00734376"/>
    <w:rsid w:val="0073586F"/>
    <w:rsid w:val="0074168D"/>
    <w:rsid w:val="00741DBD"/>
    <w:rsid w:val="00746A6B"/>
    <w:rsid w:val="0075141A"/>
    <w:rsid w:val="00756561"/>
    <w:rsid w:val="007629C8"/>
    <w:rsid w:val="00764D3F"/>
    <w:rsid w:val="007669C7"/>
    <w:rsid w:val="007733FD"/>
    <w:rsid w:val="00774F88"/>
    <w:rsid w:val="007752E2"/>
    <w:rsid w:val="00775D23"/>
    <w:rsid w:val="00776D09"/>
    <w:rsid w:val="007821E7"/>
    <w:rsid w:val="0078413D"/>
    <w:rsid w:val="00785A61"/>
    <w:rsid w:val="00790862"/>
    <w:rsid w:val="0079139D"/>
    <w:rsid w:val="00791976"/>
    <w:rsid w:val="00793FBC"/>
    <w:rsid w:val="00795724"/>
    <w:rsid w:val="007A0EEE"/>
    <w:rsid w:val="007A4CA3"/>
    <w:rsid w:val="007A580E"/>
    <w:rsid w:val="007A7078"/>
    <w:rsid w:val="007A7AA7"/>
    <w:rsid w:val="007B09AE"/>
    <w:rsid w:val="007B1F8F"/>
    <w:rsid w:val="007B5467"/>
    <w:rsid w:val="007B5EAD"/>
    <w:rsid w:val="007B6BA5"/>
    <w:rsid w:val="007B70BB"/>
    <w:rsid w:val="007B7291"/>
    <w:rsid w:val="007C0065"/>
    <w:rsid w:val="007C1D00"/>
    <w:rsid w:val="007C3033"/>
    <w:rsid w:val="007C3390"/>
    <w:rsid w:val="007C36FB"/>
    <w:rsid w:val="007C4F4B"/>
    <w:rsid w:val="007D0D9B"/>
    <w:rsid w:val="007D3CD2"/>
    <w:rsid w:val="007D7E03"/>
    <w:rsid w:val="007F1728"/>
    <w:rsid w:val="007F47D7"/>
    <w:rsid w:val="007F6611"/>
    <w:rsid w:val="007F6FF8"/>
    <w:rsid w:val="007F7B15"/>
    <w:rsid w:val="00800B26"/>
    <w:rsid w:val="00806534"/>
    <w:rsid w:val="008103D1"/>
    <w:rsid w:val="008121F7"/>
    <w:rsid w:val="00813903"/>
    <w:rsid w:val="00820249"/>
    <w:rsid w:val="00823D77"/>
    <w:rsid w:val="008242D7"/>
    <w:rsid w:val="008244AB"/>
    <w:rsid w:val="008257B1"/>
    <w:rsid w:val="00826119"/>
    <w:rsid w:val="008265E3"/>
    <w:rsid w:val="008306AF"/>
    <w:rsid w:val="00830B10"/>
    <w:rsid w:val="008314DD"/>
    <w:rsid w:val="008326D5"/>
    <w:rsid w:val="00832AB8"/>
    <w:rsid w:val="00836769"/>
    <w:rsid w:val="00836851"/>
    <w:rsid w:val="00836B63"/>
    <w:rsid w:val="00836D1B"/>
    <w:rsid w:val="00841B90"/>
    <w:rsid w:val="00843086"/>
    <w:rsid w:val="00843767"/>
    <w:rsid w:val="0084575D"/>
    <w:rsid w:val="00846F87"/>
    <w:rsid w:val="008472A9"/>
    <w:rsid w:val="00847B9F"/>
    <w:rsid w:val="00852F87"/>
    <w:rsid w:val="008536B7"/>
    <w:rsid w:val="008579BB"/>
    <w:rsid w:val="00857A8A"/>
    <w:rsid w:val="00862194"/>
    <w:rsid w:val="00862A3D"/>
    <w:rsid w:val="00862C01"/>
    <w:rsid w:val="00863C85"/>
    <w:rsid w:val="00864804"/>
    <w:rsid w:val="00865D49"/>
    <w:rsid w:val="008676EC"/>
    <w:rsid w:val="008679D9"/>
    <w:rsid w:val="008702D6"/>
    <w:rsid w:val="00870E1B"/>
    <w:rsid w:val="0087361A"/>
    <w:rsid w:val="008752DC"/>
    <w:rsid w:val="00880AFD"/>
    <w:rsid w:val="008816CB"/>
    <w:rsid w:val="00882F2B"/>
    <w:rsid w:val="00883E11"/>
    <w:rsid w:val="00886660"/>
    <w:rsid w:val="0088739E"/>
    <w:rsid w:val="00890240"/>
    <w:rsid w:val="008918F3"/>
    <w:rsid w:val="0089225C"/>
    <w:rsid w:val="00892376"/>
    <w:rsid w:val="008923C7"/>
    <w:rsid w:val="00893007"/>
    <w:rsid w:val="008942A2"/>
    <w:rsid w:val="00895183"/>
    <w:rsid w:val="00896F54"/>
    <w:rsid w:val="00896F5C"/>
    <w:rsid w:val="008976B8"/>
    <w:rsid w:val="008979B1"/>
    <w:rsid w:val="008A349F"/>
    <w:rsid w:val="008A3D89"/>
    <w:rsid w:val="008A4939"/>
    <w:rsid w:val="008A4A45"/>
    <w:rsid w:val="008A697D"/>
    <w:rsid w:val="008A6B25"/>
    <w:rsid w:val="008A6C4F"/>
    <w:rsid w:val="008A6CD1"/>
    <w:rsid w:val="008A726F"/>
    <w:rsid w:val="008B0094"/>
    <w:rsid w:val="008B0C2D"/>
    <w:rsid w:val="008B18AE"/>
    <w:rsid w:val="008B2335"/>
    <w:rsid w:val="008B368C"/>
    <w:rsid w:val="008B3C8D"/>
    <w:rsid w:val="008B3CAD"/>
    <w:rsid w:val="008B419E"/>
    <w:rsid w:val="008B4E93"/>
    <w:rsid w:val="008B63F9"/>
    <w:rsid w:val="008B64DC"/>
    <w:rsid w:val="008B6971"/>
    <w:rsid w:val="008B6DB6"/>
    <w:rsid w:val="008B7C8C"/>
    <w:rsid w:val="008C01BC"/>
    <w:rsid w:val="008C108D"/>
    <w:rsid w:val="008C16BA"/>
    <w:rsid w:val="008C25B1"/>
    <w:rsid w:val="008C336C"/>
    <w:rsid w:val="008C42FE"/>
    <w:rsid w:val="008C530C"/>
    <w:rsid w:val="008C7C8F"/>
    <w:rsid w:val="008D3847"/>
    <w:rsid w:val="008D3E95"/>
    <w:rsid w:val="008D66CA"/>
    <w:rsid w:val="008E0678"/>
    <w:rsid w:val="008E0882"/>
    <w:rsid w:val="008E2F37"/>
    <w:rsid w:val="008E3A34"/>
    <w:rsid w:val="008E4285"/>
    <w:rsid w:val="008E5DD2"/>
    <w:rsid w:val="008E781A"/>
    <w:rsid w:val="008F0D4C"/>
    <w:rsid w:val="008F1834"/>
    <w:rsid w:val="00900E34"/>
    <w:rsid w:val="00901748"/>
    <w:rsid w:val="00902968"/>
    <w:rsid w:val="0090313F"/>
    <w:rsid w:val="00903232"/>
    <w:rsid w:val="009067E1"/>
    <w:rsid w:val="00907347"/>
    <w:rsid w:val="00910242"/>
    <w:rsid w:val="00910707"/>
    <w:rsid w:val="00913FFF"/>
    <w:rsid w:val="00916F1E"/>
    <w:rsid w:val="00917D15"/>
    <w:rsid w:val="009223CA"/>
    <w:rsid w:val="009227F4"/>
    <w:rsid w:val="00923116"/>
    <w:rsid w:val="00924130"/>
    <w:rsid w:val="009248FC"/>
    <w:rsid w:val="00930173"/>
    <w:rsid w:val="00931719"/>
    <w:rsid w:val="0093193D"/>
    <w:rsid w:val="00940685"/>
    <w:rsid w:val="00940F93"/>
    <w:rsid w:val="00941411"/>
    <w:rsid w:val="009419FA"/>
    <w:rsid w:val="00944260"/>
    <w:rsid w:val="00945D3C"/>
    <w:rsid w:val="009462F6"/>
    <w:rsid w:val="0095157F"/>
    <w:rsid w:val="00953B82"/>
    <w:rsid w:val="00954527"/>
    <w:rsid w:val="009602E1"/>
    <w:rsid w:val="00960527"/>
    <w:rsid w:val="00964A81"/>
    <w:rsid w:val="009668CA"/>
    <w:rsid w:val="00966CDA"/>
    <w:rsid w:val="009723C9"/>
    <w:rsid w:val="00973FE7"/>
    <w:rsid w:val="00974974"/>
    <w:rsid w:val="009749C7"/>
    <w:rsid w:val="009760F3"/>
    <w:rsid w:val="009774D4"/>
    <w:rsid w:val="00980B3B"/>
    <w:rsid w:val="00982B71"/>
    <w:rsid w:val="00984734"/>
    <w:rsid w:val="0098574B"/>
    <w:rsid w:val="009869CC"/>
    <w:rsid w:val="009878EA"/>
    <w:rsid w:val="00987D7D"/>
    <w:rsid w:val="00987DA7"/>
    <w:rsid w:val="00991F66"/>
    <w:rsid w:val="00994206"/>
    <w:rsid w:val="00995E1C"/>
    <w:rsid w:val="009965C8"/>
    <w:rsid w:val="0099794D"/>
    <w:rsid w:val="009A0E8D"/>
    <w:rsid w:val="009A127B"/>
    <w:rsid w:val="009A196C"/>
    <w:rsid w:val="009A3B45"/>
    <w:rsid w:val="009A3FC9"/>
    <w:rsid w:val="009A414A"/>
    <w:rsid w:val="009A5997"/>
    <w:rsid w:val="009A6BF4"/>
    <w:rsid w:val="009A746F"/>
    <w:rsid w:val="009A7B68"/>
    <w:rsid w:val="009B06B3"/>
    <w:rsid w:val="009B26E7"/>
    <w:rsid w:val="009B3103"/>
    <w:rsid w:val="009B3A80"/>
    <w:rsid w:val="009B5609"/>
    <w:rsid w:val="009C0574"/>
    <w:rsid w:val="009C064A"/>
    <w:rsid w:val="009C3B5C"/>
    <w:rsid w:val="009C40B0"/>
    <w:rsid w:val="009C49D3"/>
    <w:rsid w:val="009C4AD2"/>
    <w:rsid w:val="009D1C5F"/>
    <w:rsid w:val="009D4F9B"/>
    <w:rsid w:val="009D682E"/>
    <w:rsid w:val="009E2A24"/>
    <w:rsid w:val="009E31B5"/>
    <w:rsid w:val="009E3540"/>
    <w:rsid w:val="009E3DA1"/>
    <w:rsid w:val="009E3F3B"/>
    <w:rsid w:val="009E5C79"/>
    <w:rsid w:val="009E7770"/>
    <w:rsid w:val="009F0455"/>
    <w:rsid w:val="009F1820"/>
    <w:rsid w:val="009F23F4"/>
    <w:rsid w:val="009F28F0"/>
    <w:rsid w:val="009F56EF"/>
    <w:rsid w:val="009F572F"/>
    <w:rsid w:val="009F5B1C"/>
    <w:rsid w:val="009F5B46"/>
    <w:rsid w:val="009F7150"/>
    <w:rsid w:val="00A00A3F"/>
    <w:rsid w:val="00A01489"/>
    <w:rsid w:val="00A03A7E"/>
    <w:rsid w:val="00A04BEC"/>
    <w:rsid w:val="00A05250"/>
    <w:rsid w:val="00A06117"/>
    <w:rsid w:val="00A069A6"/>
    <w:rsid w:val="00A149E6"/>
    <w:rsid w:val="00A15948"/>
    <w:rsid w:val="00A209DC"/>
    <w:rsid w:val="00A25891"/>
    <w:rsid w:val="00A25EC5"/>
    <w:rsid w:val="00A26D66"/>
    <w:rsid w:val="00A27329"/>
    <w:rsid w:val="00A31244"/>
    <w:rsid w:val="00A32B60"/>
    <w:rsid w:val="00A32EA2"/>
    <w:rsid w:val="00A338F1"/>
    <w:rsid w:val="00A37804"/>
    <w:rsid w:val="00A418FB"/>
    <w:rsid w:val="00A420B0"/>
    <w:rsid w:val="00A43432"/>
    <w:rsid w:val="00A43471"/>
    <w:rsid w:val="00A43512"/>
    <w:rsid w:val="00A44971"/>
    <w:rsid w:val="00A44CC0"/>
    <w:rsid w:val="00A46051"/>
    <w:rsid w:val="00A5214F"/>
    <w:rsid w:val="00A5275B"/>
    <w:rsid w:val="00A53B14"/>
    <w:rsid w:val="00A53CD6"/>
    <w:rsid w:val="00A54142"/>
    <w:rsid w:val="00A544AA"/>
    <w:rsid w:val="00A55169"/>
    <w:rsid w:val="00A60926"/>
    <w:rsid w:val="00A615C9"/>
    <w:rsid w:val="00A618E1"/>
    <w:rsid w:val="00A61B32"/>
    <w:rsid w:val="00A62A23"/>
    <w:rsid w:val="00A64C9B"/>
    <w:rsid w:val="00A64EE7"/>
    <w:rsid w:val="00A7036F"/>
    <w:rsid w:val="00A70E86"/>
    <w:rsid w:val="00A72F22"/>
    <w:rsid w:val="00A7357A"/>
    <w:rsid w:val="00A7360F"/>
    <w:rsid w:val="00A73F02"/>
    <w:rsid w:val="00A74571"/>
    <w:rsid w:val="00A746AA"/>
    <w:rsid w:val="00A747CF"/>
    <w:rsid w:val="00A748A6"/>
    <w:rsid w:val="00A76746"/>
    <w:rsid w:val="00A769F4"/>
    <w:rsid w:val="00A776B4"/>
    <w:rsid w:val="00A77A48"/>
    <w:rsid w:val="00A8067B"/>
    <w:rsid w:val="00A82210"/>
    <w:rsid w:val="00A86702"/>
    <w:rsid w:val="00A90EFF"/>
    <w:rsid w:val="00A92D53"/>
    <w:rsid w:val="00A94361"/>
    <w:rsid w:val="00A94975"/>
    <w:rsid w:val="00A94A7D"/>
    <w:rsid w:val="00A964C9"/>
    <w:rsid w:val="00A9702E"/>
    <w:rsid w:val="00AA1846"/>
    <w:rsid w:val="00AA19AC"/>
    <w:rsid w:val="00AA293C"/>
    <w:rsid w:val="00AA42BE"/>
    <w:rsid w:val="00AA451C"/>
    <w:rsid w:val="00AA53C2"/>
    <w:rsid w:val="00AA5EC9"/>
    <w:rsid w:val="00AA654F"/>
    <w:rsid w:val="00AB1033"/>
    <w:rsid w:val="00AB1123"/>
    <w:rsid w:val="00AB77C9"/>
    <w:rsid w:val="00AC1F8D"/>
    <w:rsid w:val="00AC24F2"/>
    <w:rsid w:val="00AC3551"/>
    <w:rsid w:val="00AC639E"/>
    <w:rsid w:val="00AC7BFB"/>
    <w:rsid w:val="00AC7F71"/>
    <w:rsid w:val="00AD2038"/>
    <w:rsid w:val="00AD3171"/>
    <w:rsid w:val="00AD60F0"/>
    <w:rsid w:val="00AD75F0"/>
    <w:rsid w:val="00AD7AB3"/>
    <w:rsid w:val="00AE0CE8"/>
    <w:rsid w:val="00AE36AF"/>
    <w:rsid w:val="00AE382C"/>
    <w:rsid w:val="00AE41A7"/>
    <w:rsid w:val="00AE5125"/>
    <w:rsid w:val="00AE7328"/>
    <w:rsid w:val="00AF1C7B"/>
    <w:rsid w:val="00AF1E53"/>
    <w:rsid w:val="00AF29E9"/>
    <w:rsid w:val="00AF4A5C"/>
    <w:rsid w:val="00AF5670"/>
    <w:rsid w:val="00AF657A"/>
    <w:rsid w:val="00AF67D6"/>
    <w:rsid w:val="00AF75D9"/>
    <w:rsid w:val="00AF7A8D"/>
    <w:rsid w:val="00B02F55"/>
    <w:rsid w:val="00B064F8"/>
    <w:rsid w:val="00B0741E"/>
    <w:rsid w:val="00B103B5"/>
    <w:rsid w:val="00B11F50"/>
    <w:rsid w:val="00B13B54"/>
    <w:rsid w:val="00B1695E"/>
    <w:rsid w:val="00B225A1"/>
    <w:rsid w:val="00B22C8A"/>
    <w:rsid w:val="00B24943"/>
    <w:rsid w:val="00B25F3D"/>
    <w:rsid w:val="00B26D3A"/>
    <w:rsid w:val="00B30179"/>
    <w:rsid w:val="00B34174"/>
    <w:rsid w:val="00B35EB4"/>
    <w:rsid w:val="00B378F2"/>
    <w:rsid w:val="00B40537"/>
    <w:rsid w:val="00B4069B"/>
    <w:rsid w:val="00B4173A"/>
    <w:rsid w:val="00B42BE9"/>
    <w:rsid w:val="00B45098"/>
    <w:rsid w:val="00B502F4"/>
    <w:rsid w:val="00B50735"/>
    <w:rsid w:val="00B51ED4"/>
    <w:rsid w:val="00B5356B"/>
    <w:rsid w:val="00B539AA"/>
    <w:rsid w:val="00B54F31"/>
    <w:rsid w:val="00B55C51"/>
    <w:rsid w:val="00B56E4A"/>
    <w:rsid w:val="00B56E9C"/>
    <w:rsid w:val="00B60B7B"/>
    <w:rsid w:val="00B60C42"/>
    <w:rsid w:val="00B63019"/>
    <w:rsid w:val="00B63381"/>
    <w:rsid w:val="00B639C0"/>
    <w:rsid w:val="00B648D1"/>
    <w:rsid w:val="00B64B1F"/>
    <w:rsid w:val="00B6529C"/>
    <w:rsid w:val="00B6553F"/>
    <w:rsid w:val="00B67D69"/>
    <w:rsid w:val="00B67D73"/>
    <w:rsid w:val="00B70101"/>
    <w:rsid w:val="00B7409A"/>
    <w:rsid w:val="00B74BA4"/>
    <w:rsid w:val="00B75008"/>
    <w:rsid w:val="00B75748"/>
    <w:rsid w:val="00B773A6"/>
    <w:rsid w:val="00B77D05"/>
    <w:rsid w:val="00B81206"/>
    <w:rsid w:val="00B81E12"/>
    <w:rsid w:val="00B82192"/>
    <w:rsid w:val="00B8310E"/>
    <w:rsid w:val="00B84933"/>
    <w:rsid w:val="00B8572E"/>
    <w:rsid w:val="00B90BC8"/>
    <w:rsid w:val="00B911ED"/>
    <w:rsid w:val="00B91E3C"/>
    <w:rsid w:val="00B92937"/>
    <w:rsid w:val="00B93182"/>
    <w:rsid w:val="00B95295"/>
    <w:rsid w:val="00B9587E"/>
    <w:rsid w:val="00B97A1E"/>
    <w:rsid w:val="00B97EE2"/>
    <w:rsid w:val="00BA07E1"/>
    <w:rsid w:val="00BA0F69"/>
    <w:rsid w:val="00BA1856"/>
    <w:rsid w:val="00BA2E7A"/>
    <w:rsid w:val="00BA6C22"/>
    <w:rsid w:val="00BB0725"/>
    <w:rsid w:val="00BB1580"/>
    <w:rsid w:val="00BB4587"/>
    <w:rsid w:val="00BB5BCD"/>
    <w:rsid w:val="00BC065B"/>
    <w:rsid w:val="00BC34B7"/>
    <w:rsid w:val="00BC6718"/>
    <w:rsid w:val="00BC74E9"/>
    <w:rsid w:val="00BD1705"/>
    <w:rsid w:val="00BD3455"/>
    <w:rsid w:val="00BD77B8"/>
    <w:rsid w:val="00BD7C6A"/>
    <w:rsid w:val="00BE02C9"/>
    <w:rsid w:val="00BE3F95"/>
    <w:rsid w:val="00BE4753"/>
    <w:rsid w:val="00BE6FC1"/>
    <w:rsid w:val="00BE7331"/>
    <w:rsid w:val="00BF05BA"/>
    <w:rsid w:val="00BF2B01"/>
    <w:rsid w:val="00BF3DA0"/>
    <w:rsid w:val="00BF4194"/>
    <w:rsid w:val="00BF604B"/>
    <w:rsid w:val="00BF68A8"/>
    <w:rsid w:val="00BF783D"/>
    <w:rsid w:val="00C002FF"/>
    <w:rsid w:val="00C02D4B"/>
    <w:rsid w:val="00C059CD"/>
    <w:rsid w:val="00C11A03"/>
    <w:rsid w:val="00C1613C"/>
    <w:rsid w:val="00C22386"/>
    <w:rsid w:val="00C22A6A"/>
    <w:rsid w:val="00C24F84"/>
    <w:rsid w:val="00C25817"/>
    <w:rsid w:val="00C27052"/>
    <w:rsid w:val="00C27861"/>
    <w:rsid w:val="00C27D08"/>
    <w:rsid w:val="00C31926"/>
    <w:rsid w:val="00C353C9"/>
    <w:rsid w:val="00C364D6"/>
    <w:rsid w:val="00C367E4"/>
    <w:rsid w:val="00C42634"/>
    <w:rsid w:val="00C42711"/>
    <w:rsid w:val="00C463DD"/>
    <w:rsid w:val="00C4724C"/>
    <w:rsid w:val="00C51347"/>
    <w:rsid w:val="00C537C8"/>
    <w:rsid w:val="00C537EC"/>
    <w:rsid w:val="00C54D05"/>
    <w:rsid w:val="00C5532F"/>
    <w:rsid w:val="00C5762B"/>
    <w:rsid w:val="00C578F1"/>
    <w:rsid w:val="00C61ADE"/>
    <w:rsid w:val="00C629A0"/>
    <w:rsid w:val="00C664E5"/>
    <w:rsid w:val="00C66978"/>
    <w:rsid w:val="00C669CC"/>
    <w:rsid w:val="00C66DFD"/>
    <w:rsid w:val="00C6760E"/>
    <w:rsid w:val="00C7097D"/>
    <w:rsid w:val="00C71AF4"/>
    <w:rsid w:val="00C745C3"/>
    <w:rsid w:val="00C802AB"/>
    <w:rsid w:val="00C80C5E"/>
    <w:rsid w:val="00C83A14"/>
    <w:rsid w:val="00C87749"/>
    <w:rsid w:val="00C90A5B"/>
    <w:rsid w:val="00C9101C"/>
    <w:rsid w:val="00C9543F"/>
    <w:rsid w:val="00C96E0C"/>
    <w:rsid w:val="00C9704F"/>
    <w:rsid w:val="00CA1414"/>
    <w:rsid w:val="00CB56A6"/>
    <w:rsid w:val="00CB5C40"/>
    <w:rsid w:val="00CB6442"/>
    <w:rsid w:val="00CB6671"/>
    <w:rsid w:val="00CB6AEA"/>
    <w:rsid w:val="00CC05CF"/>
    <w:rsid w:val="00CC0642"/>
    <w:rsid w:val="00CC151D"/>
    <w:rsid w:val="00CC372C"/>
    <w:rsid w:val="00CC4032"/>
    <w:rsid w:val="00CC4B27"/>
    <w:rsid w:val="00CD097C"/>
    <w:rsid w:val="00CD5FC4"/>
    <w:rsid w:val="00CD64D1"/>
    <w:rsid w:val="00CE01AA"/>
    <w:rsid w:val="00CE0AEF"/>
    <w:rsid w:val="00CE0EC6"/>
    <w:rsid w:val="00CE28B5"/>
    <w:rsid w:val="00CE290C"/>
    <w:rsid w:val="00CE4658"/>
    <w:rsid w:val="00CE4917"/>
    <w:rsid w:val="00CE4A8F"/>
    <w:rsid w:val="00CE73B7"/>
    <w:rsid w:val="00CF0035"/>
    <w:rsid w:val="00CF0F87"/>
    <w:rsid w:val="00CF529F"/>
    <w:rsid w:val="00CF702E"/>
    <w:rsid w:val="00D030DE"/>
    <w:rsid w:val="00D07338"/>
    <w:rsid w:val="00D10B74"/>
    <w:rsid w:val="00D11158"/>
    <w:rsid w:val="00D14B5E"/>
    <w:rsid w:val="00D1588A"/>
    <w:rsid w:val="00D16DEC"/>
    <w:rsid w:val="00D2031B"/>
    <w:rsid w:val="00D20AA2"/>
    <w:rsid w:val="00D20EC6"/>
    <w:rsid w:val="00D21697"/>
    <w:rsid w:val="00D22FC8"/>
    <w:rsid w:val="00D25FE2"/>
    <w:rsid w:val="00D26C4C"/>
    <w:rsid w:val="00D3034F"/>
    <w:rsid w:val="00D303B7"/>
    <w:rsid w:val="00D32217"/>
    <w:rsid w:val="00D3255D"/>
    <w:rsid w:val="00D3276F"/>
    <w:rsid w:val="00D32867"/>
    <w:rsid w:val="00D32A2D"/>
    <w:rsid w:val="00D3362F"/>
    <w:rsid w:val="00D3615A"/>
    <w:rsid w:val="00D365A8"/>
    <w:rsid w:val="00D403D8"/>
    <w:rsid w:val="00D41B56"/>
    <w:rsid w:val="00D43252"/>
    <w:rsid w:val="00D43A58"/>
    <w:rsid w:val="00D46717"/>
    <w:rsid w:val="00D47706"/>
    <w:rsid w:val="00D47AC7"/>
    <w:rsid w:val="00D47EEA"/>
    <w:rsid w:val="00D5166F"/>
    <w:rsid w:val="00D53B6C"/>
    <w:rsid w:val="00D54141"/>
    <w:rsid w:val="00D5558F"/>
    <w:rsid w:val="00D55823"/>
    <w:rsid w:val="00D55B97"/>
    <w:rsid w:val="00D5602B"/>
    <w:rsid w:val="00D57CD5"/>
    <w:rsid w:val="00D618FE"/>
    <w:rsid w:val="00D633EA"/>
    <w:rsid w:val="00D63904"/>
    <w:rsid w:val="00D63F6F"/>
    <w:rsid w:val="00D64765"/>
    <w:rsid w:val="00D6618D"/>
    <w:rsid w:val="00D668C8"/>
    <w:rsid w:val="00D67D7A"/>
    <w:rsid w:val="00D7481D"/>
    <w:rsid w:val="00D76E67"/>
    <w:rsid w:val="00D813D0"/>
    <w:rsid w:val="00D82C30"/>
    <w:rsid w:val="00D85072"/>
    <w:rsid w:val="00D862FD"/>
    <w:rsid w:val="00D86CA1"/>
    <w:rsid w:val="00D90FB6"/>
    <w:rsid w:val="00D91B02"/>
    <w:rsid w:val="00D9347E"/>
    <w:rsid w:val="00D93CC8"/>
    <w:rsid w:val="00D95303"/>
    <w:rsid w:val="00D95A36"/>
    <w:rsid w:val="00D978C6"/>
    <w:rsid w:val="00DA28D8"/>
    <w:rsid w:val="00DA3C1C"/>
    <w:rsid w:val="00DA566E"/>
    <w:rsid w:val="00DA5C3C"/>
    <w:rsid w:val="00DA5DED"/>
    <w:rsid w:val="00DA6285"/>
    <w:rsid w:val="00DA71CB"/>
    <w:rsid w:val="00DA7C42"/>
    <w:rsid w:val="00DB06BA"/>
    <w:rsid w:val="00DB0E68"/>
    <w:rsid w:val="00DB13AB"/>
    <w:rsid w:val="00DB16FC"/>
    <w:rsid w:val="00DB189D"/>
    <w:rsid w:val="00DB26B2"/>
    <w:rsid w:val="00DB3F12"/>
    <w:rsid w:val="00DB41D2"/>
    <w:rsid w:val="00DB548E"/>
    <w:rsid w:val="00DB5778"/>
    <w:rsid w:val="00DB5E4F"/>
    <w:rsid w:val="00DB7144"/>
    <w:rsid w:val="00DC0D8F"/>
    <w:rsid w:val="00DC1764"/>
    <w:rsid w:val="00DC20F6"/>
    <w:rsid w:val="00DC2CC4"/>
    <w:rsid w:val="00DC47EB"/>
    <w:rsid w:val="00DC5366"/>
    <w:rsid w:val="00DC552A"/>
    <w:rsid w:val="00DC7595"/>
    <w:rsid w:val="00DC7B1D"/>
    <w:rsid w:val="00DD6AE9"/>
    <w:rsid w:val="00DD73B1"/>
    <w:rsid w:val="00DE086D"/>
    <w:rsid w:val="00DE08FF"/>
    <w:rsid w:val="00DE17F4"/>
    <w:rsid w:val="00DE63DC"/>
    <w:rsid w:val="00DE6D70"/>
    <w:rsid w:val="00DF23B6"/>
    <w:rsid w:val="00DF23DE"/>
    <w:rsid w:val="00DF2600"/>
    <w:rsid w:val="00DF319A"/>
    <w:rsid w:val="00DF3BC5"/>
    <w:rsid w:val="00DF5B7D"/>
    <w:rsid w:val="00DF7CB0"/>
    <w:rsid w:val="00E00752"/>
    <w:rsid w:val="00E01137"/>
    <w:rsid w:val="00E02CCE"/>
    <w:rsid w:val="00E03386"/>
    <w:rsid w:val="00E04264"/>
    <w:rsid w:val="00E04C84"/>
    <w:rsid w:val="00E06689"/>
    <w:rsid w:val="00E10201"/>
    <w:rsid w:val="00E118A1"/>
    <w:rsid w:val="00E1227A"/>
    <w:rsid w:val="00E146B6"/>
    <w:rsid w:val="00E15476"/>
    <w:rsid w:val="00E16444"/>
    <w:rsid w:val="00E16D5D"/>
    <w:rsid w:val="00E16EFC"/>
    <w:rsid w:val="00E178F5"/>
    <w:rsid w:val="00E20264"/>
    <w:rsid w:val="00E21A27"/>
    <w:rsid w:val="00E23EED"/>
    <w:rsid w:val="00E24F3D"/>
    <w:rsid w:val="00E25070"/>
    <w:rsid w:val="00E2526B"/>
    <w:rsid w:val="00E25CB5"/>
    <w:rsid w:val="00E2604A"/>
    <w:rsid w:val="00E27346"/>
    <w:rsid w:val="00E32EFC"/>
    <w:rsid w:val="00E3386A"/>
    <w:rsid w:val="00E3472B"/>
    <w:rsid w:val="00E35236"/>
    <w:rsid w:val="00E41742"/>
    <w:rsid w:val="00E41971"/>
    <w:rsid w:val="00E467B0"/>
    <w:rsid w:val="00E46CE2"/>
    <w:rsid w:val="00E525C2"/>
    <w:rsid w:val="00E5408A"/>
    <w:rsid w:val="00E63979"/>
    <w:rsid w:val="00E64279"/>
    <w:rsid w:val="00E666A6"/>
    <w:rsid w:val="00E710C2"/>
    <w:rsid w:val="00E71125"/>
    <w:rsid w:val="00E71BC8"/>
    <w:rsid w:val="00E7260F"/>
    <w:rsid w:val="00E735D6"/>
    <w:rsid w:val="00E737BB"/>
    <w:rsid w:val="00E75863"/>
    <w:rsid w:val="00E7692D"/>
    <w:rsid w:val="00E807EF"/>
    <w:rsid w:val="00E81D48"/>
    <w:rsid w:val="00E82196"/>
    <w:rsid w:val="00E821C9"/>
    <w:rsid w:val="00E856B5"/>
    <w:rsid w:val="00E85AD0"/>
    <w:rsid w:val="00E85E7F"/>
    <w:rsid w:val="00E87E7B"/>
    <w:rsid w:val="00E91F65"/>
    <w:rsid w:val="00E959E0"/>
    <w:rsid w:val="00E96630"/>
    <w:rsid w:val="00E96CE0"/>
    <w:rsid w:val="00EA0709"/>
    <w:rsid w:val="00EA4118"/>
    <w:rsid w:val="00EA6049"/>
    <w:rsid w:val="00EB08F6"/>
    <w:rsid w:val="00EB1E49"/>
    <w:rsid w:val="00EB3FAF"/>
    <w:rsid w:val="00EB4C6E"/>
    <w:rsid w:val="00EB7728"/>
    <w:rsid w:val="00EC153A"/>
    <w:rsid w:val="00EC17D9"/>
    <w:rsid w:val="00EC3875"/>
    <w:rsid w:val="00EC4B7A"/>
    <w:rsid w:val="00EC765A"/>
    <w:rsid w:val="00ED065E"/>
    <w:rsid w:val="00ED182E"/>
    <w:rsid w:val="00ED2908"/>
    <w:rsid w:val="00ED47FF"/>
    <w:rsid w:val="00ED6F5C"/>
    <w:rsid w:val="00ED7A2A"/>
    <w:rsid w:val="00EE16C9"/>
    <w:rsid w:val="00EE1F67"/>
    <w:rsid w:val="00EE2F57"/>
    <w:rsid w:val="00EE3830"/>
    <w:rsid w:val="00EE3A5A"/>
    <w:rsid w:val="00EE6527"/>
    <w:rsid w:val="00EE69E1"/>
    <w:rsid w:val="00EE6D4A"/>
    <w:rsid w:val="00EE6FB9"/>
    <w:rsid w:val="00EF0A9D"/>
    <w:rsid w:val="00EF1D7F"/>
    <w:rsid w:val="00EF2C11"/>
    <w:rsid w:val="00EF4A03"/>
    <w:rsid w:val="00F071E4"/>
    <w:rsid w:val="00F078D7"/>
    <w:rsid w:val="00F15518"/>
    <w:rsid w:val="00F1765F"/>
    <w:rsid w:val="00F20C84"/>
    <w:rsid w:val="00F20C99"/>
    <w:rsid w:val="00F2342E"/>
    <w:rsid w:val="00F2779F"/>
    <w:rsid w:val="00F31E98"/>
    <w:rsid w:val="00F32383"/>
    <w:rsid w:val="00F3373F"/>
    <w:rsid w:val="00F34539"/>
    <w:rsid w:val="00F34747"/>
    <w:rsid w:val="00F3480C"/>
    <w:rsid w:val="00F3585E"/>
    <w:rsid w:val="00F412B8"/>
    <w:rsid w:val="00F42C24"/>
    <w:rsid w:val="00F446DD"/>
    <w:rsid w:val="00F44E1F"/>
    <w:rsid w:val="00F514DA"/>
    <w:rsid w:val="00F52CF8"/>
    <w:rsid w:val="00F52EE1"/>
    <w:rsid w:val="00F5393A"/>
    <w:rsid w:val="00F54BE9"/>
    <w:rsid w:val="00F57012"/>
    <w:rsid w:val="00F60A0D"/>
    <w:rsid w:val="00F65158"/>
    <w:rsid w:val="00F70147"/>
    <w:rsid w:val="00F71B36"/>
    <w:rsid w:val="00F72A51"/>
    <w:rsid w:val="00F72D60"/>
    <w:rsid w:val="00F738E0"/>
    <w:rsid w:val="00F74FE8"/>
    <w:rsid w:val="00F75696"/>
    <w:rsid w:val="00F76590"/>
    <w:rsid w:val="00F906F5"/>
    <w:rsid w:val="00F921DF"/>
    <w:rsid w:val="00F92AEB"/>
    <w:rsid w:val="00F93781"/>
    <w:rsid w:val="00F94550"/>
    <w:rsid w:val="00F94C3A"/>
    <w:rsid w:val="00FA1C9D"/>
    <w:rsid w:val="00FA4165"/>
    <w:rsid w:val="00FA4CC8"/>
    <w:rsid w:val="00FA5869"/>
    <w:rsid w:val="00FA5AD3"/>
    <w:rsid w:val="00FA7230"/>
    <w:rsid w:val="00FB06CC"/>
    <w:rsid w:val="00FB1778"/>
    <w:rsid w:val="00FB4221"/>
    <w:rsid w:val="00FB613B"/>
    <w:rsid w:val="00FB70C1"/>
    <w:rsid w:val="00FC1527"/>
    <w:rsid w:val="00FC187B"/>
    <w:rsid w:val="00FC1897"/>
    <w:rsid w:val="00FC2659"/>
    <w:rsid w:val="00FC2E43"/>
    <w:rsid w:val="00FC2F6F"/>
    <w:rsid w:val="00FC3E6D"/>
    <w:rsid w:val="00FC6503"/>
    <w:rsid w:val="00FC68B7"/>
    <w:rsid w:val="00FC6BF1"/>
    <w:rsid w:val="00FD0578"/>
    <w:rsid w:val="00FD1DCA"/>
    <w:rsid w:val="00FD5207"/>
    <w:rsid w:val="00FD744C"/>
    <w:rsid w:val="00FD7B17"/>
    <w:rsid w:val="00FE106A"/>
    <w:rsid w:val="00FE3208"/>
    <w:rsid w:val="00FF118F"/>
    <w:rsid w:val="00FF168B"/>
    <w:rsid w:val="00FF2DEB"/>
    <w:rsid w:val="00FF42B4"/>
    <w:rsid w:val="00FF46DB"/>
    <w:rsid w:val="00FF602A"/>
    <w:rsid w:val="00FF6EB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5C451-4F4E-4030-AFAB-86D2D09F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AA42B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AA42BE"/>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AD2038"/>
    <w:rPr>
      <w:rFonts w:eastAsia="SimSun"/>
      <w:sz w:val="18"/>
      <w:lang w:eastAsia="zh-CN"/>
    </w:rPr>
  </w:style>
  <w:style w:type="character" w:customStyle="1" w:styleId="SingleTxtGChar">
    <w:name w:val="_ Single Txt_G Char"/>
    <w:link w:val="SingleTxtG"/>
    <w:locked/>
    <w:rsid w:val="00AD2038"/>
    <w:rPr>
      <w:lang w:val="en-GB" w:eastAsia="en-US" w:bidi="ar-SA"/>
    </w:rPr>
  </w:style>
  <w:style w:type="paragraph" w:customStyle="1" w:styleId="Default">
    <w:name w:val="Default"/>
    <w:rsid w:val="00AD2038"/>
    <w:pPr>
      <w:autoSpaceDE w:val="0"/>
      <w:autoSpaceDN w:val="0"/>
      <w:adjustRightInd w:val="0"/>
    </w:pPr>
    <w:rPr>
      <w:rFonts w:eastAsia="SimSun"/>
      <w:color w:val="000000"/>
      <w:sz w:val="24"/>
      <w:szCs w:val="24"/>
      <w:lang w:val="en-US" w:eastAsia="zh-CN"/>
    </w:rPr>
  </w:style>
  <w:style w:type="character" w:styleId="CommentReference">
    <w:name w:val="annotation reference"/>
    <w:semiHidden/>
    <w:rsid w:val="00B75008"/>
    <w:rPr>
      <w:sz w:val="16"/>
    </w:rPr>
  </w:style>
  <w:style w:type="paragraph" w:styleId="BalloonText">
    <w:name w:val="Balloon Text"/>
    <w:basedOn w:val="Normal"/>
    <w:link w:val="BalloonTextChar"/>
    <w:rsid w:val="00660479"/>
    <w:pPr>
      <w:spacing w:line="240" w:lineRule="auto"/>
    </w:pPr>
    <w:rPr>
      <w:rFonts w:ascii="Tahoma" w:hAnsi="Tahoma" w:cs="Tahoma"/>
      <w:sz w:val="16"/>
      <w:szCs w:val="16"/>
    </w:rPr>
  </w:style>
  <w:style w:type="character" w:customStyle="1" w:styleId="BalloonTextChar">
    <w:name w:val="Balloon Text Char"/>
    <w:link w:val="BalloonText"/>
    <w:rsid w:val="00660479"/>
    <w:rPr>
      <w:rFonts w:ascii="Tahoma" w:hAnsi="Tahoma" w:cs="Tahoma"/>
      <w:sz w:val="16"/>
      <w:szCs w:val="16"/>
      <w:lang w:eastAsia="en-US"/>
    </w:rPr>
  </w:style>
  <w:style w:type="paragraph" w:styleId="CommentText">
    <w:name w:val="annotation text"/>
    <w:basedOn w:val="Normal"/>
    <w:link w:val="CommentTextChar"/>
    <w:rsid w:val="00AD60F0"/>
  </w:style>
  <w:style w:type="character" w:customStyle="1" w:styleId="CommentTextChar">
    <w:name w:val="Comment Text Char"/>
    <w:link w:val="CommentText"/>
    <w:rsid w:val="00AD60F0"/>
    <w:rPr>
      <w:lang w:eastAsia="en-US"/>
    </w:rPr>
  </w:style>
  <w:style w:type="paragraph" w:styleId="CommentSubject">
    <w:name w:val="annotation subject"/>
    <w:basedOn w:val="CommentText"/>
    <w:next w:val="CommentText"/>
    <w:link w:val="CommentSubjectChar"/>
    <w:rsid w:val="00AD60F0"/>
    <w:rPr>
      <w:b/>
      <w:bCs/>
    </w:rPr>
  </w:style>
  <w:style w:type="character" w:customStyle="1" w:styleId="CommentSubjectChar">
    <w:name w:val="Comment Subject Char"/>
    <w:link w:val="CommentSubject"/>
    <w:rsid w:val="00AD60F0"/>
    <w:rPr>
      <w:b/>
      <w:bCs/>
      <w:lang w:eastAsia="en-US"/>
    </w:rPr>
  </w:style>
  <w:style w:type="paragraph" w:customStyle="1" w:styleId="MediumList2-Accent21">
    <w:name w:val="Medium List 2 - Accent 21"/>
    <w:hidden/>
    <w:uiPriority w:val="99"/>
    <w:semiHidden/>
    <w:rsid w:val="00EF0A9D"/>
    <w:rPr>
      <w:lang w:eastAsia="en-US"/>
    </w:rPr>
  </w:style>
  <w:style w:type="paragraph" w:styleId="NormalWeb">
    <w:name w:val="Normal (Web)"/>
    <w:basedOn w:val="Normal"/>
    <w:uiPriority w:val="99"/>
    <w:unhideWhenUsed/>
    <w:rsid w:val="00EB4C6E"/>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normal--char">
    <w:name w:val="normal--char"/>
    <w:rsid w:val="00CB6AEA"/>
  </w:style>
  <w:style w:type="character" w:customStyle="1" w:styleId="FootnoteTextChar1">
    <w:name w:val="Footnote Text Char1"/>
    <w:aliases w:val="5_G Char1"/>
    <w:semiHidden/>
    <w:locked/>
    <w:rsid w:val="00CB6AEA"/>
    <w:rPr>
      <w:sz w:val="18"/>
      <w:lang w:eastAsia="en-US"/>
    </w:rPr>
  </w:style>
  <w:style w:type="paragraph" w:styleId="Revision">
    <w:name w:val="Revision"/>
    <w:hidden/>
    <w:uiPriority w:val="99"/>
    <w:semiHidden/>
    <w:rsid w:val="00F2779F"/>
    <w:rPr>
      <w:lang w:eastAsia="en-US"/>
    </w:rPr>
  </w:style>
  <w:style w:type="paragraph" w:styleId="NoSpacing">
    <w:name w:val="No Spacing"/>
    <w:uiPriority w:val="1"/>
    <w:qFormat/>
    <w:rsid w:val="002A0256"/>
    <w:pPr>
      <w:suppressAutoHyphens/>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8377">
      <w:bodyDiv w:val="1"/>
      <w:marLeft w:val="0"/>
      <w:marRight w:val="0"/>
      <w:marTop w:val="0"/>
      <w:marBottom w:val="0"/>
      <w:divBdr>
        <w:top w:val="none" w:sz="0" w:space="0" w:color="auto"/>
        <w:left w:val="none" w:sz="0" w:space="0" w:color="auto"/>
        <w:bottom w:val="none" w:sz="0" w:space="0" w:color="auto"/>
        <w:right w:val="none" w:sz="0" w:space="0" w:color="auto"/>
      </w:divBdr>
      <w:divsChild>
        <w:div w:id="75741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5425">
      <w:bodyDiv w:val="1"/>
      <w:marLeft w:val="0"/>
      <w:marRight w:val="0"/>
      <w:marTop w:val="0"/>
      <w:marBottom w:val="0"/>
      <w:divBdr>
        <w:top w:val="none" w:sz="0" w:space="0" w:color="auto"/>
        <w:left w:val="none" w:sz="0" w:space="0" w:color="auto"/>
        <w:bottom w:val="none" w:sz="0" w:space="0" w:color="auto"/>
        <w:right w:val="none" w:sz="0" w:space="0" w:color="auto"/>
      </w:divBdr>
    </w:div>
    <w:div w:id="314845667">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92588002">
      <w:bodyDiv w:val="1"/>
      <w:marLeft w:val="0"/>
      <w:marRight w:val="0"/>
      <w:marTop w:val="0"/>
      <w:marBottom w:val="0"/>
      <w:divBdr>
        <w:top w:val="none" w:sz="0" w:space="0" w:color="auto"/>
        <w:left w:val="none" w:sz="0" w:space="0" w:color="auto"/>
        <w:bottom w:val="none" w:sz="0" w:space="0" w:color="auto"/>
        <w:right w:val="none" w:sz="0" w:space="0" w:color="auto"/>
      </w:divBdr>
    </w:div>
    <w:div w:id="1047484783">
      <w:bodyDiv w:val="1"/>
      <w:marLeft w:val="0"/>
      <w:marRight w:val="0"/>
      <w:marTop w:val="0"/>
      <w:marBottom w:val="0"/>
      <w:divBdr>
        <w:top w:val="none" w:sz="0" w:space="0" w:color="auto"/>
        <w:left w:val="none" w:sz="0" w:space="0" w:color="auto"/>
        <w:bottom w:val="none" w:sz="0" w:space="0" w:color="auto"/>
        <w:right w:val="none" w:sz="0" w:space="0" w:color="auto"/>
      </w:divBdr>
    </w:div>
    <w:div w:id="1192768135">
      <w:bodyDiv w:val="1"/>
      <w:marLeft w:val="0"/>
      <w:marRight w:val="0"/>
      <w:marTop w:val="0"/>
      <w:marBottom w:val="0"/>
      <w:divBdr>
        <w:top w:val="none" w:sz="0" w:space="0" w:color="auto"/>
        <w:left w:val="none" w:sz="0" w:space="0" w:color="auto"/>
        <w:bottom w:val="none" w:sz="0" w:space="0" w:color="auto"/>
        <w:right w:val="none" w:sz="0" w:space="0" w:color="auto"/>
      </w:divBdr>
      <w:divsChild>
        <w:div w:id="1121536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903716">
      <w:bodyDiv w:val="1"/>
      <w:marLeft w:val="0"/>
      <w:marRight w:val="0"/>
      <w:marTop w:val="0"/>
      <w:marBottom w:val="0"/>
      <w:divBdr>
        <w:top w:val="none" w:sz="0" w:space="0" w:color="auto"/>
        <w:left w:val="none" w:sz="0" w:space="0" w:color="auto"/>
        <w:bottom w:val="none" w:sz="0" w:space="0" w:color="auto"/>
        <w:right w:val="none" w:sz="0" w:space="0" w:color="auto"/>
      </w:divBdr>
    </w:div>
    <w:div w:id="1470198427">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15581488">
      <w:bodyDiv w:val="1"/>
      <w:marLeft w:val="0"/>
      <w:marRight w:val="0"/>
      <w:marTop w:val="0"/>
      <w:marBottom w:val="0"/>
      <w:divBdr>
        <w:top w:val="none" w:sz="0" w:space="0" w:color="auto"/>
        <w:left w:val="none" w:sz="0" w:space="0" w:color="auto"/>
        <w:bottom w:val="none" w:sz="0" w:space="0" w:color="auto"/>
        <w:right w:val="none" w:sz="0" w:space="0" w:color="auto"/>
      </w:divBdr>
    </w:div>
    <w:div w:id="1992246634">
      <w:bodyDiv w:val="1"/>
      <w:marLeft w:val="0"/>
      <w:marRight w:val="0"/>
      <w:marTop w:val="0"/>
      <w:marBottom w:val="0"/>
      <w:divBdr>
        <w:top w:val="none" w:sz="0" w:space="0" w:color="auto"/>
        <w:left w:val="none" w:sz="0" w:space="0" w:color="auto"/>
        <w:bottom w:val="none" w:sz="0" w:space="0" w:color="auto"/>
        <w:right w:val="none" w:sz="0" w:space="0" w:color="auto"/>
      </w:divBdr>
    </w:div>
    <w:div w:id="2015263752">
      <w:bodyDiv w:val="1"/>
      <w:marLeft w:val="0"/>
      <w:marRight w:val="0"/>
      <w:marTop w:val="0"/>
      <w:marBottom w:val="0"/>
      <w:divBdr>
        <w:top w:val="none" w:sz="0" w:space="0" w:color="auto"/>
        <w:left w:val="none" w:sz="0" w:space="0" w:color="auto"/>
        <w:bottom w:val="none" w:sz="0" w:space="0" w:color="auto"/>
        <w:right w:val="none" w:sz="0" w:space="0" w:color="auto"/>
      </w:divBdr>
    </w:div>
    <w:div w:id="2139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E58B-D55A-4220-8A5A-D501CE84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7104</Words>
  <Characters>40498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1620827</vt:lpstr>
    </vt:vector>
  </TitlesOfParts>
  <Company>CSD</Company>
  <LinksUpToDate>false</LinksUpToDate>
  <CharactersWithSpaces>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1620827</dc:title>
  <dc:subject>CAT/C/58/D/627/2014</dc:subject>
  <dc:creator>default</dc:creator>
  <cp:keywords/>
  <dc:description/>
  <cp:lastModifiedBy>Sarah Willig</cp:lastModifiedBy>
  <cp:revision>2</cp:revision>
  <cp:lastPrinted>2016-09-22T13:28:00Z</cp:lastPrinted>
  <dcterms:created xsi:type="dcterms:W3CDTF">2017-04-10T17:26:00Z</dcterms:created>
  <dcterms:modified xsi:type="dcterms:W3CDTF">2017-04-10T17:26:00Z</dcterms:modified>
</cp:coreProperties>
</file>