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116B35" w:rsidP="00A403DE">
            <w:pPr>
              <w:jc w:val="right"/>
            </w:pPr>
            <w:r w:rsidRPr="00116B35">
              <w:rPr>
                <w:sz w:val="40"/>
              </w:rPr>
              <w:t>CAT</w:t>
            </w:r>
            <w:r>
              <w:t>/C/</w:t>
            </w:r>
            <w:r w:rsidR="00EB3EE4">
              <w:t>50</w:t>
            </w:r>
            <w:r>
              <w:t>/D/</w:t>
            </w:r>
            <w:r w:rsidR="003E35AF">
              <w:t>46</w:t>
            </w:r>
            <w:r w:rsidR="00EB3EE4">
              <w:t>7/2011</w:t>
            </w:r>
          </w:p>
        </w:tc>
      </w:tr>
      <w:tr w:rsidR="00B56E9C">
        <w:trPr>
          <w:cantSplit/>
          <w:trHeight w:hRule="exact" w:val="2835"/>
        </w:trPr>
        <w:tc>
          <w:tcPr>
            <w:tcW w:w="1276" w:type="dxa"/>
            <w:tcBorders>
              <w:top w:val="single" w:sz="4" w:space="0" w:color="auto"/>
              <w:bottom w:val="single" w:sz="12" w:space="0" w:color="auto"/>
            </w:tcBorders>
          </w:tcPr>
          <w:p w:rsidR="00B56E9C" w:rsidRDefault="00A1678D"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116B35" w:rsidRDefault="00116B35" w:rsidP="00116B35">
            <w:pPr>
              <w:spacing w:before="240" w:line="240" w:lineRule="exact"/>
            </w:pPr>
            <w:r>
              <w:t xml:space="preserve">Distr.: </w:t>
            </w:r>
            <w:r w:rsidR="00A403DE">
              <w:t>General</w:t>
            </w:r>
          </w:p>
          <w:p w:rsidR="00116B35" w:rsidRDefault="00F12E3E" w:rsidP="00116B35">
            <w:pPr>
              <w:spacing w:line="240" w:lineRule="exact"/>
            </w:pPr>
            <w:r>
              <w:t>15 July</w:t>
            </w:r>
            <w:r w:rsidR="00C93C31">
              <w:t xml:space="preserve"> </w:t>
            </w:r>
            <w:r w:rsidR="00592439">
              <w:t>2013</w:t>
            </w:r>
          </w:p>
          <w:p w:rsidR="00116B35" w:rsidRDefault="00116B35" w:rsidP="00116B35">
            <w:pPr>
              <w:spacing w:line="240" w:lineRule="exact"/>
            </w:pPr>
          </w:p>
          <w:p w:rsidR="00B56E9C" w:rsidRDefault="00116B35" w:rsidP="00116B35">
            <w:pPr>
              <w:spacing w:line="240" w:lineRule="exact"/>
            </w:pPr>
            <w:r>
              <w:t>Original: English</w:t>
            </w:r>
          </w:p>
          <w:p w:rsidR="0056163B" w:rsidRDefault="0056163B" w:rsidP="00116B35">
            <w:pPr>
              <w:spacing w:line="240" w:lineRule="exact"/>
            </w:pPr>
          </w:p>
          <w:p w:rsidR="0056163B" w:rsidRDefault="0056163B" w:rsidP="00116B35">
            <w:pPr>
              <w:spacing w:line="240" w:lineRule="exact"/>
            </w:pPr>
          </w:p>
        </w:tc>
      </w:tr>
    </w:tbl>
    <w:p w:rsidR="003E35AF" w:rsidRPr="00592439" w:rsidRDefault="003E35AF" w:rsidP="003E35AF">
      <w:pPr>
        <w:spacing w:before="120"/>
        <w:rPr>
          <w:b/>
          <w:sz w:val="24"/>
          <w:szCs w:val="24"/>
        </w:rPr>
      </w:pPr>
      <w:r w:rsidRPr="00592439">
        <w:rPr>
          <w:b/>
          <w:sz w:val="24"/>
          <w:szCs w:val="24"/>
        </w:rPr>
        <w:t>Committee against Torture</w:t>
      </w:r>
    </w:p>
    <w:p w:rsidR="00116B35" w:rsidRDefault="00116B35" w:rsidP="00116B35">
      <w:pPr>
        <w:pStyle w:val="HChG"/>
      </w:pPr>
      <w:r w:rsidRPr="00116B35">
        <w:tab/>
      </w:r>
      <w:r w:rsidRPr="00116B35">
        <w:tab/>
      </w:r>
      <w:r w:rsidRPr="002669E0">
        <w:t>Communication N</w:t>
      </w:r>
      <w:r w:rsidRPr="00116B35">
        <w:t xml:space="preserve">o. </w:t>
      </w:r>
      <w:r w:rsidR="00592439">
        <w:t>4</w:t>
      </w:r>
      <w:r w:rsidR="003E35AF">
        <w:t>6</w:t>
      </w:r>
      <w:r w:rsidR="00592439">
        <w:t>7/2011</w:t>
      </w:r>
    </w:p>
    <w:p w:rsidR="007338F2" w:rsidRDefault="00E722C6" w:rsidP="00192FE6">
      <w:pPr>
        <w:pStyle w:val="H1G"/>
        <w:spacing w:before="0" w:after="0"/>
        <w:ind w:left="1170"/>
      </w:pPr>
      <w:r>
        <w:tab/>
      </w:r>
      <w:r>
        <w:tab/>
      </w:r>
      <w:r w:rsidR="007338F2">
        <w:t>Decision adopted by the Committee at its fiftieth session, 6</w:t>
      </w:r>
      <w:r w:rsidR="004B6170">
        <w:t>–</w:t>
      </w:r>
      <w:r w:rsidR="007338F2">
        <w:t xml:space="preserve">31 May 2013 </w:t>
      </w:r>
    </w:p>
    <w:p w:rsidR="00116B35" w:rsidRPr="00116B35" w:rsidRDefault="00116B35" w:rsidP="00116B35">
      <w:pPr>
        <w:pStyle w:val="H1G"/>
      </w:pPr>
    </w:p>
    <w:p w:rsidR="00116B35" w:rsidRPr="00116B35" w:rsidRDefault="00116B35" w:rsidP="004310B2">
      <w:pPr>
        <w:pStyle w:val="SingleTxtG"/>
        <w:ind w:left="4536" w:hanging="3402"/>
      </w:pPr>
      <w:r w:rsidRPr="00116B35">
        <w:rPr>
          <w:i/>
        </w:rPr>
        <w:t>Submitted by:</w:t>
      </w:r>
      <w:r w:rsidRPr="00116B35">
        <w:rPr>
          <w:i/>
        </w:rPr>
        <w:tab/>
      </w:r>
      <w:r w:rsidR="007338F2">
        <w:t>Y.B.F.</w:t>
      </w:r>
      <w:r w:rsidR="00A12E1B">
        <w:t xml:space="preserve">, </w:t>
      </w:r>
      <w:r w:rsidR="007338F2">
        <w:t>S.A.Q.</w:t>
      </w:r>
      <w:r w:rsidR="00A12E1B">
        <w:t xml:space="preserve"> and </w:t>
      </w:r>
      <w:r w:rsidR="007338F2">
        <w:t>Y.Y.</w:t>
      </w:r>
      <w:r w:rsidR="00A12E1B">
        <w:t xml:space="preserve"> </w:t>
      </w:r>
      <w:r w:rsidRPr="00116B35">
        <w:t>(represented by counsel, Tarig Hassan)</w:t>
      </w:r>
    </w:p>
    <w:p w:rsidR="00116B35" w:rsidRPr="00116B35" w:rsidRDefault="00116B35" w:rsidP="004310B2">
      <w:pPr>
        <w:pStyle w:val="SingleTxtG"/>
        <w:ind w:left="4536" w:hanging="3402"/>
      </w:pPr>
      <w:r w:rsidRPr="00116B35">
        <w:rPr>
          <w:i/>
        </w:rPr>
        <w:t>Alleged vic</w:t>
      </w:r>
      <w:r w:rsidR="003E35AF">
        <w:rPr>
          <w:i/>
        </w:rPr>
        <w:t>tim</w:t>
      </w:r>
      <w:r w:rsidR="00A12E1B">
        <w:rPr>
          <w:i/>
        </w:rPr>
        <w:t>s</w:t>
      </w:r>
      <w:r w:rsidRPr="00116B35">
        <w:rPr>
          <w:i/>
        </w:rPr>
        <w:t>:</w:t>
      </w:r>
      <w:r w:rsidRPr="00116B35">
        <w:rPr>
          <w:i/>
        </w:rPr>
        <w:tab/>
      </w:r>
      <w:r w:rsidRPr="00116B35">
        <w:t>The complainant</w:t>
      </w:r>
      <w:r w:rsidR="00A12E1B">
        <w:t>s</w:t>
      </w:r>
    </w:p>
    <w:p w:rsidR="00116B35" w:rsidRPr="00116B35" w:rsidRDefault="00116B35" w:rsidP="004310B2">
      <w:pPr>
        <w:pStyle w:val="SingleTxtG"/>
        <w:ind w:left="4536" w:hanging="3402"/>
      </w:pPr>
      <w:r w:rsidRPr="00116B35">
        <w:rPr>
          <w:i/>
        </w:rPr>
        <w:t>State party:</w:t>
      </w:r>
      <w:r w:rsidRPr="00116B35">
        <w:rPr>
          <w:i/>
        </w:rPr>
        <w:tab/>
      </w:r>
      <w:smartTag w:uri="urn:schemas-microsoft-com:office:smarttags" w:element="place">
        <w:smartTag w:uri="urn:schemas-microsoft-com:office:smarttags" w:element="country-region">
          <w:r w:rsidRPr="00116B35">
            <w:t>Switzerland</w:t>
          </w:r>
        </w:smartTag>
      </w:smartTag>
    </w:p>
    <w:p w:rsidR="00116B35" w:rsidRPr="00116B35" w:rsidRDefault="00116B35" w:rsidP="004310B2">
      <w:pPr>
        <w:pStyle w:val="SingleTxtG"/>
        <w:ind w:left="4536" w:hanging="3402"/>
      </w:pPr>
      <w:r w:rsidRPr="00116B35">
        <w:rPr>
          <w:i/>
        </w:rPr>
        <w:t>Date of complaint:</w:t>
      </w:r>
      <w:r w:rsidRPr="00116B35">
        <w:rPr>
          <w:i/>
        </w:rPr>
        <w:tab/>
      </w:r>
      <w:r w:rsidR="00A12E1B">
        <w:t>24 June 2011</w:t>
      </w:r>
      <w:r w:rsidRPr="00116B35">
        <w:t xml:space="preserve"> (initial submission)</w:t>
      </w:r>
    </w:p>
    <w:p w:rsidR="00116B35" w:rsidRPr="00116B35" w:rsidRDefault="00116B35" w:rsidP="004310B2">
      <w:pPr>
        <w:pStyle w:val="SingleTxtG"/>
        <w:ind w:left="4536" w:hanging="3402"/>
      </w:pPr>
      <w:r w:rsidRPr="00116B35">
        <w:rPr>
          <w:i/>
        </w:rPr>
        <w:t>Date of decision:</w:t>
      </w:r>
      <w:r w:rsidRPr="00116B35">
        <w:rPr>
          <w:i/>
        </w:rPr>
        <w:tab/>
      </w:r>
      <w:r w:rsidR="000B433A">
        <w:t>31</w:t>
      </w:r>
      <w:r w:rsidRPr="00116B35">
        <w:t xml:space="preserve"> </w:t>
      </w:r>
      <w:r w:rsidR="00A12E1B">
        <w:t>May 2013</w:t>
      </w:r>
    </w:p>
    <w:p w:rsidR="00116B35" w:rsidRPr="00116B35" w:rsidRDefault="00116B35" w:rsidP="004310B2">
      <w:pPr>
        <w:pStyle w:val="SingleTxtG"/>
        <w:ind w:left="4536" w:hanging="3402"/>
      </w:pPr>
      <w:r w:rsidRPr="00116B35">
        <w:rPr>
          <w:i/>
          <w:iCs/>
        </w:rPr>
        <w:t>Subject matter:</w:t>
      </w:r>
      <w:r w:rsidRPr="00116B35">
        <w:rPr>
          <w:i/>
        </w:rPr>
        <w:tab/>
      </w:r>
      <w:r w:rsidR="008E75C7">
        <w:t>Expulsion</w:t>
      </w:r>
      <w:r w:rsidRPr="00116B35">
        <w:t xml:space="preserve"> of the complainant</w:t>
      </w:r>
      <w:r w:rsidR="00A12E1B">
        <w:t>s</w:t>
      </w:r>
      <w:r w:rsidRPr="00116B35">
        <w:t xml:space="preserve"> to </w:t>
      </w:r>
      <w:smartTag w:uri="urn:schemas-microsoft-com:office:smarttags" w:element="place">
        <w:smartTag w:uri="urn:schemas-microsoft-com:office:smarttags" w:element="country-region">
          <w:r w:rsidR="00A12E1B">
            <w:t>Yemen</w:t>
          </w:r>
        </w:smartTag>
      </w:smartTag>
    </w:p>
    <w:p w:rsidR="00116B35" w:rsidRPr="00116B35" w:rsidRDefault="00116B35" w:rsidP="004310B2">
      <w:pPr>
        <w:pStyle w:val="SingleTxtG"/>
        <w:ind w:left="4536" w:hanging="3402"/>
      </w:pPr>
      <w:r w:rsidRPr="00116B35">
        <w:rPr>
          <w:i/>
          <w:iCs/>
        </w:rPr>
        <w:t>Substantive issue:</w:t>
      </w:r>
      <w:r w:rsidRPr="00116B35">
        <w:rPr>
          <w:i/>
          <w:iCs/>
        </w:rPr>
        <w:tab/>
      </w:r>
      <w:r w:rsidRPr="00116B35">
        <w:t>Risk of torture upon return to the country of origin</w:t>
      </w:r>
    </w:p>
    <w:p w:rsidR="00116B35" w:rsidRPr="00116B35" w:rsidRDefault="00116B35" w:rsidP="004310B2">
      <w:pPr>
        <w:pStyle w:val="SingleTxtG"/>
        <w:ind w:left="4536" w:hanging="3402"/>
      </w:pPr>
      <w:r w:rsidRPr="002E78CB">
        <w:rPr>
          <w:i/>
          <w:iCs/>
        </w:rPr>
        <w:t>Procedural issue</w:t>
      </w:r>
      <w:r w:rsidRPr="002E78CB">
        <w:rPr>
          <w:i/>
        </w:rPr>
        <w:t>:</w:t>
      </w:r>
      <w:r w:rsidRPr="002E78CB">
        <w:rPr>
          <w:i/>
          <w:iCs/>
        </w:rPr>
        <w:tab/>
      </w:r>
      <w:r w:rsidR="00A259BD" w:rsidRPr="002E78CB">
        <w:rPr>
          <w:i/>
          <w:iCs/>
        </w:rPr>
        <w:t>-</w:t>
      </w:r>
    </w:p>
    <w:p w:rsidR="00116B35" w:rsidRPr="00116B35" w:rsidRDefault="00116B35" w:rsidP="004310B2">
      <w:pPr>
        <w:pStyle w:val="SingleTxtG"/>
        <w:ind w:left="4536" w:hanging="3402"/>
      </w:pPr>
      <w:r w:rsidRPr="00116B35">
        <w:rPr>
          <w:i/>
          <w:iCs/>
        </w:rPr>
        <w:t>Article of the Convention</w:t>
      </w:r>
      <w:r w:rsidRPr="00116B35">
        <w:rPr>
          <w:i/>
        </w:rPr>
        <w:t>:</w:t>
      </w:r>
      <w:r w:rsidRPr="00116B35">
        <w:rPr>
          <w:i/>
          <w:iCs/>
        </w:rPr>
        <w:tab/>
      </w:r>
      <w:r w:rsidRPr="00116B35">
        <w:t>3</w:t>
      </w:r>
    </w:p>
    <w:p w:rsidR="00116B35" w:rsidRPr="00116B35" w:rsidRDefault="00116B35" w:rsidP="004310B2">
      <w:pPr>
        <w:pStyle w:val="SingleTxtG"/>
        <w:jc w:val="center"/>
      </w:pPr>
      <w:r w:rsidRPr="00116B35">
        <w:t>[Annex]</w:t>
      </w:r>
    </w:p>
    <w:p w:rsidR="004871C2" w:rsidRDefault="004871C2" w:rsidP="004310B2">
      <w:pPr>
        <w:pStyle w:val="HChG"/>
      </w:pPr>
    </w:p>
    <w:p w:rsidR="004871C2" w:rsidRPr="004871C2" w:rsidRDefault="004871C2" w:rsidP="004871C2"/>
    <w:p w:rsidR="004871C2" w:rsidRPr="004871C2" w:rsidRDefault="004871C2" w:rsidP="004871C2"/>
    <w:p w:rsidR="004871C2" w:rsidRPr="004871C2" w:rsidRDefault="004871C2" w:rsidP="004871C2"/>
    <w:p w:rsidR="004871C2" w:rsidRPr="004871C2" w:rsidRDefault="004871C2" w:rsidP="004871C2">
      <w:pPr>
        <w:tabs>
          <w:tab w:val="left" w:pos="8625"/>
        </w:tabs>
      </w:pPr>
      <w:r>
        <w:tab/>
      </w:r>
    </w:p>
    <w:p w:rsidR="00116B35" w:rsidRPr="00116B35" w:rsidRDefault="00116B35" w:rsidP="004310B2">
      <w:pPr>
        <w:pStyle w:val="HChG"/>
      </w:pPr>
      <w:r w:rsidRPr="004871C2">
        <w:br w:type="page"/>
      </w:r>
      <w:r w:rsidRPr="00116B35">
        <w:lastRenderedPageBreak/>
        <w:t>Annex</w:t>
      </w:r>
    </w:p>
    <w:p w:rsidR="00116B35" w:rsidRPr="00116B35" w:rsidRDefault="00116B35" w:rsidP="004310B2">
      <w:pPr>
        <w:pStyle w:val="HChG"/>
      </w:pPr>
      <w:r w:rsidRPr="00116B35">
        <w:tab/>
      </w:r>
      <w:r w:rsidRPr="00116B35">
        <w:tab/>
        <w:t>Decision of the Committee against Torture under article 22 of the Convention against Torture and Other Cruel, Inhuman or Degrading Treatment or Punishment (</w:t>
      </w:r>
      <w:r w:rsidR="00F75DBB">
        <w:t>f</w:t>
      </w:r>
      <w:r w:rsidR="00F75DBB" w:rsidRPr="00F75DBB">
        <w:t>iftieth</w:t>
      </w:r>
      <w:r w:rsidR="00F75DBB" w:rsidRPr="00116B35">
        <w:t xml:space="preserve"> </w:t>
      </w:r>
      <w:r w:rsidR="003E35AF" w:rsidRPr="00116B35">
        <w:t>session</w:t>
      </w:r>
      <w:r w:rsidRPr="00116B35">
        <w:t>)</w:t>
      </w:r>
    </w:p>
    <w:p w:rsidR="00116B35" w:rsidRPr="00116B35" w:rsidRDefault="00116B35" w:rsidP="004310B2">
      <w:pPr>
        <w:pStyle w:val="SingleTxtG"/>
      </w:pPr>
      <w:r w:rsidRPr="00116B35">
        <w:t>concerning</w:t>
      </w:r>
    </w:p>
    <w:p w:rsidR="00116B35" w:rsidRPr="00116B35" w:rsidRDefault="004310B2" w:rsidP="004310B2">
      <w:pPr>
        <w:pStyle w:val="H1G"/>
      </w:pPr>
      <w:r>
        <w:tab/>
      </w:r>
      <w:r>
        <w:tab/>
      </w:r>
      <w:r w:rsidR="00116B35" w:rsidRPr="002669E0">
        <w:t xml:space="preserve">Communication No. </w:t>
      </w:r>
      <w:r w:rsidR="00F75DBB" w:rsidRPr="002669E0">
        <w:t>467/2011</w:t>
      </w:r>
    </w:p>
    <w:p w:rsidR="00116B35" w:rsidRPr="00116B35" w:rsidRDefault="00116B35" w:rsidP="004310B2">
      <w:pPr>
        <w:pStyle w:val="SingleTxtG"/>
        <w:ind w:left="4536" w:hanging="3402"/>
      </w:pPr>
      <w:r w:rsidRPr="00116B35">
        <w:rPr>
          <w:i/>
        </w:rPr>
        <w:t>Submitted by:</w:t>
      </w:r>
      <w:r w:rsidRPr="00116B35">
        <w:rPr>
          <w:i/>
        </w:rPr>
        <w:tab/>
      </w:r>
      <w:r w:rsidR="007338F2">
        <w:t>Y.B.F.</w:t>
      </w:r>
      <w:r w:rsidR="00F75DBB">
        <w:t xml:space="preserve">, </w:t>
      </w:r>
      <w:r w:rsidR="00014F5D">
        <w:t>S.A.Q.</w:t>
      </w:r>
      <w:r w:rsidR="00F75DBB">
        <w:t xml:space="preserve"> and </w:t>
      </w:r>
      <w:r w:rsidR="00014F5D">
        <w:t>Y.Y.</w:t>
      </w:r>
      <w:r w:rsidR="00F75DBB">
        <w:t xml:space="preserve"> </w:t>
      </w:r>
      <w:r w:rsidR="00F75DBB" w:rsidRPr="00116B35">
        <w:t>(represented by counsel, Tarig Hassan)</w:t>
      </w:r>
    </w:p>
    <w:p w:rsidR="00116B35" w:rsidRPr="00116B35" w:rsidRDefault="003E35AF" w:rsidP="004310B2">
      <w:pPr>
        <w:pStyle w:val="SingleTxtG"/>
        <w:ind w:left="4536" w:hanging="3402"/>
      </w:pPr>
      <w:r>
        <w:rPr>
          <w:i/>
        </w:rPr>
        <w:t>Alleged victim</w:t>
      </w:r>
      <w:r w:rsidR="00F75DBB">
        <w:rPr>
          <w:i/>
        </w:rPr>
        <w:t>s</w:t>
      </w:r>
      <w:r w:rsidR="00116B35" w:rsidRPr="00116B35">
        <w:rPr>
          <w:i/>
        </w:rPr>
        <w:t>:</w:t>
      </w:r>
      <w:r w:rsidR="00116B35" w:rsidRPr="00116B35">
        <w:rPr>
          <w:i/>
        </w:rPr>
        <w:tab/>
      </w:r>
      <w:r w:rsidR="00116B35" w:rsidRPr="00116B35">
        <w:t>The complainant</w:t>
      </w:r>
      <w:r w:rsidR="00F75DBB">
        <w:t>s</w:t>
      </w:r>
    </w:p>
    <w:p w:rsidR="00116B35" w:rsidRPr="00116B35" w:rsidRDefault="00116B35" w:rsidP="004310B2">
      <w:pPr>
        <w:pStyle w:val="SingleTxtG"/>
        <w:ind w:left="4536" w:hanging="3402"/>
      </w:pPr>
      <w:r w:rsidRPr="00116B35">
        <w:rPr>
          <w:i/>
        </w:rPr>
        <w:t>State party:</w:t>
      </w:r>
      <w:r w:rsidRPr="00116B35">
        <w:rPr>
          <w:i/>
        </w:rPr>
        <w:tab/>
      </w:r>
      <w:smartTag w:uri="urn:schemas-microsoft-com:office:smarttags" w:element="place">
        <w:smartTag w:uri="urn:schemas-microsoft-com:office:smarttags" w:element="country-region">
          <w:r w:rsidRPr="00116B35">
            <w:t>Switzerland</w:t>
          </w:r>
        </w:smartTag>
      </w:smartTag>
    </w:p>
    <w:p w:rsidR="00116B35" w:rsidRPr="00116B35" w:rsidRDefault="00116B35" w:rsidP="004310B2">
      <w:pPr>
        <w:pStyle w:val="SingleTxtG"/>
        <w:ind w:left="4536" w:hanging="3402"/>
      </w:pPr>
      <w:r w:rsidRPr="00116B35">
        <w:rPr>
          <w:i/>
        </w:rPr>
        <w:t>Date of complaint:</w:t>
      </w:r>
      <w:r w:rsidRPr="00116B35">
        <w:rPr>
          <w:i/>
        </w:rPr>
        <w:tab/>
      </w:r>
      <w:r w:rsidR="00F75DBB">
        <w:t>24 June 2011</w:t>
      </w:r>
      <w:r w:rsidR="00F75DBB" w:rsidRPr="00116B35">
        <w:t xml:space="preserve"> (initial submission)</w:t>
      </w:r>
    </w:p>
    <w:p w:rsidR="00116B35" w:rsidRPr="00116B35" w:rsidRDefault="00116B35" w:rsidP="00116B35">
      <w:pPr>
        <w:pStyle w:val="SingleTxtG"/>
      </w:pPr>
      <w:r w:rsidRPr="00116B35">
        <w:tab/>
      </w:r>
      <w:r w:rsidRPr="00116B35">
        <w:rPr>
          <w:i/>
          <w:iCs/>
        </w:rPr>
        <w:t>The Committee against Torture</w:t>
      </w:r>
      <w:r w:rsidRPr="00116B35">
        <w:t>, established under article 17 of the Convention against Torture and Other Cruel, Inhuman or Degrading Treatment or Punishment,</w:t>
      </w:r>
    </w:p>
    <w:p w:rsidR="00116B35" w:rsidRPr="00116B35" w:rsidRDefault="00116B35" w:rsidP="00116B35">
      <w:pPr>
        <w:pStyle w:val="SingleTxtG"/>
      </w:pPr>
      <w:r w:rsidRPr="00116B35">
        <w:tab/>
      </w:r>
      <w:r w:rsidRPr="00116B35">
        <w:rPr>
          <w:i/>
          <w:iCs/>
        </w:rPr>
        <w:t>Meeting</w:t>
      </w:r>
      <w:r w:rsidRPr="00116B35">
        <w:t xml:space="preserve"> on </w:t>
      </w:r>
      <w:r w:rsidR="000B433A">
        <w:t>31</w:t>
      </w:r>
      <w:r w:rsidRPr="00116B35">
        <w:t xml:space="preserve"> </w:t>
      </w:r>
      <w:r w:rsidR="00F75DBB">
        <w:t>May 2013</w:t>
      </w:r>
      <w:r w:rsidRPr="00116B35">
        <w:t>,</w:t>
      </w:r>
    </w:p>
    <w:p w:rsidR="00116B35" w:rsidRPr="00116B35" w:rsidRDefault="00116B35" w:rsidP="00116B35">
      <w:pPr>
        <w:pStyle w:val="SingleTxtG"/>
      </w:pPr>
      <w:r w:rsidRPr="00116B35">
        <w:tab/>
      </w:r>
      <w:r w:rsidRPr="00116B35">
        <w:rPr>
          <w:i/>
          <w:iCs/>
        </w:rPr>
        <w:t>Having concluded</w:t>
      </w:r>
      <w:r w:rsidRPr="00116B35">
        <w:t xml:space="preserve"> its consideration of complaint No. </w:t>
      </w:r>
      <w:r w:rsidR="00F75DBB">
        <w:t>467/2011</w:t>
      </w:r>
      <w:r w:rsidRPr="00116B35">
        <w:t xml:space="preserve">, submitted to the Committee against Torture by </w:t>
      </w:r>
      <w:r w:rsidR="00014F5D">
        <w:t>Y.B.F.</w:t>
      </w:r>
      <w:r w:rsidR="00F75DBB">
        <w:t xml:space="preserve">, </w:t>
      </w:r>
      <w:r w:rsidR="00014F5D">
        <w:t>S.A.Q.</w:t>
      </w:r>
      <w:r w:rsidR="00F75DBB">
        <w:t xml:space="preserve"> and </w:t>
      </w:r>
      <w:r w:rsidR="00014F5D">
        <w:t>Y.Y.</w:t>
      </w:r>
      <w:r w:rsidRPr="00116B35">
        <w:rPr>
          <w:lang w:val="en-US"/>
        </w:rPr>
        <w:t xml:space="preserve"> </w:t>
      </w:r>
      <w:r w:rsidRPr="00116B35">
        <w:t>under article 22 of the Convention against Torture and Other Cruel, Inhuman or Degrading Treatment or Punishment,</w:t>
      </w:r>
    </w:p>
    <w:p w:rsidR="00116B35" w:rsidRPr="00116B35" w:rsidRDefault="00116B35" w:rsidP="00116B35">
      <w:pPr>
        <w:pStyle w:val="SingleTxtG"/>
      </w:pPr>
      <w:r w:rsidRPr="00116B35">
        <w:tab/>
      </w:r>
      <w:r w:rsidRPr="00116B35">
        <w:rPr>
          <w:i/>
          <w:iCs/>
        </w:rPr>
        <w:t>Having taken into account</w:t>
      </w:r>
      <w:r w:rsidRPr="00116B35">
        <w:t xml:space="preserve"> all information made available to it by the complainant</w:t>
      </w:r>
      <w:r w:rsidR="00F75DBB">
        <w:t>s</w:t>
      </w:r>
      <w:r w:rsidRPr="00116B35">
        <w:t xml:space="preserve">, </w:t>
      </w:r>
      <w:r w:rsidR="00F75DBB">
        <w:t xml:space="preserve">their </w:t>
      </w:r>
      <w:r w:rsidRPr="00116B35">
        <w:t>counsel and the State party,</w:t>
      </w:r>
    </w:p>
    <w:p w:rsidR="00116B35" w:rsidRDefault="00116B35" w:rsidP="00116B35">
      <w:pPr>
        <w:pStyle w:val="SingleTxtG"/>
      </w:pPr>
      <w:r w:rsidRPr="00116B35">
        <w:tab/>
      </w:r>
      <w:r w:rsidRPr="00116B35">
        <w:rPr>
          <w:i/>
          <w:iCs/>
        </w:rPr>
        <w:t xml:space="preserve">Adopts </w:t>
      </w:r>
      <w:r w:rsidRPr="00116B35">
        <w:t>the following:</w:t>
      </w:r>
    </w:p>
    <w:p w:rsidR="004310B2" w:rsidRPr="00116B35" w:rsidRDefault="004310B2" w:rsidP="004310B2">
      <w:pPr>
        <w:pStyle w:val="H1G"/>
      </w:pPr>
      <w:r>
        <w:tab/>
      </w:r>
      <w:r>
        <w:tab/>
      </w:r>
      <w:r w:rsidRPr="00661B7F">
        <w:t>Decision under article 22, paragraph 7, of the Convention against Torture</w:t>
      </w:r>
    </w:p>
    <w:p w:rsidR="00023219" w:rsidRDefault="00116B35" w:rsidP="00116B35">
      <w:pPr>
        <w:pStyle w:val="SingleTxtG"/>
      </w:pPr>
      <w:r w:rsidRPr="00116B35">
        <w:t>1.1</w:t>
      </w:r>
      <w:r w:rsidRPr="00116B35">
        <w:tab/>
      </w:r>
      <w:r w:rsidR="00F75DBB" w:rsidRPr="00F75DBB">
        <w:t xml:space="preserve">The complainants are </w:t>
      </w:r>
      <w:r w:rsidR="00520A39">
        <w:t>Y.B.F.</w:t>
      </w:r>
      <w:r w:rsidR="00F75DBB">
        <w:t xml:space="preserve"> </w:t>
      </w:r>
      <w:r w:rsidR="0085077B">
        <w:t>(</w:t>
      </w:r>
      <w:r w:rsidR="00F75DBB" w:rsidRPr="00F75DBB">
        <w:t xml:space="preserve">born on </w:t>
      </w:r>
      <w:r w:rsidR="00F75DBB">
        <w:t>17 April 1970</w:t>
      </w:r>
      <w:r w:rsidR="0085077B">
        <w:t>)</w:t>
      </w:r>
      <w:r w:rsidR="00F75DBB" w:rsidRPr="00F75DBB">
        <w:t xml:space="preserve">, his wife, </w:t>
      </w:r>
      <w:r w:rsidR="00520A39">
        <w:t>S.A.Q.</w:t>
      </w:r>
      <w:r w:rsidR="00F75DBB">
        <w:t xml:space="preserve"> </w:t>
      </w:r>
      <w:r w:rsidR="0085077B">
        <w:t>(</w:t>
      </w:r>
      <w:r w:rsidR="00F75DBB">
        <w:t>born on 26 October 1983</w:t>
      </w:r>
      <w:r w:rsidR="0085077B">
        <w:t>),</w:t>
      </w:r>
      <w:r w:rsidR="00F75DBB" w:rsidRPr="00F75DBB">
        <w:t xml:space="preserve"> and their son, </w:t>
      </w:r>
      <w:r w:rsidR="00520A39">
        <w:t>Y.Y.</w:t>
      </w:r>
      <w:r w:rsidR="00F75DBB" w:rsidRPr="00F75DBB">
        <w:t xml:space="preserve"> </w:t>
      </w:r>
      <w:r w:rsidR="00B735CE">
        <w:t>(</w:t>
      </w:r>
      <w:r w:rsidR="00F75DBB" w:rsidRPr="00F75DBB">
        <w:t>born on 30 August 2007</w:t>
      </w:r>
      <w:r w:rsidR="00B735CE">
        <w:t>)</w:t>
      </w:r>
      <w:r w:rsidR="0085077B">
        <w:t xml:space="preserve">, all </w:t>
      </w:r>
      <w:r w:rsidR="0085077B" w:rsidRPr="00F75DBB">
        <w:t xml:space="preserve">nationals </w:t>
      </w:r>
      <w:r w:rsidR="0085077B">
        <w:t xml:space="preserve">of </w:t>
      </w:r>
      <w:smartTag w:uri="urn:schemas-microsoft-com:office:smarttags" w:element="place">
        <w:smartTag w:uri="urn:schemas-microsoft-com:office:smarttags" w:element="country-region">
          <w:r w:rsidR="0085077B">
            <w:t>Yemen</w:t>
          </w:r>
        </w:smartTag>
      </w:smartTag>
      <w:r w:rsidR="00F75DBB" w:rsidRPr="00F75DBB">
        <w:t xml:space="preserve">. </w:t>
      </w:r>
      <w:r w:rsidR="00023219">
        <w:t xml:space="preserve">The first two complainants are asylum seekers, whose applications for asylum were rejected and, at the time of submission of the complaint, they were awaiting </w:t>
      </w:r>
      <w:r w:rsidR="008E75C7">
        <w:t>expulsion</w:t>
      </w:r>
      <w:r w:rsidR="00023219">
        <w:t xml:space="preserve"> to </w:t>
      </w:r>
      <w:smartTag w:uri="urn:schemas-microsoft-com:office:smarttags" w:element="place">
        <w:smartTag w:uri="urn:schemas-microsoft-com:office:smarttags" w:element="country-region">
          <w:r w:rsidR="00023219">
            <w:t>Yemen</w:t>
          </w:r>
        </w:smartTag>
      </w:smartTag>
      <w:r w:rsidR="00023219">
        <w:t>.</w:t>
      </w:r>
      <w:r w:rsidR="00F75DBB">
        <w:t xml:space="preserve"> </w:t>
      </w:r>
      <w:r w:rsidR="00F75DBB" w:rsidRPr="00F75DBB">
        <w:t xml:space="preserve">They claim that their </w:t>
      </w:r>
      <w:r w:rsidR="008E75C7">
        <w:t xml:space="preserve">expulsion </w:t>
      </w:r>
      <w:r w:rsidR="00F75DBB" w:rsidRPr="00F75DBB">
        <w:t xml:space="preserve">to </w:t>
      </w:r>
      <w:smartTag w:uri="urn:schemas-microsoft-com:office:smarttags" w:element="country-region">
        <w:r w:rsidR="00F75DBB" w:rsidRPr="00F75DBB">
          <w:t>Yemen</w:t>
        </w:r>
      </w:smartTag>
      <w:r w:rsidR="00F75DBB" w:rsidRPr="00F75DBB">
        <w:t xml:space="preserve"> would constitute a violation </w:t>
      </w:r>
      <w:r w:rsidR="00023219">
        <w:t xml:space="preserve">by </w:t>
      </w:r>
      <w:smartTag w:uri="urn:schemas-microsoft-com:office:smarttags" w:element="place">
        <w:smartTag w:uri="urn:schemas-microsoft-com:office:smarttags" w:element="country-region">
          <w:r w:rsidR="00023219">
            <w:t>Switzerland</w:t>
          </w:r>
        </w:smartTag>
      </w:smartTag>
      <w:r w:rsidR="00023219">
        <w:t xml:space="preserve"> </w:t>
      </w:r>
      <w:r w:rsidR="00F75DBB" w:rsidRPr="00F75DBB">
        <w:t xml:space="preserve">of article 3 of the </w:t>
      </w:r>
      <w:r w:rsidR="00023219" w:rsidRPr="00116B35">
        <w:t>Convention against Torture</w:t>
      </w:r>
      <w:r w:rsidR="00023219">
        <w:t xml:space="preserve"> and Other Cruel, Inhuman or Degrading Treatment or Punishment</w:t>
      </w:r>
      <w:r w:rsidR="00023219" w:rsidRPr="00116B35">
        <w:t>. The complainant</w:t>
      </w:r>
      <w:r w:rsidR="00023219">
        <w:t xml:space="preserve">s are represented by counsel </w:t>
      </w:r>
      <w:r w:rsidR="00023219" w:rsidRPr="00116B35">
        <w:t>Tarig Hassan.</w:t>
      </w:r>
      <w:r w:rsidR="00F75DBB" w:rsidRPr="00F75DBB">
        <w:t xml:space="preserve"> </w:t>
      </w:r>
    </w:p>
    <w:p w:rsidR="00023219" w:rsidRDefault="00116B35" w:rsidP="00116B35">
      <w:pPr>
        <w:pStyle w:val="SingleTxtG"/>
      </w:pPr>
      <w:r w:rsidRPr="00116B35">
        <w:t>1.2</w:t>
      </w:r>
      <w:r w:rsidRPr="00116B35">
        <w:tab/>
      </w:r>
      <w:r w:rsidR="00023219">
        <w:t xml:space="preserve">On </w:t>
      </w:r>
      <w:r w:rsidR="00571B96">
        <w:t>29 June 2011</w:t>
      </w:r>
      <w:r w:rsidR="00023219">
        <w:t xml:space="preserve">, </w:t>
      </w:r>
      <w:r w:rsidR="00023219" w:rsidRPr="00B7706A">
        <w:t xml:space="preserve">under </w:t>
      </w:r>
      <w:r w:rsidR="00023219">
        <w:t xml:space="preserve">rule </w:t>
      </w:r>
      <w:r w:rsidR="00023219" w:rsidRPr="00B7706A">
        <w:t>1</w:t>
      </w:r>
      <w:r w:rsidR="00571B96">
        <w:t>14</w:t>
      </w:r>
      <w:r w:rsidR="00023219">
        <w:t>, paragraph 1</w:t>
      </w:r>
      <w:r w:rsidR="001F4BA2">
        <w:t xml:space="preserve"> (former rule 108, paragraph 1)</w:t>
      </w:r>
      <w:r w:rsidR="00023219">
        <w:t xml:space="preserve">, of </w:t>
      </w:r>
      <w:r w:rsidR="001F4BA2">
        <w:t xml:space="preserve">its </w:t>
      </w:r>
      <w:r w:rsidR="00023219">
        <w:t>rules of procedure</w:t>
      </w:r>
      <w:r w:rsidR="00571B96">
        <w:t xml:space="preserve"> (CAT/C/3/Rev.5)</w:t>
      </w:r>
      <w:r w:rsidR="00023219">
        <w:t>,</w:t>
      </w:r>
      <w:r w:rsidR="00023219" w:rsidRPr="00116B35">
        <w:t xml:space="preserve"> the Committee requested the State party </w:t>
      </w:r>
      <w:r w:rsidR="00571B96">
        <w:t xml:space="preserve">to refrain from expelling </w:t>
      </w:r>
      <w:r w:rsidR="00023219" w:rsidRPr="00116B35">
        <w:t>the complainant</w:t>
      </w:r>
      <w:r w:rsidR="00571B96">
        <w:t>s</w:t>
      </w:r>
      <w:r w:rsidR="00023219" w:rsidRPr="00116B35">
        <w:t xml:space="preserve"> to </w:t>
      </w:r>
      <w:smartTag w:uri="urn:schemas-microsoft-com:office:smarttags" w:element="place">
        <w:smartTag w:uri="urn:schemas-microsoft-com:office:smarttags" w:element="country-region">
          <w:r w:rsidR="00571B96">
            <w:t>Yemen</w:t>
          </w:r>
        </w:smartTag>
      </w:smartTag>
      <w:r w:rsidR="00023219" w:rsidRPr="00116B35">
        <w:t xml:space="preserve"> while </w:t>
      </w:r>
      <w:r w:rsidR="00571B96">
        <w:t>t</w:t>
      </w:r>
      <w:r w:rsidR="00023219" w:rsidRPr="00116B35">
        <w:t>he</w:t>
      </w:r>
      <w:r w:rsidR="00571B96">
        <w:t>i</w:t>
      </w:r>
      <w:r w:rsidR="00023219" w:rsidRPr="00116B35">
        <w:t>r com</w:t>
      </w:r>
      <w:r w:rsidR="00023219">
        <w:t>plaint</w:t>
      </w:r>
      <w:r w:rsidR="00023219" w:rsidRPr="00116B35">
        <w:t xml:space="preserve"> </w:t>
      </w:r>
      <w:r w:rsidR="00023219">
        <w:t>wa</w:t>
      </w:r>
      <w:r w:rsidR="00023219" w:rsidRPr="00116B35">
        <w:t xml:space="preserve">s under consideration by the Committee. </w:t>
      </w:r>
      <w:r w:rsidR="001F4BA2" w:rsidRPr="00BC0463">
        <w:t xml:space="preserve">On </w:t>
      </w:r>
      <w:r w:rsidR="001F4BA2">
        <w:t>12 July 2011</w:t>
      </w:r>
      <w:r w:rsidR="001F4BA2" w:rsidRPr="00BC0463">
        <w:t xml:space="preserve">, the State party informed the Committee that </w:t>
      </w:r>
      <w:r w:rsidR="001F4BA2">
        <w:t xml:space="preserve">the Federal Office for </w:t>
      </w:r>
      <w:r w:rsidR="001F4BA2" w:rsidRPr="001359F2">
        <w:t>Migration</w:t>
      </w:r>
      <w:r w:rsidR="001F4BA2">
        <w:t xml:space="preserve"> </w:t>
      </w:r>
      <w:r w:rsidR="00EC6D11">
        <w:t xml:space="preserve">of Switzerland </w:t>
      </w:r>
      <w:r w:rsidR="001F4BA2">
        <w:t>ha</w:t>
      </w:r>
      <w:r w:rsidR="00EC6D11">
        <w:t>d</w:t>
      </w:r>
      <w:r w:rsidR="001F4BA2">
        <w:t xml:space="preserve"> requested competent authorities to stay the </w:t>
      </w:r>
      <w:r w:rsidR="00024D2C">
        <w:t xml:space="preserve">execution of the expulsion order in relation to </w:t>
      </w:r>
      <w:r w:rsidR="001F4BA2">
        <w:t>the complainants until further notice.</w:t>
      </w:r>
    </w:p>
    <w:p w:rsidR="00116B35" w:rsidRPr="00F90C57" w:rsidRDefault="004310B2" w:rsidP="004310B2">
      <w:pPr>
        <w:pStyle w:val="H23G"/>
      </w:pPr>
      <w:r>
        <w:lastRenderedPageBreak/>
        <w:tab/>
      </w:r>
      <w:r>
        <w:tab/>
      </w:r>
      <w:r w:rsidR="00116B35" w:rsidRPr="00F90C57">
        <w:t>The facts as presented by the complainant</w:t>
      </w:r>
      <w:r w:rsidR="00A0202F">
        <w:t>s</w:t>
      </w:r>
    </w:p>
    <w:p w:rsidR="004177F3" w:rsidRPr="005E5057" w:rsidRDefault="00116B35" w:rsidP="004177F3">
      <w:pPr>
        <w:pStyle w:val="SingleTxtG"/>
      </w:pPr>
      <w:r w:rsidRPr="005E5057">
        <w:t>2.1</w:t>
      </w:r>
      <w:r w:rsidRPr="005E5057">
        <w:tab/>
      </w:r>
      <w:r w:rsidR="001862E8" w:rsidRPr="005E5057">
        <w:t xml:space="preserve">The complainants lived in the city of </w:t>
      </w:r>
      <w:smartTag w:uri="urn:schemas-microsoft-com:office:smarttags" w:element="City">
        <w:r w:rsidR="001862E8" w:rsidRPr="005E5057">
          <w:t>Aden</w:t>
        </w:r>
      </w:smartTag>
      <w:r w:rsidR="001862E8" w:rsidRPr="005E5057">
        <w:t xml:space="preserve">, in the </w:t>
      </w:r>
      <w:r w:rsidR="00F95997">
        <w:t>s</w:t>
      </w:r>
      <w:r w:rsidR="001862E8" w:rsidRPr="005E5057">
        <w:t xml:space="preserve">outhern part of </w:t>
      </w:r>
      <w:smartTag w:uri="urn:schemas-microsoft-com:office:smarttags" w:element="place">
        <w:smartTag w:uri="urn:schemas-microsoft-com:office:smarttags" w:element="country-region">
          <w:r w:rsidR="001862E8" w:rsidRPr="005E5057">
            <w:t>Yemen</w:t>
          </w:r>
        </w:smartTag>
      </w:smartTag>
      <w:r w:rsidR="001862E8" w:rsidRPr="005E5057">
        <w:t xml:space="preserve">. </w:t>
      </w:r>
      <w:r w:rsidR="00550548">
        <w:t>Y.B.F.</w:t>
      </w:r>
      <w:r w:rsidR="004177F3" w:rsidRPr="005E5057">
        <w:t xml:space="preserve"> (t</w:t>
      </w:r>
      <w:r w:rsidR="001862E8" w:rsidRPr="005E5057">
        <w:t>he first complainant</w:t>
      </w:r>
      <w:r w:rsidR="004177F3" w:rsidRPr="005E5057">
        <w:t>)</w:t>
      </w:r>
      <w:r w:rsidR="001862E8" w:rsidRPr="005E5057">
        <w:t xml:space="preserve"> work</w:t>
      </w:r>
      <w:r w:rsidR="00550548">
        <w:t>ed</w:t>
      </w:r>
      <w:r w:rsidR="001862E8" w:rsidRPr="005E5057">
        <w:t xml:space="preserve"> as a techn</w:t>
      </w:r>
      <w:r w:rsidR="004177F3" w:rsidRPr="005E5057">
        <w:t xml:space="preserve">ician in a petroleum refinery. </w:t>
      </w:r>
    </w:p>
    <w:p w:rsidR="001862E8" w:rsidRPr="005E5057" w:rsidRDefault="001862E8" w:rsidP="004177F3">
      <w:pPr>
        <w:pStyle w:val="SingleTxtG"/>
      </w:pPr>
      <w:r w:rsidRPr="005E5057">
        <w:t>2.2</w:t>
      </w:r>
      <w:r w:rsidRPr="005E5057">
        <w:tab/>
        <w:t xml:space="preserve">On 21 May 2009, the first complainant participated in a </w:t>
      </w:r>
      <w:r w:rsidR="004A2858">
        <w:t>demonstration</w:t>
      </w:r>
      <w:r w:rsidRPr="005E5057">
        <w:t xml:space="preserve"> organi</w:t>
      </w:r>
      <w:r w:rsidR="00550548">
        <w:t>z</w:t>
      </w:r>
      <w:r w:rsidRPr="005E5057">
        <w:t xml:space="preserve">ed by supporters of the Southern </w:t>
      </w:r>
      <w:r w:rsidR="005C3D81" w:rsidRPr="005E5057">
        <w:t>M</w:t>
      </w:r>
      <w:r w:rsidRPr="005E5057">
        <w:t>ovement</w:t>
      </w:r>
      <w:r w:rsidR="005C3D81" w:rsidRPr="005E5057">
        <w:t xml:space="preserve">, which calls for the independence of South Arabia (South Yemen) from </w:t>
      </w:r>
      <w:smartTag w:uri="urn:schemas-microsoft-com:office:smarttags" w:element="place">
        <w:smartTag w:uri="urn:schemas-microsoft-com:office:smarttags" w:element="country-region">
          <w:r w:rsidR="005C3D81" w:rsidRPr="005E5057">
            <w:t>Yemen</w:t>
          </w:r>
        </w:smartTag>
      </w:smartTag>
      <w:r w:rsidRPr="005E5057">
        <w:t>.</w:t>
      </w:r>
      <w:r w:rsidR="00FC69DF">
        <w:t xml:space="preserve"> The protest rally in question was against the unequal pay between employees of th</w:t>
      </w:r>
      <w:r w:rsidR="00FC69DF" w:rsidRPr="008915C1">
        <w:t>e petroleum refineries</w:t>
      </w:r>
      <w:r w:rsidR="00FC69DF">
        <w:t xml:space="preserve"> in the </w:t>
      </w:r>
      <w:r w:rsidR="00550548">
        <w:t>n</w:t>
      </w:r>
      <w:r w:rsidR="00FC69DF">
        <w:t xml:space="preserve">orth and the </w:t>
      </w:r>
      <w:r w:rsidR="00550548">
        <w:t>s</w:t>
      </w:r>
      <w:r w:rsidR="00FC69DF">
        <w:t xml:space="preserve">outh of </w:t>
      </w:r>
      <w:smartTag w:uri="urn:schemas-microsoft-com:office:smarttags" w:element="place">
        <w:smartTag w:uri="urn:schemas-microsoft-com:office:smarttags" w:element="country-region">
          <w:r w:rsidR="00FC69DF">
            <w:t>Yemen</w:t>
          </w:r>
        </w:smartTag>
      </w:smartTag>
      <w:r w:rsidR="00FC69DF">
        <w:t xml:space="preserve">, as well as against other forms of discrimination towards </w:t>
      </w:r>
      <w:r w:rsidR="00FC69DF" w:rsidRPr="00FC69DF">
        <w:t>southerner</w:t>
      </w:r>
      <w:r w:rsidR="00FC69DF">
        <w:t xml:space="preserve">s. </w:t>
      </w:r>
      <w:r w:rsidRPr="005E5057">
        <w:t>When police</w:t>
      </w:r>
      <w:r w:rsidR="004177F3" w:rsidRPr="005E5057">
        <w:t xml:space="preserve"> officers </w:t>
      </w:r>
      <w:r w:rsidRPr="005E5057">
        <w:t xml:space="preserve">started to disperse the demonstrators, </w:t>
      </w:r>
      <w:r w:rsidR="00933A9F" w:rsidRPr="00933A9F">
        <w:rPr>
          <w:bCs/>
        </w:rPr>
        <w:t xml:space="preserve">he received a truncheon blow </w:t>
      </w:r>
      <w:r w:rsidR="00EC6D11">
        <w:rPr>
          <w:bCs/>
        </w:rPr>
        <w:t>to</w:t>
      </w:r>
      <w:r w:rsidR="00EC6D11" w:rsidRPr="00933A9F">
        <w:rPr>
          <w:bCs/>
        </w:rPr>
        <w:t xml:space="preserve"> </w:t>
      </w:r>
      <w:r w:rsidR="00933A9F" w:rsidRPr="00933A9F">
        <w:rPr>
          <w:bCs/>
        </w:rPr>
        <w:t xml:space="preserve">the nose </w:t>
      </w:r>
      <w:r w:rsidR="00933A9F">
        <w:rPr>
          <w:bCs/>
        </w:rPr>
        <w:t xml:space="preserve">and was </w:t>
      </w:r>
      <w:r w:rsidRPr="005E5057">
        <w:t>arrested.</w:t>
      </w:r>
      <w:r w:rsidR="00933A9F">
        <w:t xml:space="preserve"> </w:t>
      </w:r>
      <w:r w:rsidRPr="005E5057">
        <w:t xml:space="preserve">He was held at </w:t>
      </w:r>
      <w:r w:rsidR="004D5626" w:rsidRPr="005E5057">
        <w:t>a</w:t>
      </w:r>
      <w:r w:rsidRPr="005E5057">
        <w:t>l</w:t>
      </w:r>
      <w:r w:rsidR="004D5626" w:rsidRPr="005E5057">
        <w:t>-</w:t>
      </w:r>
      <w:r w:rsidRPr="005E5057">
        <w:t xml:space="preserve">Mansoura prison in </w:t>
      </w:r>
      <w:smartTag w:uri="urn:schemas-microsoft-com:office:smarttags" w:element="place">
        <w:smartTag w:uri="urn:schemas-microsoft-com:office:smarttags" w:element="City">
          <w:r w:rsidRPr="005E5057">
            <w:t>Aden</w:t>
          </w:r>
        </w:smartTag>
      </w:smartTag>
      <w:r w:rsidR="00B407A6">
        <w:t xml:space="preserve">, </w:t>
      </w:r>
      <w:r w:rsidRPr="005E5057">
        <w:t xml:space="preserve">accused of being a supporter of the </w:t>
      </w:r>
      <w:r w:rsidR="004D5626" w:rsidRPr="005E5057">
        <w:t>a</w:t>
      </w:r>
      <w:r w:rsidR="0090137F" w:rsidRPr="005E5057">
        <w:t>l</w:t>
      </w:r>
      <w:r w:rsidR="004D5626" w:rsidRPr="005E5057">
        <w:t>-</w:t>
      </w:r>
      <w:r w:rsidR="0090137F" w:rsidRPr="005E5057">
        <w:t>Herak</w:t>
      </w:r>
      <w:r w:rsidR="00550548">
        <w:t xml:space="preserve"> movement</w:t>
      </w:r>
      <w:r w:rsidRPr="005E5057">
        <w:t xml:space="preserve">, questioned and intimidated. While in detention, delegates of the </w:t>
      </w:r>
      <w:r w:rsidR="004177F3" w:rsidRPr="005E5057">
        <w:t xml:space="preserve">non-governmental organization </w:t>
      </w:r>
      <w:r w:rsidR="00F3634F" w:rsidRPr="005E5057">
        <w:t>a</w:t>
      </w:r>
      <w:r w:rsidRPr="005E5057">
        <w:t xml:space="preserve">l-Mauna visited the prison and took the first complainant’s personal data. He was released on 30 June 2009 but remained under surveillance. </w:t>
      </w:r>
    </w:p>
    <w:p w:rsidR="001862E8" w:rsidRPr="005E5057" w:rsidRDefault="001862E8" w:rsidP="001862E8">
      <w:pPr>
        <w:pStyle w:val="SingleTxtG"/>
      </w:pPr>
      <w:r w:rsidRPr="005E5057">
        <w:t>2.3</w:t>
      </w:r>
      <w:r w:rsidRPr="005E5057">
        <w:tab/>
        <w:t xml:space="preserve">On 6 July 2009, the first complainant was arrested at his home and beaten. He was </w:t>
      </w:r>
      <w:r w:rsidR="00F3634F" w:rsidRPr="005E5057">
        <w:t>then brought to a</w:t>
      </w:r>
      <w:r w:rsidR="00184ACD" w:rsidRPr="005E5057">
        <w:t>l</w:t>
      </w:r>
      <w:r w:rsidR="00F3634F" w:rsidRPr="005E5057">
        <w:t>-</w:t>
      </w:r>
      <w:r w:rsidR="00184ACD" w:rsidRPr="005E5057">
        <w:t xml:space="preserve">Brika </w:t>
      </w:r>
      <w:r w:rsidR="00AD49D6" w:rsidRPr="005E5057">
        <w:t>Police Centre</w:t>
      </w:r>
      <w:r w:rsidR="00184ACD" w:rsidRPr="005E5057">
        <w:t xml:space="preserve">, where individuals detained for political reasons were usually kept, </w:t>
      </w:r>
      <w:r w:rsidRPr="005E5057">
        <w:t xml:space="preserve">until the evening of the next day when another demonstration of the </w:t>
      </w:r>
      <w:r w:rsidR="00F3634F" w:rsidRPr="005E5057">
        <w:t>Southern Movement</w:t>
      </w:r>
      <w:r w:rsidRPr="005E5057">
        <w:t xml:space="preserve"> was expected to take place. After his release, the first complainant was informed by one of his friends working for </w:t>
      </w:r>
      <w:r w:rsidR="0008612D" w:rsidRPr="005E5057">
        <w:t xml:space="preserve">the intelligence </w:t>
      </w:r>
      <w:r w:rsidRPr="005E5057">
        <w:t xml:space="preserve">service that </w:t>
      </w:r>
      <w:r w:rsidR="001C0E5B">
        <w:t xml:space="preserve">the </w:t>
      </w:r>
      <w:r w:rsidR="002669E0">
        <w:t xml:space="preserve">former </w:t>
      </w:r>
      <w:r w:rsidRPr="005E5057">
        <w:t>was registered as a</w:t>
      </w:r>
      <w:r w:rsidR="0008612D" w:rsidRPr="005E5057">
        <w:t xml:space="preserve">n activist of the </w:t>
      </w:r>
      <w:r w:rsidR="00F3634F" w:rsidRPr="005E5057">
        <w:t>Southern Movement</w:t>
      </w:r>
      <w:r w:rsidR="0008612D" w:rsidRPr="005E5057">
        <w:t xml:space="preserve"> </w:t>
      </w:r>
      <w:r w:rsidR="00F4210F">
        <w:t xml:space="preserve">by the Political Security </w:t>
      </w:r>
      <w:r w:rsidR="00CB000B">
        <w:t xml:space="preserve">Organization </w:t>
      </w:r>
      <w:r w:rsidRPr="005E5057">
        <w:t xml:space="preserve">and </w:t>
      </w:r>
      <w:r w:rsidR="00077A88">
        <w:t>might</w:t>
      </w:r>
      <w:r w:rsidR="00077A88" w:rsidRPr="005E5057">
        <w:t xml:space="preserve"> </w:t>
      </w:r>
      <w:r w:rsidRPr="005E5057">
        <w:t xml:space="preserve">be apprehended again at any moment. As a consequence, </w:t>
      </w:r>
      <w:r w:rsidR="00077A88" w:rsidRPr="005E5057">
        <w:t>the first complainant</w:t>
      </w:r>
      <w:r w:rsidR="00077A88" w:rsidRPr="005E5057" w:rsidDel="00077A88">
        <w:t xml:space="preserve"> </w:t>
      </w:r>
      <w:r w:rsidRPr="005E5057">
        <w:t xml:space="preserve">decided to </w:t>
      </w:r>
      <w:r w:rsidR="002669E0">
        <w:t>begi</w:t>
      </w:r>
      <w:r w:rsidRPr="005E5057">
        <w:t>n organi</w:t>
      </w:r>
      <w:r w:rsidR="0086071E">
        <w:t>z</w:t>
      </w:r>
      <w:r w:rsidRPr="005E5057">
        <w:t xml:space="preserve">ing the departure of his family. </w:t>
      </w:r>
    </w:p>
    <w:p w:rsidR="001862E8" w:rsidRPr="005E5057" w:rsidRDefault="001862E8" w:rsidP="001862E8">
      <w:pPr>
        <w:pStyle w:val="SingleTxtG"/>
      </w:pPr>
      <w:r w:rsidRPr="005E5057">
        <w:t>2.4</w:t>
      </w:r>
      <w:r w:rsidRPr="005E5057">
        <w:tab/>
        <w:t xml:space="preserve">On 12 January 2010, security service </w:t>
      </w:r>
      <w:r w:rsidR="001B4A91">
        <w:t>officers</w:t>
      </w:r>
      <w:r w:rsidRPr="005E5057">
        <w:t xml:space="preserve"> visited the first complainant’s home in </w:t>
      </w:r>
      <w:smartTag w:uri="urn:schemas-microsoft-com:office:smarttags" w:element="place">
        <w:smartTag w:uri="urn:schemas-microsoft-com:office:smarttags" w:element="City">
          <w:r w:rsidRPr="005E5057">
            <w:t>Aden</w:t>
          </w:r>
        </w:smartTag>
      </w:smartTag>
      <w:r w:rsidRPr="005E5057">
        <w:t xml:space="preserve">. As he was not present, they left </w:t>
      </w:r>
      <w:r w:rsidR="00077A88">
        <w:t xml:space="preserve">a </w:t>
      </w:r>
      <w:r w:rsidRPr="005E5057">
        <w:t>summons</w:t>
      </w:r>
      <w:r w:rsidR="00685596" w:rsidRPr="005E5057">
        <w:t xml:space="preserve"> issued</w:t>
      </w:r>
      <w:r w:rsidR="00F3634F" w:rsidRPr="005E5057">
        <w:t xml:space="preserve"> by the Ministry of Interior, a</w:t>
      </w:r>
      <w:r w:rsidR="00685596" w:rsidRPr="005E5057">
        <w:t>l</w:t>
      </w:r>
      <w:r w:rsidR="00F3634F" w:rsidRPr="005E5057">
        <w:t>-</w:t>
      </w:r>
      <w:r w:rsidR="00685596" w:rsidRPr="005E5057">
        <w:t>Brika Directorate</w:t>
      </w:r>
      <w:r w:rsidRPr="005E5057">
        <w:t xml:space="preserve">. </w:t>
      </w:r>
      <w:r w:rsidR="00685596" w:rsidRPr="005E5057">
        <w:t>The summons referred to article 64 of the Criminal Code. Th</w:t>
      </w:r>
      <w:r w:rsidRPr="005E5057">
        <w:t xml:space="preserve">e </w:t>
      </w:r>
      <w:r w:rsidR="00685596" w:rsidRPr="005E5057">
        <w:t xml:space="preserve">first complainant </w:t>
      </w:r>
      <w:r w:rsidRPr="005E5057">
        <w:t xml:space="preserve">complied with the order and </w:t>
      </w:r>
      <w:r w:rsidR="00473B6C">
        <w:t>went</w:t>
      </w:r>
      <w:r w:rsidR="00473B6C" w:rsidRPr="005E5057">
        <w:t xml:space="preserve"> </w:t>
      </w:r>
      <w:r w:rsidRPr="005E5057">
        <w:t xml:space="preserve">to the </w:t>
      </w:r>
      <w:r w:rsidR="00F3634F" w:rsidRPr="005E5057">
        <w:t>a</w:t>
      </w:r>
      <w:r w:rsidR="003266F7" w:rsidRPr="005E5057">
        <w:t>l</w:t>
      </w:r>
      <w:r w:rsidR="00F3634F" w:rsidRPr="005E5057">
        <w:t>-</w:t>
      </w:r>
      <w:r w:rsidR="003266F7" w:rsidRPr="005E5057">
        <w:t xml:space="preserve">Brika </w:t>
      </w:r>
      <w:r w:rsidR="00AD49D6" w:rsidRPr="005E5057">
        <w:t xml:space="preserve">Police </w:t>
      </w:r>
      <w:r w:rsidR="003266F7" w:rsidRPr="005E5057">
        <w:t>Centre</w:t>
      </w:r>
      <w:r w:rsidRPr="005E5057">
        <w:t>, where he was threatened</w:t>
      </w:r>
      <w:r w:rsidR="00077A88" w:rsidRPr="00077A88">
        <w:t xml:space="preserve"> </w:t>
      </w:r>
      <w:r w:rsidR="00077A88" w:rsidRPr="005E5057">
        <w:t>verbally</w:t>
      </w:r>
      <w:r w:rsidRPr="005E5057">
        <w:t xml:space="preserve"> and detained for 24 hours.</w:t>
      </w:r>
    </w:p>
    <w:p w:rsidR="001862E8" w:rsidRPr="005E5057" w:rsidRDefault="001862E8" w:rsidP="001862E8">
      <w:pPr>
        <w:pStyle w:val="SingleTxtG"/>
      </w:pPr>
      <w:r w:rsidRPr="005E5057">
        <w:t>2.5</w:t>
      </w:r>
      <w:r w:rsidRPr="005E5057">
        <w:tab/>
        <w:t xml:space="preserve">On 19 January 2010, the complainants left </w:t>
      </w:r>
      <w:smartTag w:uri="urn:schemas-microsoft-com:office:smarttags" w:element="country-region">
        <w:r w:rsidRPr="005E5057">
          <w:t>Yemen</w:t>
        </w:r>
      </w:smartTag>
      <w:r w:rsidRPr="005E5057">
        <w:t xml:space="preserve"> by plane </w:t>
      </w:r>
      <w:r w:rsidR="00FC69DF">
        <w:t xml:space="preserve">with a Schengen visa issued by the Italian Embassy </w:t>
      </w:r>
      <w:r w:rsidRPr="005E5057">
        <w:t xml:space="preserve">and travelled to </w:t>
      </w:r>
      <w:smartTag w:uri="urn:schemas-microsoft-com:office:smarttags" w:element="City">
        <w:r w:rsidRPr="005E5057">
          <w:t>Milan</w:t>
        </w:r>
      </w:smartTag>
      <w:r w:rsidR="00077A88">
        <w:t>,</w:t>
      </w:r>
      <w:r w:rsidR="003D3DF5" w:rsidRPr="005E5057">
        <w:t xml:space="preserve"> transiting through </w:t>
      </w:r>
      <w:smartTag w:uri="urn:schemas-microsoft-com:office:smarttags" w:element="place">
        <w:smartTag w:uri="urn:schemas-microsoft-com:office:smarttags" w:element="City">
          <w:r w:rsidR="003D3DF5" w:rsidRPr="005E5057">
            <w:t>Cairo</w:t>
          </w:r>
        </w:smartTag>
      </w:smartTag>
      <w:r w:rsidRPr="005E5057">
        <w:t xml:space="preserve">. On 21 January 2010, they </w:t>
      </w:r>
      <w:r w:rsidR="000A55E7" w:rsidRPr="005E5057">
        <w:t xml:space="preserve">arrived in </w:t>
      </w:r>
      <w:smartTag w:uri="urn:schemas-microsoft-com:office:smarttags" w:element="place">
        <w:smartTag w:uri="urn:schemas-microsoft-com:office:smarttags" w:element="country-region">
          <w:r w:rsidR="000A55E7" w:rsidRPr="005E5057">
            <w:t>Switzerland</w:t>
          </w:r>
        </w:smartTag>
      </w:smartTag>
      <w:r w:rsidR="000A55E7" w:rsidRPr="005E5057">
        <w:t xml:space="preserve"> and </w:t>
      </w:r>
      <w:r w:rsidRPr="005E5057">
        <w:t>applied for asylum.</w:t>
      </w:r>
      <w:r w:rsidR="00674100">
        <w:rPr>
          <w:rStyle w:val="FootnoteReference"/>
        </w:rPr>
        <w:footnoteReference w:id="2"/>
      </w:r>
      <w:r w:rsidRPr="005E5057">
        <w:t xml:space="preserve"> </w:t>
      </w:r>
    </w:p>
    <w:p w:rsidR="001862E8" w:rsidRPr="005E5057" w:rsidRDefault="003D3DF5" w:rsidP="001862E8">
      <w:pPr>
        <w:pStyle w:val="SingleTxtG"/>
      </w:pPr>
      <w:r w:rsidRPr="005E5057">
        <w:t>2.6</w:t>
      </w:r>
      <w:r w:rsidRPr="005E5057">
        <w:tab/>
      </w:r>
      <w:r w:rsidR="001862E8" w:rsidRPr="005E5057">
        <w:t xml:space="preserve">The first complainant is an active member of the </w:t>
      </w:r>
      <w:r w:rsidR="00F3634F" w:rsidRPr="005E5057">
        <w:t>Southern Movement</w:t>
      </w:r>
      <w:r w:rsidRPr="005E5057">
        <w:t xml:space="preserve"> in </w:t>
      </w:r>
      <w:smartTag w:uri="urn:schemas-microsoft-com:office:smarttags" w:element="place">
        <w:smartTag w:uri="urn:schemas-microsoft-com:office:smarttags" w:element="country-region">
          <w:r w:rsidRPr="005E5057">
            <w:t>Switzerland</w:t>
          </w:r>
        </w:smartTag>
      </w:smartTag>
      <w:r w:rsidRPr="005E5057">
        <w:t xml:space="preserve">, which is referred to </w:t>
      </w:r>
      <w:r w:rsidR="00747905" w:rsidRPr="005E5057">
        <w:t xml:space="preserve">by </w:t>
      </w:r>
      <w:r w:rsidRPr="005E5057">
        <w:t xml:space="preserve">the </w:t>
      </w:r>
      <w:r w:rsidR="001862E8" w:rsidRPr="005E5057">
        <w:t xml:space="preserve">complainants interchangeably </w:t>
      </w:r>
      <w:r w:rsidRPr="005E5057">
        <w:t xml:space="preserve">as </w:t>
      </w:r>
      <w:r w:rsidR="001862E8" w:rsidRPr="005E5057">
        <w:t>the Southern Democratic Assembly</w:t>
      </w:r>
      <w:r w:rsidRPr="005E5057">
        <w:t xml:space="preserve"> </w:t>
      </w:r>
      <w:r w:rsidR="00BB5B26" w:rsidRPr="005E5057">
        <w:t>and the Southern Mobility Movement</w:t>
      </w:r>
      <w:r w:rsidR="001862E8" w:rsidRPr="005E5057">
        <w:t xml:space="preserve">. He is responsible for the </w:t>
      </w:r>
      <w:r w:rsidR="00077A88">
        <w:t>M</w:t>
      </w:r>
      <w:r w:rsidR="001862E8" w:rsidRPr="005E5057">
        <w:t>ovement’s public relations in the</w:t>
      </w:r>
      <w:r w:rsidR="00C60BD4">
        <w:t xml:space="preserve"> c</w:t>
      </w:r>
      <w:r w:rsidR="001862E8" w:rsidRPr="005E5057">
        <w:t xml:space="preserve">anton of Fribourg. He regularly attends meetings and demonstrations. Reacting to the upheavals </w:t>
      </w:r>
      <w:r w:rsidR="00747905" w:rsidRPr="005E5057">
        <w:t xml:space="preserve">in </w:t>
      </w:r>
      <w:smartTag w:uri="urn:schemas-microsoft-com:office:smarttags" w:element="country-region">
        <w:r w:rsidR="00747905" w:rsidRPr="005E5057">
          <w:t>Yemen</w:t>
        </w:r>
      </w:smartTag>
      <w:r w:rsidR="001862E8" w:rsidRPr="005E5057">
        <w:t>, the first complainant has become more and</w:t>
      </w:r>
      <w:r w:rsidR="008213FE">
        <w:t xml:space="preserve"> more active within the organization</w:t>
      </w:r>
      <w:r w:rsidR="00747905" w:rsidRPr="005E5057">
        <w:t xml:space="preserve"> in </w:t>
      </w:r>
      <w:smartTag w:uri="urn:schemas-microsoft-com:office:smarttags" w:element="place">
        <w:smartTag w:uri="urn:schemas-microsoft-com:office:smarttags" w:element="country-region">
          <w:r w:rsidR="00747905" w:rsidRPr="005E5057">
            <w:t>Switzerland</w:t>
          </w:r>
        </w:smartTag>
      </w:smartTag>
      <w:r w:rsidR="001862E8" w:rsidRPr="005E5057">
        <w:t xml:space="preserve">. </w:t>
      </w:r>
      <w:r w:rsidR="00747905" w:rsidRPr="005E5057">
        <w:t>Several high</w:t>
      </w:r>
      <w:r w:rsidR="001969D4">
        <w:t>-</w:t>
      </w:r>
      <w:r w:rsidR="00747905" w:rsidRPr="005E5057">
        <w:t xml:space="preserve">ranking members of the </w:t>
      </w:r>
      <w:r w:rsidR="00E71F63" w:rsidRPr="005E5057">
        <w:t>Southern Democratic Assembly</w:t>
      </w:r>
      <w:r w:rsidR="00747905" w:rsidRPr="005E5057">
        <w:t xml:space="preserve"> have provided </w:t>
      </w:r>
      <w:r w:rsidR="008213FE">
        <w:t xml:space="preserve">attestations </w:t>
      </w:r>
      <w:r w:rsidR="00747905" w:rsidRPr="005E5057">
        <w:t xml:space="preserve">and letters in support of the </w:t>
      </w:r>
      <w:r w:rsidR="008213FE">
        <w:t xml:space="preserve">first </w:t>
      </w:r>
      <w:r w:rsidR="00747905" w:rsidRPr="005E5057">
        <w:t>c</w:t>
      </w:r>
      <w:r w:rsidR="008213FE">
        <w:t>omplainant’s asylum application</w:t>
      </w:r>
      <w:r w:rsidR="00747905" w:rsidRPr="005E5057">
        <w:t xml:space="preserve">. </w:t>
      </w:r>
    </w:p>
    <w:p w:rsidR="001862E8" w:rsidRPr="005E5057" w:rsidRDefault="00432F7E" w:rsidP="001862E8">
      <w:pPr>
        <w:pStyle w:val="SingleTxtG"/>
      </w:pPr>
      <w:r w:rsidRPr="005E5057">
        <w:t>2.7</w:t>
      </w:r>
      <w:r w:rsidR="001862E8" w:rsidRPr="005E5057">
        <w:tab/>
        <w:t xml:space="preserve">On 27 January 2010 and 10 February 2010, the Federal Office for Migration </w:t>
      </w:r>
      <w:r w:rsidRPr="005E5057">
        <w:t>h</w:t>
      </w:r>
      <w:r w:rsidR="001862E8" w:rsidRPr="005E5057">
        <w:t>eld asylum interviews with the complainants. On 5 May 2010, the Office rejected the complainants’ asylum request</w:t>
      </w:r>
      <w:r w:rsidR="008213FE">
        <w:t>s</w:t>
      </w:r>
      <w:r w:rsidR="001862E8" w:rsidRPr="005E5057">
        <w:t xml:space="preserve"> and ordered their expulsion, stating that the complainants’ account</w:t>
      </w:r>
      <w:r w:rsidR="00685E5D">
        <w:t>s</w:t>
      </w:r>
      <w:r w:rsidR="001862E8" w:rsidRPr="005E5057">
        <w:t xml:space="preserve"> could not be deemed credible. </w:t>
      </w:r>
      <w:r w:rsidR="00B43A87">
        <w:t xml:space="preserve">In the light of the fact that the complainants left </w:t>
      </w:r>
      <w:smartTag w:uri="urn:schemas-microsoft-com:office:smarttags" w:element="country-region">
        <w:r w:rsidR="00B43A87">
          <w:t>Yemen</w:t>
        </w:r>
      </w:smartTag>
      <w:r w:rsidR="00B43A87">
        <w:t xml:space="preserve"> </w:t>
      </w:r>
      <w:r w:rsidR="00D26611">
        <w:t xml:space="preserve">lawfully </w:t>
      </w:r>
      <w:r w:rsidR="00B43A87">
        <w:t>by plane from the international airport in Sana’a, t</w:t>
      </w:r>
      <w:r w:rsidR="00685E5D">
        <w:t xml:space="preserve">he </w:t>
      </w:r>
      <w:r w:rsidR="00685E5D" w:rsidRPr="005E5057">
        <w:t xml:space="preserve">Federal Office for Migration </w:t>
      </w:r>
      <w:r w:rsidR="00685E5D">
        <w:t xml:space="preserve">questioned, in particular, the first complainant’s claim that he had been </w:t>
      </w:r>
      <w:r w:rsidR="00685E5D" w:rsidRPr="005E5057">
        <w:t xml:space="preserve">registered </w:t>
      </w:r>
      <w:r w:rsidR="00685E5D">
        <w:t xml:space="preserve">by the security service in </w:t>
      </w:r>
      <w:smartTag w:uri="urn:schemas-microsoft-com:office:smarttags" w:element="country-region">
        <w:smartTag w:uri="urn:schemas-microsoft-com:office:smarttags" w:element="place">
          <w:r w:rsidR="00685E5D">
            <w:t>Yemen</w:t>
          </w:r>
        </w:smartTag>
      </w:smartTag>
      <w:r w:rsidR="00685E5D">
        <w:t xml:space="preserve"> </w:t>
      </w:r>
      <w:r w:rsidR="00685E5D" w:rsidRPr="005E5057">
        <w:t>as an activist of the Southern Movement</w:t>
      </w:r>
      <w:r w:rsidR="00B43A87">
        <w:t xml:space="preserve">. Furthermore, the complainants’ claim that their passports </w:t>
      </w:r>
      <w:r w:rsidR="00AD5C2F">
        <w:t>were</w:t>
      </w:r>
      <w:r w:rsidR="00B43A87">
        <w:t xml:space="preserve"> destroyed by a smuggler </w:t>
      </w:r>
      <w:r w:rsidR="00B43A87">
        <w:lastRenderedPageBreak/>
        <w:t xml:space="preserve">upon their arrival to </w:t>
      </w:r>
      <w:smartTag w:uri="urn:schemas-microsoft-com:office:smarttags" w:element="country-region">
        <w:r w:rsidR="00B43A87">
          <w:t>Switzerland</w:t>
        </w:r>
      </w:smartTag>
      <w:r w:rsidR="00B43A87">
        <w:t xml:space="preserve"> was interpreted by the </w:t>
      </w:r>
      <w:r w:rsidR="00B43A87" w:rsidRPr="005E5057">
        <w:t>Federal Office for Migration</w:t>
      </w:r>
      <w:r w:rsidR="00B43A87">
        <w:t xml:space="preserve"> as an attempt to conceal the real date and circumstances of their departure from </w:t>
      </w:r>
      <w:smartTag w:uri="urn:schemas-microsoft-com:office:smarttags" w:element="place">
        <w:smartTag w:uri="urn:schemas-microsoft-com:office:smarttags" w:element="country-region">
          <w:r w:rsidR="00B43A87">
            <w:t>Yemen</w:t>
          </w:r>
        </w:smartTag>
      </w:smartTag>
      <w:r w:rsidR="00B43A87">
        <w:t xml:space="preserve">. In addition, the first complainant failed to provide </w:t>
      </w:r>
      <w:r w:rsidR="00E04F44">
        <w:t xml:space="preserve">the </w:t>
      </w:r>
      <w:r w:rsidR="00E04F44" w:rsidRPr="005E5057">
        <w:t>Federal Office for Migration</w:t>
      </w:r>
      <w:r w:rsidR="00E04F44">
        <w:t xml:space="preserve"> with </w:t>
      </w:r>
      <w:r w:rsidR="00B43A87">
        <w:t>an attestation from the non-governmental organi</w:t>
      </w:r>
      <w:r w:rsidR="00AD5C2F">
        <w:t>z</w:t>
      </w:r>
      <w:r w:rsidR="00B43A87">
        <w:t>ation that had visited him</w:t>
      </w:r>
      <w:r w:rsidR="00AD5C2F">
        <w:t xml:space="preserve"> in the</w:t>
      </w:r>
      <w:r w:rsidR="0054491F" w:rsidRPr="0054491F">
        <w:t xml:space="preserve"> </w:t>
      </w:r>
      <w:r w:rsidR="0054491F" w:rsidRPr="005E5057">
        <w:t>al-Mansoura prison</w:t>
      </w:r>
      <w:r w:rsidR="00D26611">
        <w:t>,</w:t>
      </w:r>
      <w:r w:rsidR="0054491F">
        <w:t xml:space="preserve"> despite his initial claim that he could undoubtedly obtain such an attestation.</w:t>
      </w:r>
      <w:r w:rsidR="00102DE9">
        <w:t xml:space="preserve"> </w:t>
      </w:r>
    </w:p>
    <w:p w:rsidR="00C3529D" w:rsidRPr="005E5057" w:rsidRDefault="00C3529D" w:rsidP="001862E8">
      <w:pPr>
        <w:pStyle w:val="SingleTxtG"/>
      </w:pPr>
      <w:r w:rsidRPr="005E5057">
        <w:t>2.8</w:t>
      </w:r>
      <w:r w:rsidR="001862E8" w:rsidRPr="005E5057">
        <w:tab/>
      </w:r>
      <w:r w:rsidR="00FC69DF">
        <w:t>On 7 June 2010, the complainants appealed the decision of the</w:t>
      </w:r>
      <w:r w:rsidR="00D82447" w:rsidRPr="00D82447">
        <w:t xml:space="preserve"> </w:t>
      </w:r>
      <w:r w:rsidR="00D82447" w:rsidRPr="005E5057">
        <w:t>Federal Office for Migration</w:t>
      </w:r>
      <w:r w:rsidR="00D82447">
        <w:t xml:space="preserve"> to the </w:t>
      </w:r>
      <w:smartTag w:uri="urn:schemas-microsoft-com:office:smarttags" w:element="Street">
        <w:smartTag w:uri="urn:schemas-microsoft-com:office:smarttags" w:element="address">
          <w:r w:rsidR="00D82447">
            <w:t xml:space="preserve">Federal Administrative </w:t>
          </w:r>
          <w:r w:rsidR="008C5020">
            <w:t>Court</w:t>
          </w:r>
        </w:smartTag>
      </w:smartTag>
      <w:r w:rsidR="00D82447">
        <w:t xml:space="preserve">, which </w:t>
      </w:r>
      <w:r w:rsidR="00102DE9" w:rsidRPr="005E5057">
        <w:t>upheld the</w:t>
      </w:r>
      <w:r w:rsidR="00D82447">
        <w:t>ir</w:t>
      </w:r>
      <w:r w:rsidR="00102DE9" w:rsidRPr="005E5057">
        <w:t xml:space="preserve"> expulsion order</w:t>
      </w:r>
      <w:r w:rsidR="00102DE9">
        <w:t xml:space="preserve"> </w:t>
      </w:r>
      <w:r w:rsidR="00D82447">
        <w:t xml:space="preserve">on </w:t>
      </w:r>
      <w:r w:rsidR="00D82447" w:rsidRPr="005E5057">
        <w:t>4 January 2011</w:t>
      </w:r>
      <w:r w:rsidR="00102DE9" w:rsidRPr="005E5057">
        <w:t>.</w:t>
      </w:r>
      <w:r w:rsidR="00102DE9">
        <w:t xml:space="preserve"> </w:t>
      </w:r>
      <w:r w:rsidR="001862E8" w:rsidRPr="005E5057">
        <w:t xml:space="preserve">Referring to the description of the first complainant’s arrest and detention after 21 May 2009, the </w:t>
      </w:r>
      <w:smartTag w:uri="urn:schemas-microsoft-com:office:smarttags" w:element="Street">
        <w:smartTag w:uri="urn:schemas-microsoft-com:office:smarttags" w:element="address">
          <w:r w:rsidRPr="005E5057">
            <w:t xml:space="preserve">Federal Administrative </w:t>
          </w:r>
          <w:r w:rsidR="00F8062B">
            <w:t>Court</w:t>
          </w:r>
        </w:smartTag>
      </w:smartTag>
      <w:r w:rsidR="00F8062B" w:rsidRPr="005E5057">
        <w:t xml:space="preserve"> </w:t>
      </w:r>
      <w:r w:rsidR="001862E8" w:rsidRPr="005E5057">
        <w:t xml:space="preserve">stated that he had not provided enough details. In particular, he had not been able to provide the name of the </w:t>
      </w:r>
      <w:r w:rsidRPr="005E5057">
        <w:t>non-governmental organizat</w:t>
      </w:r>
      <w:r w:rsidR="00F3634F" w:rsidRPr="005E5057">
        <w:t>ion that had allegedly visited a</w:t>
      </w:r>
      <w:r w:rsidRPr="005E5057">
        <w:t>l</w:t>
      </w:r>
      <w:r w:rsidR="00F3634F" w:rsidRPr="005E5057">
        <w:t>-</w:t>
      </w:r>
      <w:r w:rsidR="001862E8" w:rsidRPr="005E5057">
        <w:t xml:space="preserve">Mansoura prison while he had been </w:t>
      </w:r>
      <w:r w:rsidRPr="005E5057">
        <w:t>d</w:t>
      </w:r>
      <w:r w:rsidR="001862E8" w:rsidRPr="005E5057">
        <w:t xml:space="preserve">etained there, and he had contacted this </w:t>
      </w:r>
      <w:r w:rsidRPr="005E5057">
        <w:t>organization</w:t>
      </w:r>
      <w:r w:rsidR="001862E8" w:rsidRPr="005E5057">
        <w:t xml:space="preserve"> with the request to provide an attestation only after the first negative asylum decision by the Federal Office for Migration. The attestation </w:t>
      </w:r>
      <w:r w:rsidR="00635498">
        <w:t xml:space="preserve">that was issued by </w:t>
      </w:r>
      <w:r w:rsidR="00635498" w:rsidRPr="005E5057">
        <w:t>al-Mauna</w:t>
      </w:r>
      <w:r w:rsidR="00635498">
        <w:t xml:space="preserve"> on 11 May 2010 and </w:t>
      </w:r>
      <w:r w:rsidR="00D26611">
        <w:t>provided</w:t>
      </w:r>
      <w:r w:rsidR="001862E8" w:rsidRPr="005E5057">
        <w:t xml:space="preserve"> by the first complainant </w:t>
      </w:r>
      <w:r w:rsidR="00635498">
        <w:t xml:space="preserve">to the </w:t>
      </w:r>
      <w:smartTag w:uri="urn:schemas-microsoft-com:office:smarttags" w:element="Street">
        <w:smartTag w:uri="urn:schemas-microsoft-com:office:smarttags" w:element="address">
          <w:r w:rsidR="00635498">
            <w:t xml:space="preserve">Federal Administrative </w:t>
          </w:r>
          <w:r w:rsidR="00DC21AD">
            <w:t>Court</w:t>
          </w:r>
        </w:smartTag>
      </w:smartTag>
      <w:r w:rsidR="00DC21AD" w:rsidRPr="005E5057">
        <w:t xml:space="preserve"> </w:t>
      </w:r>
      <w:r w:rsidR="001862E8" w:rsidRPr="005E5057">
        <w:t>did not fully correspond to his statements, since he h</w:t>
      </w:r>
      <w:r w:rsidR="00635498">
        <w:t>a</w:t>
      </w:r>
      <w:r w:rsidR="001862E8" w:rsidRPr="005E5057">
        <w:t xml:space="preserve">d never </w:t>
      </w:r>
      <w:r w:rsidR="004C79E2">
        <w:t xml:space="preserve">claimed </w:t>
      </w:r>
      <w:r w:rsidR="001862E8" w:rsidRPr="005E5057">
        <w:t xml:space="preserve">before the </w:t>
      </w:r>
      <w:r w:rsidR="008213FE">
        <w:t xml:space="preserve">asylum </w:t>
      </w:r>
      <w:r w:rsidR="001862E8" w:rsidRPr="005E5057">
        <w:t xml:space="preserve">authorities to have been a human rights activist before his arrest. Moreover, two diverging, non-official translations of this attestation from the Arabic original </w:t>
      </w:r>
      <w:r w:rsidR="00D26611">
        <w:t>were</w:t>
      </w:r>
      <w:r w:rsidR="001862E8" w:rsidRPr="005E5057">
        <w:t xml:space="preserve"> submitted. Furthermore, the first complainant had not been able to mention any other public demonstrations having taken place after his release. The </w:t>
      </w:r>
      <w:smartTag w:uri="urn:schemas-microsoft-com:office:smarttags" w:element="Street">
        <w:smartTag w:uri="urn:schemas-microsoft-com:office:smarttags" w:element="address">
          <w:r w:rsidRPr="005E5057">
            <w:t xml:space="preserve">Federal Administrative </w:t>
          </w:r>
          <w:r w:rsidR="00DC21AD">
            <w:t>Court</w:t>
          </w:r>
        </w:smartTag>
      </w:smartTag>
      <w:r w:rsidR="00DC21AD" w:rsidRPr="005E5057">
        <w:t xml:space="preserve"> </w:t>
      </w:r>
      <w:r w:rsidR="001862E8" w:rsidRPr="005E5057">
        <w:t>stated that the first complainant’s efforts to obtai</w:t>
      </w:r>
      <w:r w:rsidRPr="005E5057">
        <w:t>n travel visa</w:t>
      </w:r>
      <w:r w:rsidR="00DC21AD">
        <w:t>s</w:t>
      </w:r>
      <w:r w:rsidRPr="005E5057">
        <w:t xml:space="preserve"> and organi</w:t>
      </w:r>
      <w:r w:rsidR="00DC21AD">
        <w:t>z</w:t>
      </w:r>
      <w:r w:rsidRPr="005E5057">
        <w:t>e the</w:t>
      </w:r>
      <w:r w:rsidR="001862E8" w:rsidRPr="005E5057">
        <w:t xml:space="preserve"> departure </w:t>
      </w:r>
      <w:r w:rsidRPr="005E5057">
        <w:t xml:space="preserve">of his family from </w:t>
      </w:r>
      <w:smartTag w:uri="urn:schemas-microsoft-com:office:smarttags" w:element="place">
        <w:smartTag w:uri="urn:schemas-microsoft-com:office:smarttags" w:element="country-region">
          <w:r w:rsidRPr="005E5057">
            <w:t>Yemen</w:t>
          </w:r>
        </w:smartTag>
      </w:smartTag>
      <w:r w:rsidRPr="005E5057">
        <w:t xml:space="preserve"> </w:t>
      </w:r>
      <w:r w:rsidR="001862E8" w:rsidRPr="005E5057">
        <w:t xml:space="preserve">were incompatible with his alleged surveillance. He had left </w:t>
      </w:r>
      <w:smartTag w:uri="urn:schemas-microsoft-com:office:smarttags" w:element="place">
        <w:smartTag w:uri="urn:schemas-microsoft-com:office:smarttags" w:element="country-region">
          <w:r w:rsidR="001862E8" w:rsidRPr="005E5057">
            <w:t>Yemen</w:t>
          </w:r>
        </w:smartTag>
      </w:smartTag>
      <w:r w:rsidR="001862E8" w:rsidRPr="005E5057">
        <w:t xml:space="preserve"> with his ow</w:t>
      </w:r>
      <w:r w:rsidR="003827B1">
        <w:t xml:space="preserve">n passport and legally obtained </w:t>
      </w:r>
      <w:r w:rsidR="001862E8" w:rsidRPr="005E5057">
        <w:t xml:space="preserve">visa, which would not have been possible had he </w:t>
      </w:r>
      <w:r w:rsidR="00F504F1">
        <w:t xml:space="preserve">had </w:t>
      </w:r>
      <w:r w:rsidR="001862E8" w:rsidRPr="005E5057">
        <w:t xml:space="preserve">actually been wanted by the </w:t>
      </w:r>
      <w:r w:rsidR="00F4210F">
        <w:t xml:space="preserve">Political Security </w:t>
      </w:r>
      <w:r w:rsidR="00C53D92">
        <w:t xml:space="preserve">Organization </w:t>
      </w:r>
      <w:r w:rsidR="005C39DD">
        <w:t>or been under surveillance</w:t>
      </w:r>
      <w:r w:rsidR="001862E8" w:rsidRPr="005E5057">
        <w:t xml:space="preserve">. </w:t>
      </w:r>
      <w:r w:rsidR="003827B1">
        <w:t xml:space="preserve">The </w:t>
      </w:r>
      <w:smartTag w:uri="urn:schemas-microsoft-com:office:smarttags" w:element="Street">
        <w:smartTag w:uri="urn:schemas-microsoft-com:office:smarttags" w:element="address">
          <w:r w:rsidR="003827B1">
            <w:t xml:space="preserve">Federal Administrative </w:t>
          </w:r>
          <w:r w:rsidR="00DC21AD">
            <w:t>Court</w:t>
          </w:r>
        </w:smartTag>
      </w:smartTag>
      <w:r w:rsidR="00DC21AD">
        <w:t xml:space="preserve"> </w:t>
      </w:r>
      <w:r w:rsidR="003827B1">
        <w:t xml:space="preserve">also questioned authenticity of the summons </w:t>
      </w:r>
      <w:r w:rsidR="003827B1" w:rsidRPr="005E5057">
        <w:t>issued by the Ministry of Interior, al-Brika Directorate</w:t>
      </w:r>
      <w:r w:rsidR="003827B1">
        <w:t>, which the first complainant submitted together with his asylum application</w:t>
      </w:r>
      <w:r w:rsidR="003827B1" w:rsidRPr="005E5057">
        <w:t>.</w:t>
      </w:r>
      <w:r w:rsidR="000D4731">
        <w:t xml:space="preserve"> </w:t>
      </w:r>
      <w:r w:rsidR="00501463" w:rsidRPr="005E5057">
        <w:t xml:space="preserve">Moreover, no </w:t>
      </w:r>
      <w:r w:rsidR="00501463">
        <w:t xml:space="preserve">war, civil war or situation of </w:t>
      </w:r>
      <w:r w:rsidR="00501463" w:rsidRPr="005E5057">
        <w:t>generali</w:t>
      </w:r>
      <w:r w:rsidR="001E44C7">
        <w:t>z</w:t>
      </w:r>
      <w:r w:rsidR="00501463" w:rsidRPr="005E5057">
        <w:t xml:space="preserve">ed violence </w:t>
      </w:r>
      <w:r w:rsidR="00501463">
        <w:t xml:space="preserve">prevailed in </w:t>
      </w:r>
      <w:smartTag w:uri="urn:schemas-microsoft-com:office:smarttags" w:element="place">
        <w:smartTag w:uri="urn:schemas-microsoft-com:office:smarttags" w:element="country-region">
          <w:r w:rsidR="00501463">
            <w:t>Yemen</w:t>
          </w:r>
        </w:smartTag>
      </w:smartTag>
      <w:r w:rsidR="00501463">
        <w:t xml:space="preserve"> that would put at risk any person originating from this country irrespective of his or her individual circumstances</w:t>
      </w:r>
      <w:r w:rsidR="00501463" w:rsidRPr="005E5057">
        <w:t>.</w:t>
      </w:r>
      <w:r w:rsidR="00501463">
        <w:t xml:space="preserve"> </w:t>
      </w:r>
      <w:r w:rsidR="000D4731">
        <w:t xml:space="preserve">Finally, the </w:t>
      </w:r>
      <w:smartTag w:uri="urn:schemas-microsoft-com:office:smarttags" w:element="Street">
        <w:smartTag w:uri="urn:schemas-microsoft-com:office:smarttags" w:element="address">
          <w:r w:rsidR="000D4731">
            <w:t xml:space="preserve">Federal Administrative </w:t>
          </w:r>
          <w:r w:rsidR="00DC21AD">
            <w:t>Court</w:t>
          </w:r>
        </w:smartTag>
      </w:smartTag>
      <w:r w:rsidR="00DC21AD">
        <w:t xml:space="preserve"> </w:t>
      </w:r>
      <w:r w:rsidR="000D4731">
        <w:t xml:space="preserve">concluded that the first complainant </w:t>
      </w:r>
      <w:r w:rsidR="001E44C7">
        <w:t xml:space="preserve">had </w:t>
      </w:r>
      <w:r w:rsidR="000D4731">
        <w:t>not engage</w:t>
      </w:r>
      <w:r w:rsidR="001E44C7">
        <w:t>d</w:t>
      </w:r>
      <w:r w:rsidR="000D4731">
        <w:t xml:space="preserve"> in a</w:t>
      </w:r>
      <w:r w:rsidR="008213FE">
        <w:t>ny concrete political activity</w:t>
      </w:r>
      <w:r w:rsidR="000D4731">
        <w:t xml:space="preserve"> since his arrival in </w:t>
      </w:r>
      <w:smartTag w:uri="urn:schemas-microsoft-com:office:smarttags" w:element="place">
        <w:smartTag w:uri="urn:schemas-microsoft-com:office:smarttags" w:element="country-region">
          <w:r w:rsidR="000D4731">
            <w:t>Switzerland</w:t>
          </w:r>
        </w:smartTag>
      </w:smartTag>
      <w:r w:rsidR="000D4731">
        <w:t xml:space="preserve">.  </w:t>
      </w:r>
    </w:p>
    <w:p w:rsidR="00C31518" w:rsidRDefault="001862E8" w:rsidP="001862E8">
      <w:pPr>
        <w:pStyle w:val="SingleTxtG"/>
      </w:pPr>
      <w:r w:rsidRPr="005E5057">
        <w:t>2.</w:t>
      </w:r>
      <w:r w:rsidR="001A3763" w:rsidRPr="005E5057">
        <w:t>9</w:t>
      </w:r>
      <w:r w:rsidRPr="005E5057">
        <w:tab/>
        <w:t>On 28 January 2011, the complainants asked for a revision of the judg</w:t>
      </w:r>
      <w:r w:rsidR="001E44C7">
        <w:t>e</w:t>
      </w:r>
      <w:r w:rsidRPr="005E5057">
        <w:t>ment</w:t>
      </w:r>
      <w:r w:rsidR="001A3763" w:rsidRPr="005E5057">
        <w:t xml:space="preserve"> rendered by the Federal Administrative </w:t>
      </w:r>
      <w:r w:rsidR="00DC21AD">
        <w:t>Court</w:t>
      </w:r>
      <w:r w:rsidR="00DC21AD" w:rsidRPr="005E5057">
        <w:t xml:space="preserve"> </w:t>
      </w:r>
      <w:r w:rsidR="001A3763" w:rsidRPr="005E5057">
        <w:t xml:space="preserve">and </w:t>
      </w:r>
      <w:r w:rsidRPr="005E5057">
        <w:t>provid</w:t>
      </w:r>
      <w:r w:rsidR="001A3763" w:rsidRPr="005E5057">
        <w:t>ed</w:t>
      </w:r>
      <w:r w:rsidRPr="005E5057">
        <w:t xml:space="preserve"> new evidence in support of their claims</w:t>
      </w:r>
      <w:r w:rsidR="001E44C7">
        <w:t>,</w:t>
      </w:r>
      <w:r w:rsidRPr="005E5057">
        <w:t xml:space="preserve"> </w:t>
      </w:r>
      <w:r w:rsidR="001E44C7">
        <w:t>n</w:t>
      </w:r>
      <w:r w:rsidR="00BA6529">
        <w:t xml:space="preserve">amely, an attestation </w:t>
      </w:r>
      <w:r w:rsidR="00072E5D">
        <w:t xml:space="preserve">issued on 22 January 2011 </w:t>
      </w:r>
      <w:r w:rsidR="00BA6529">
        <w:t xml:space="preserve">by the </w:t>
      </w:r>
      <w:r w:rsidR="00072E5D">
        <w:t>Secretary of Information of the Southern Democratic Assembly based in the United Kingdom</w:t>
      </w:r>
      <w:r w:rsidR="001E44C7">
        <w:t>,</w:t>
      </w:r>
      <w:r w:rsidR="00072E5D">
        <w:t xml:space="preserve"> and another attestation issued on 23 January 2011 by the office of the </w:t>
      </w:r>
      <w:r w:rsidR="00DC0143">
        <w:t xml:space="preserve">former </w:t>
      </w:r>
      <w:r w:rsidR="002669E0">
        <w:t>P</w:t>
      </w:r>
      <w:r w:rsidR="00072E5D">
        <w:t xml:space="preserve">resident of the </w:t>
      </w:r>
      <w:r w:rsidR="00D024E6">
        <w:t xml:space="preserve">Democratic </w:t>
      </w:r>
      <w:r w:rsidR="00072E5D">
        <w:t xml:space="preserve">Republic of Yemen, </w:t>
      </w:r>
      <w:r w:rsidR="00072E5D" w:rsidRPr="00072E5D">
        <w:t>Ali Salim al-Beidh.</w:t>
      </w:r>
      <w:r w:rsidR="00072E5D">
        <w:t xml:space="preserve"> </w:t>
      </w:r>
      <w:r w:rsidR="00C31518">
        <w:t xml:space="preserve">On 15 February 2011, the complainants submitted a scanned copy of the </w:t>
      </w:r>
      <w:r w:rsidR="00C31518" w:rsidRPr="005E5057">
        <w:t xml:space="preserve">attestation issued </w:t>
      </w:r>
      <w:r w:rsidR="00BD16BB">
        <w:t xml:space="preserve">on 19 January 2011 </w:t>
      </w:r>
      <w:r w:rsidR="00C31518" w:rsidRPr="005E5057">
        <w:t>by</w:t>
      </w:r>
      <w:r w:rsidR="00890DF2">
        <w:t xml:space="preserve"> the</w:t>
      </w:r>
      <w:r w:rsidR="00C31518" w:rsidRPr="005E5057">
        <w:t xml:space="preserve"> al-Mansoura prison authorities</w:t>
      </w:r>
      <w:r w:rsidR="00BD16BB">
        <w:t xml:space="preserve"> and confirming the detention of the first complainant from 21 May 2009 to 30 June 2009. In addition, the complainants provided a number of documents concerning activities of the first complainant in </w:t>
      </w:r>
      <w:smartTag w:uri="urn:schemas-microsoft-com:office:smarttags" w:element="place">
        <w:smartTag w:uri="urn:schemas-microsoft-com:office:smarttags" w:element="country-region">
          <w:r w:rsidR="00BD16BB">
            <w:t>Switzerland</w:t>
          </w:r>
        </w:smartTag>
      </w:smartTag>
      <w:r w:rsidR="00BD16BB">
        <w:t xml:space="preserve">, such as articles from the Internet and photographs of demonstrations that were attended by him </w:t>
      </w:r>
      <w:r w:rsidR="00013CDE">
        <w:t xml:space="preserve">throughout the year </w:t>
      </w:r>
      <w:r w:rsidR="00BD16BB">
        <w:t>2010</w:t>
      </w:r>
      <w:r w:rsidR="00F0499E">
        <w:t xml:space="preserve"> and in March 2011</w:t>
      </w:r>
      <w:r w:rsidR="00BD16BB">
        <w:t>.</w:t>
      </w:r>
    </w:p>
    <w:p w:rsidR="001A3763" w:rsidRDefault="00FB5DB1" w:rsidP="001862E8">
      <w:pPr>
        <w:pStyle w:val="SingleTxtG"/>
      </w:pPr>
      <w:r>
        <w:t>2.10</w:t>
      </w:r>
      <w:r>
        <w:tab/>
      </w:r>
      <w:r w:rsidR="001862E8" w:rsidRPr="005E5057">
        <w:t xml:space="preserve">On 27 May 2011, the </w:t>
      </w:r>
      <w:smartTag w:uri="urn:schemas-microsoft-com:office:smarttags" w:element="Street">
        <w:smartTag w:uri="urn:schemas-microsoft-com:office:smarttags" w:element="address">
          <w:r w:rsidR="001A3763" w:rsidRPr="005E5057">
            <w:t xml:space="preserve">Federal Administrative </w:t>
          </w:r>
          <w:r w:rsidR="00DC21AD">
            <w:t>Court</w:t>
          </w:r>
        </w:smartTag>
      </w:smartTag>
      <w:r w:rsidR="00DC21AD" w:rsidRPr="005E5057">
        <w:t xml:space="preserve"> </w:t>
      </w:r>
      <w:r w:rsidR="001862E8" w:rsidRPr="005E5057">
        <w:t xml:space="preserve">rejected the complainants’ request for revision. </w:t>
      </w:r>
      <w:r w:rsidR="008C386E">
        <w:t>With respect to the new</w:t>
      </w:r>
      <w:r w:rsidR="001A3763" w:rsidRPr="005E5057">
        <w:t xml:space="preserve"> evidence submitted by the first complainant</w:t>
      </w:r>
      <w:r w:rsidR="008C386E">
        <w:t xml:space="preserve"> (see paragraph 2.9 above)</w:t>
      </w:r>
      <w:r w:rsidR="001A3763" w:rsidRPr="005E5057">
        <w:t xml:space="preserve">, the </w:t>
      </w:r>
      <w:smartTag w:uri="urn:schemas-microsoft-com:office:smarttags" w:element="Street">
        <w:smartTag w:uri="urn:schemas-microsoft-com:office:smarttags" w:element="address">
          <w:r w:rsidR="001A3763" w:rsidRPr="005E5057">
            <w:t xml:space="preserve">Federal Administrative </w:t>
          </w:r>
          <w:r w:rsidR="00DC21AD">
            <w:t>Court</w:t>
          </w:r>
        </w:smartTag>
      </w:smartTag>
      <w:r w:rsidR="00DC21AD" w:rsidRPr="005E5057" w:rsidDel="00DC21AD">
        <w:t xml:space="preserve"> </w:t>
      </w:r>
      <w:r w:rsidR="001A3763" w:rsidRPr="005E5057">
        <w:t>held that, even on the assumption that these documents were authentic</w:t>
      </w:r>
      <w:r w:rsidR="008C386E">
        <w:t xml:space="preserve"> and not</w:t>
      </w:r>
      <w:r w:rsidR="008930B8">
        <w:t xml:space="preserve"> written by complaisance</w:t>
      </w:r>
      <w:r w:rsidR="008C386E">
        <w:t>,</w:t>
      </w:r>
      <w:r w:rsidR="001A3763" w:rsidRPr="005E5057">
        <w:t xml:space="preserve"> </w:t>
      </w:r>
      <w:r w:rsidR="008C386E">
        <w:t>it was insufficient to prove his</w:t>
      </w:r>
      <w:r w:rsidR="001A3763" w:rsidRPr="005E5057">
        <w:t xml:space="preserve"> alleged persecution. In particular, the attestation issued by </w:t>
      </w:r>
      <w:r w:rsidR="00F3634F" w:rsidRPr="005E5057">
        <w:t>a</w:t>
      </w:r>
      <w:r w:rsidR="001A3763" w:rsidRPr="005E5057">
        <w:t>l</w:t>
      </w:r>
      <w:r w:rsidR="00F3634F" w:rsidRPr="005E5057">
        <w:t>-</w:t>
      </w:r>
      <w:r w:rsidR="001A3763" w:rsidRPr="005E5057">
        <w:t xml:space="preserve">Mansoura prison authorities </w:t>
      </w:r>
      <w:r w:rsidR="003D56D3" w:rsidRPr="005E5057">
        <w:t xml:space="preserve">did not specify </w:t>
      </w:r>
      <w:r w:rsidR="001A3763" w:rsidRPr="005E5057">
        <w:t>the reason</w:t>
      </w:r>
      <w:r w:rsidR="00B460B3">
        <w:t>s</w:t>
      </w:r>
      <w:r w:rsidR="001A3763" w:rsidRPr="005E5057">
        <w:t xml:space="preserve"> for detaining the first complainant but just referred to “</w:t>
      </w:r>
      <w:r w:rsidR="00B460B3" w:rsidRPr="009E5808">
        <w:rPr>
          <w:bCs/>
        </w:rPr>
        <w:t>criminal proceedings</w:t>
      </w:r>
      <w:r w:rsidR="001A3763" w:rsidRPr="005E5057">
        <w:t>”. Th</w:t>
      </w:r>
      <w:r w:rsidR="008213FE">
        <w:t>e fact that the first day of his</w:t>
      </w:r>
      <w:r w:rsidR="001A3763" w:rsidRPr="005E5057">
        <w:t xml:space="preserve"> detention coincided with the demonstration organi</w:t>
      </w:r>
      <w:r w:rsidR="00D13F3E">
        <w:t>z</w:t>
      </w:r>
      <w:r w:rsidR="001A3763" w:rsidRPr="005E5057">
        <w:t xml:space="preserve">ed by the </w:t>
      </w:r>
      <w:r w:rsidR="00F3634F" w:rsidRPr="005E5057">
        <w:t>Southern Movement</w:t>
      </w:r>
      <w:r w:rsidR="001A3763" w:rsidRPr="005E5057">
        <w:t xml:space="preserve"> in </w:t>
      </w:r>
      <w:smartTag w:uri="urn:schemas-microsoft-com:office:smarttags" w:element="City">
        <w:smartTag w:uri="urn:schemas-microsoft-com:office:smarttags" w:element="place">
          <w:r w:rsidR="001A3763" w:rsidRPr="005E5057">
            <w:t>Aden</w:t>
          </w:r>
        </w:smartTag>
      </w:smartTag>
      <w:r w:rsidR="001A3763" w:rsidRPr="005E5057">
        <w:t xml:space="preserve"> was </w:t>
      </w:r>
      <w:r w:rsidR="001A3763" w:rsidRPr="005E5057">
        <w:lastRenderedPageBreak/>
        <w:t>insufficient</w:t>
      </w:r>
      <w:r w:rsidR="0088079F">
        <w:t>,</w:t>
      </w:r>
      <w:r w:rsidR="001A3763" w:rsidRPr="005E5057">
        <w:t xml:space="preserve"> in the opinion of the </w:t>
      </w:r>
      <w:smartTag w:uri="urn:schemas-microsoft-com:office:smarttags" w:element="Street">
        <w:smartTag w:uri="urn:schemas-microsoft-com:office:smarttags" w:element="address">
          <w:r w:rsidR="001A3763" w:rsidRPr="005E5057">
            <w:t xml:space="preserve">Federal Administrative </w:t>
          </w:r>
          <w:r w:rsidR="00DC21AD">
            <w:t>Court</w:t>
          </w:r>
        </w:smartTag>
      </w:smartTag>
      <w:r w:rsidR="0088079F">
        <w:t>,</w:t>
      </w:r>
      <w:r w:rsidR="00DC21AD" w:rsidRPr="005E5057" w:rsidDel="00DC21AD">
        <w:t xml:space="preserve"> </w:t>
      </w:r>
      <w:r w:rsidR="001A3763" w:rsidRPr="005E5057">
        <w:t>to establish a causal link</w:t>
      </w:r>
      <w:r w:rsidR="001A3763">
        <w:t xml:space="preserve"> between the two events. </w:t>
      </w:r>
    </w:p>
    <w:p w:rsidR="001862E8" w:rsidRPr="005E5057" w:rsidRDefault="001A3763" w:rsidP="001862E8">
      <w:pPr>
        <w:pStyle w:val="SingleTxtG"/>
      </w:pPr>
      <w:r>
        <w:t>2.1</w:t>
      </w:r>
      <w:r w:rsidR="00FB5DB1">
        <w:t>1</w:t>
      </w:r>
      <w:r>
        <w:tab/>
      </w:r>
      <w:r w:rsidRPr="001862E8">
        <w:t xml:space="preserve">The </w:t>
      </w:r>
      <w:r>
        <w:t xml:space="preserve">Federal Administrative </w:t>
      </w:r>
      <w:r w:rsidR="00DC21AD">
        <w:t>Court</w:t>
      </w:r>
      <w:r w:rsidR="00DC21AD" w:rsidRPr="001862E8" w:rsidDel="00DC21AD">
        <w:t xml:space="preserve"> </w:t>
      </w:r>
      <w:r w:rsidRPr="001862E8">
        <w:t>did not a</w:t>
      </w:r>
      <w:r w:rsidR="002669E0">
        <w:t>ss</w:t>
      </w:r>
      <w:r w:rsidRPr="001862E8">
        <w:t xml:space="preserve">ess most of the evidence relating to the first complainant’s political activities in </w:t>
      </w:r>
      <w:smartTag w:uri="urn:schemas-microsoft-com:office:smarttags" w:element="place">
        <w:smartTag w:uri="urn:schemas-microsoft-com:office:smarttags" w:element="country-region">
          <w:r w:rsidRPr="008B3E36">
            <w:t>Switzerland</w:t>
          </w:r>
        </w:smartTag>
      </w:smartTag>
      <w:r w:rsidRPr="008B3E36">
        <w:t xml:space="preserve"> for procedural reasons</w:t>
      </w:r>
      <w:r w:rsidR="00501463" w:rsidRPr="008B3E36">
        <w:t xml:space="preserve"> due to the delay in presenting it to the asylum authorities</w:t>
      </w:r>
      <w:r w:rsidRPr="008B3E36">
        <w:t>.</w:t>
      </w:r>
      <w:r w:rsidR="003D56D3" w:rsidRPr="008B3E36">
        <w:rPr>
          <w:rStyle w:val="FootnoteReference"/>
        </w:rPr>
        <w:footnoteReference w:id="3"/>
      </w:r>
      <w:r w:rsidRPr="008B3E36">
        <w:t xml:space="preserve"> It stated, however, that there was no reason to assume that the first complainant would be at risk</w:t>
      </w:r>
      <w:r w:rsidRPr="001862E8">
        <w:t xml:space="preserve"> of being subjected to treatment contrary to the Convention upon return to </w:t>
      </w:r>
      <w:smartTag w:uri="urn:schemas-microsoft-com:office:smarttags" w:element="place">
        <w:smartTag w:uri="urn:schemas-microsoft-com:office:smarttags" w:element="country-region">
          <w:r w:rsidRPr="001862E8">
            <w:t>Yemen</w:t>
          </w:r>
        </w:smartTag>
      </w:smartTag>
      <w:r w:rsidRPr="001862E8">
        <w:t xml:space="preserve"> due to his political activities in exile. Thus, he </w:t>
      </w:r>
      <w:r w:rsidRPr="005E5057">
        <w:t xml:space="preserve">appeared to be a mere participant </w:t>
      </w:r>
      <w:r w:rsidR="00D6384F">
        <w:t>in</w:t>
      </w:r>
      <w:r w:rsidR="00D6384F" w:rsidRPr="005E5057">
        <w:t xml:space="preserve"> </w:t>
      </w:r>
      <w:r w:rsidRPr="005E5057">
        <w:t>some of the numerous demonstrations organi</w:t>
      </w:r>
      <w:r w:rsidR="00D6384F">
        <w:t>z</w:t>
      </w:r>
      <w:r w:rsidRPr="005E5057">
        <w:t xml:space="preserve">ed by the </w:t>
      </w:r>
      <w:r w:rsidR="00E71F63" w:rsidRPr="005E5057">
        <w:t>Southern Democratic Assembly</w:t>
      </w:r>
      <w:r w:rsidRPr="005E5057">
        <w:t xml:space="preserve"> in </w:t>
      </w:r>
      <w:smartTag w:uri="urn:schemas-microsoft-com:office:smarttags" w:element="place">
        <w:smartTag w:uri="urn:schemas-microsoft-com:office:smarttags" w:element="country-region">
          <w:r w:rsidRPr="005E5057">
            <w:t>Switzerland</w:t>
          </w:r>
        </w:smartTag>
      </w:smartTag>
      <w:r w:rsidR="00D73F07" w:rsidRPr="005E5057">
        <w:t xml:space="preserve"> and it would be </w:t>
      </w:r>
      <w:r w:rsidR="003562A2">
        <w:t xml:space="preserve">practically </w:t>
      </w:r>
      <w:r w:rsidR="00D73F07" w:rsidRPr="005E5057">
        <w:t>impossible for the Yemeni autho</w:t>
      </w:r>
      <w:r w:rsidR="003562A2">
        <w:t>rities to identify each of the</w:t>
      </w:r>
      <w:r w:rsidR="00D73F07" w:rsidRPr="005E5057">
        <w:t xml:space="preserve"> participants</w:t>
      </w:r>
      <w:r w:rsidR="003562A2">
        <w:t xml:space="preserve"> thereof, except for some well-known opposition leaders</w:t>
      </w:r>
      <w:r w:rsidRPr="005E5057">
        <w:t xml:space="preserve">. </w:t>
      </w:r>
      <w:r w:rsidR="00DF4C43">
        <w:t>Furthermore, the complainants did not establish that</w:t>
      </w:r>
      <w:r w:rsidR="006A459F">
        <w:t xml:space="preserve">, following recent changes in the social and political situation in </w:t>
      </w:r>
      <w:smartTag w:uri="urn:schemas-microsoft-com:office:smarttags" w:element="country-region">
        <w:r w:rsidR="006A459F">
          <w:t>Yemen</w:t>
        </w:r>
      </w:smartTag>
      <w:r w:rsidR="006A459F">
        <w:t>,</w:t>
      </w:r>
      <w:r w:rsidR="00DF4C43">
        <w:t xml:space="preserve"> the activities of the first complainant in </w:t>
      </w:r>
      <w:smartTag w:uri="urn:schemas-microsoft-com:office:smarttags" w:element="place">
        <w:smartTag w:uri="urn:schemas-microsoft-com:office:smarttags" w:element="country-region">
          <w:r w:rsidR="00DF4C43">
            <w:t>Switzerland</w:t>
          </w:r>
        </w:smartTag>
      </w:smartTag>
      <w:r w:rsidR="00DF4C43">
        <w:t xml:space="preserve"> </w:t>
      </w:r>
      <w:r w:rsidR="00B976D7">
        <w:t xml:space="preserve">had </w:t>
      </w:r>
      <w:r w:rsidR="006A459F">
        <w:t xml:space="preserve">led </w:t>
      </w:r>
      <w:r w:rsidR="00DF4C43">
        <w:t xml:space="preserve">to a significant change of circumstances for them after the completion of the ordinary asylum proceedings. </w:t>
      </w:r>
      <w:r w:rsidRPr="005E5057">
        <w:t xml:space="preserve">The </w:t>
      </w:r>
      <w:smartTag w:uri="urn:schemas-microsoft-com:office:smarttags" w:element="Street">
        <w:smartTag w:uri="urn:schemas-microsoft-com:office:smarttags" w:element="address">
          <w:r w:rsidRPr="005E5057">
            <w:t xml:space="preserve">Federal Administrative </w:t>
          </w:r>
          <w:r w:rsidR="00DC21AD">
            <w:t>Court</w:t>
          </w:r>
        </w:smartTag>
      </w:smartTag>
      <w:r w:rsidR="00DC21AD" w:rsidRPr="005E5057" w:rsidDel="00DC21AD">
        <w:t xml:space="preserve"> </w:t>
      </w:r>
      <w:r w:rsidRPr="005E5057">
        <w:t>concluded, therefore, that the execution of the expulsion order in relation to the complainants was lawful, reasonable and possible.</w:t>
      </w:r>
    </w:p>
    <w:p w:rsidR="001862E8" w:rsidRPr="005E5057" w:rsidRDefault="00FB5DB1" w:rsidP="001862E8">
      <w:pPr>
        <w:pStyle w:val="SingleTxtG"/>
      </w:pPr>
      <w:r>
        <w:t>2.12</w:t>
      </w:r>
      <w:r w:rsidR="001862E8" w:rsidRPr="005E5057">
        <w:tab/>
      </w:r>
      <w:r w:rsidR="00817D3D" w:rsidRPr="005E5057">
        <w:t xml:space="preserve">The complainants submit that they have exhausted all available domestic remedies to obtain redress before the </w:t>
      </w:r>
      <w:r w:rsidR="008213FE">
        <w:t>State party’s asylum</w:t>
      </w:r>
      <w:r w:rsidR="00817D3D" w:rsidRPr="005E5057">
        <w:t xml:space="preserve"> authorities. </w:t>
      </w:r>
      <w:r w:rsidR="001862E8" w:rsidRPr="005E5057">
        <w:t>The</w:t>
      </w:r>
      <w:r w:rsidR="00817D3D" w:rsidRPr="005E5057">
        <w:t>y</w:t>
      </w:r>
      <w:r w:rsidR="001862E8" w:rsidRPr="005E5057">
        <w:t xml:space="preserve"> are obliged by law to leave </w:t>
      </w:r>
      <w:smartTag w:uri="urn:schemas-microsoft-com:office:smarttags" w:element="country-region">
        <w:r w:rsidR="001862E8" w:rsidRPr="005E5057">
          <w:t>Switzerland</w:t>
        </w:r>
      </w:smartTag>
      <w:r w:rsidR="001862E8" w:rsidRPr="005E5057">
        <w:t xml:space="preserve">; in case of non-compliance, they </w:t>
      </w:r>
      <w:r w:rsidR="00817D3D" w:rsidRPr="005E5057">
        <w:t xml:space="preserve">would be forcibly </w:t>
      </w:r>
      <w:r w:rsidR="008E75C7">
        <w:t>deported</w:t>
      </w:r>
      <w:r w:rsidR="00817D3D" w:rsidRPr="005E5057">
        <w:t xml:space="preserve"> to </w:t>
      </w:r>
      <w:smartTag w:uri="urn:schemas-microsoft-com:office:smarttags" w:element="place">
        <w:smartTag w:uri="urn:schemas-microsoft-com:office:smarttags" w:element="country-region">
          <w:r w:rsidR="00817D3D" w:rsidRPr="005E5057">
            <w:t>Yemen</w:t>
          </w:r>
        </w:smartTag>
      </w:smartTag>
      <w:r w:rsidR="00817D3D" w:rsidRPr="005E5057">
        <w:t xml:space="preserve">. </w:t>
      </w:r>
    </w:p>
    <w:p w:rsidR="00817D3D" w:rsidRPr="005E5057" w:rsidRDefault="00817D3D" w:rsidP="00817D3D">
      <w:pPr>
        <w:pStyle w:val="H23G"/>
      </w:pPr>
      <w:r w:rsidRPr="005E5057">
        <w:tab/>
      </w:r>
      <w:r w:rsidRPr="005E5057">
        <w:tab/>
        <w:t>The complaint</w:t>
      </w:r>
    </w:p>
    <w:p w:rsidR="00817D3D" w:rsidRPr="005E5057" w:rsidRDefault="00817D3D" w:rsidP="00817D3D">
      <w:pPr>
        <w:pStyle w:val="SingleTxtG"/>
      </w:pPr>
      <w:r w:rsidRPr="005E5057">
        <w:t>3.1</w:t>
      </w:r>
      <w:r w:rsidRPr="005E5057">
        <w:tab/>
        <w:t xml:space="preserve">The first complainant submits that he is at a real and imminent risk of being subjected to torture or other inhuman and degrading treatment if he were forcibly returned to </w:t>
      </w:r>
      <w:smartTag w:uri="urn:schemas-microsoft-com:office:smarttags" w:element="place">
        <w:smartTag w:uri="urn:schemas-microsoft-com:office:smarttags" w:element="country-region">
          <w:r w:rsidRPr="005E5057">
            <w:t>Yemen</w:t>
          </w:r>
        </w:smartTag>
      </w:smartTag>
      <w:r w:rsidRPr="005E5057">
        <w:t xml:space="preserve">. He adds that, considering the extremely violent and unstable situation in </w:t>
      </w:r>
      <w:smartTag w:uri="urn:schemas-microsoft-com:office:smarttags" w:element="place">
        <w:smartTag w:uri="urn:schemas-microsoft-com:office:smarttags" w:element="country-region">
          <w:r w:rsidRPr="005E5057">
            <w:t>Yemen</w:t>
          </w:r>
        </w:smartTag>
      </w:smartTag>
      <w:r w:rsidRPr="005E5057">
        <w:t xml:space="preserve">, his wife and their son would be at an imminent risk of suffering serious harm as well. He argues that, by expelling him and his family to </w:t>
      </w:r>
      <w:smartTag w:uri="urn:schemas-microsoft-com:office:smarttags" w:element="country-region">
        <w:r w:rsidRPr="005E5057">
          <w:t>Yemen</w:t>
        </w:r>
      </w:smartTag>
      <w:r w:rsidRPr="005E5057">
        <w:t xml:space="preserve">, </w:t>
      </w:r>
      <w:smartTag w:uri="urn:schemas-microsoft-com:office:smarttags" w:element="place">
        <w:smartTag w:uri="urn:schemas-microsoft-com:office:smarttags" w:element="country-region">
          <w:r w:rsidRPr="005E5057">
            <w:t>Switzerland</w:t>
          </w:r>
        </w:smartTag>
      </w:smartTag>
      <w:r w:rsidRPr="005E5057">
        <w:t xml:space="preserve"> would violate its obligations under article 3 of the Convention.</w:t>
      </w:r>
    </w:p>
    <w:p w:rsidR="00817D3D" w:rsidRPr="005E5057" w:rsidRDefault="00817D3D" w:rsidP="006E6061">
      <w:pPr>
        <w:pStyle w:val="SingleTxtG"/>
      </w:pPr>
      <w:r w:rsidRPr="005E5057">
        <w:t>3.2</w:t>
      </w:r>
      <w:r w:rsidRPr="005E5057">
        <w:tab/>
        <w:t xml:space="preserve">The complainants submit that their accounts provided in the framework of the asylum proceedings were detailed, substantiated and credible. </w:t>
      </w:r>
      <w:r w:rsidR="00EE57F7" w:rsidRPr="005E5057">
        <w:t xml:space="preserve">Furthermore, these accounts </w:t>
      </w:r>
      <w:r w:rsidR="008064DD">
        <w:t>were</w:t>
      </w:r>
      <w:r w:rsidR="00EE57F7" w:rsidRPr="005E5057">
        <w:t xml:space="preserve"> confirmed by a number of independent reports.</w:t>
      </w:r>
      <w:r w:rsidR="000E1FA0" w:rsidRPr="005E5057">
        <w:rPr>
          <w:rStyle w:val="FootnoteReference"/>
        </w:rPr>
        <w:footnoteReference w:id="4"/>
      </w:r>
      <w:r w:rsidR="006E6061" w:rsidRPr="005E5057">
        <w:t xml:space="preserve"> They add that t</w:t>
      </w:r>
      <w:r w:rsidRPr="005E5057">
        <w:t>he first complainant never claimed to have been a high</w:t>
      </w:r>
      <w:r w:rsidR="008064DD">
        <w:t>-</w:t>
      </w:r>
      <w:r w:rsidRPr="005E5057">
        <w:t xml:space="preserve">ranking member of the </w:t>
      </w:r>
      <w:r w:rsidR="00F3634F" w:rsidRPr="005E5057">
        <w:t>Southern Movement</w:t>
      </w:r>
      <w:r w:rsidRPr="005E5057">
        <w:t>. Nevertheless, he was perceived as a critic</w:t>
      </w:r>
      <w:r w:rsidR="002E3D1D" w:rsidRPr="002E3D1D">
        <w:t xml:space="preserve"> </w:t>
      </w:r>
      <w:r w:rsidR="002E3D1D">
        <w:t>of the G</w:t>
      </w:r>
      <w:r w:rsidR="002E3D1D" w:rsidRPr="005E5057">
        <w:t>overnment</w:t>
      </w:r>
      <w:r w:rsidRPr="005E5057">
        <w:t xml:space="preserve"> by the Yemeni authorities and put under intense pressure. His departure from </w:t>
      </w:r>
      <w:smartTag w:uri="urn:schemas-microsoft-com:office:smarttags" w:element="place">
        <w:smartTag w:uri="urn:schemas-microsoft-com:office:smarttags" w:element="country-region">
          <w:r w:rsidRPr="005E5057">
            <w:t>Yemen</w:t>
          </w:r>
        </w:smartTag>
      </w:smartTag>
      <w:r w:rsidRPr="005E5057">
        <w:t xml:space="preserve"> in January 2010 was only possible with the help of a friend, significant financial investments and due to his low profile. </w:t>
      </w:r>
    </w:p>
    <w:p w:rsidR="005F47ED" w:rsidRPr="005E5057" w:rsidRDefault="00817D3D" w:rsidP="005F47ED">
      <w:pPr>
        <w:pStyle w:val="SingleTxtG"/>
      </w:pPr>
      <w:r w:rsidRPr="005E5057">
        <w:t>3.3</w:t>
      </w:r>
      <w:r w:rsidRPr="005E5057">
        <w:tab/>
        <w:t xml:space="preserve">As to the reasoning </w:t>
      </w:r>
      <w:r w:rsidR="00EE57F7" w:rsidRPr="005E5057">
        <w:t xml:space="preserve">of the Federal Administrative </w:t>
      </w:r>
      <w:r w:rsidR="00DC21AD">
        <w:t>Court</w:t>
      </w:r>
      <w:r w:rsidR="00DC21AD" w:rsidRPr="005E5057" w:rsidDel="00DC21AD">
        <w:t xml:space="preserve"> </w:t>
      </w:r>
      <w:r w:rsidRPr="005E5057">
        <w:t xml:space="preserve">that </w:t>
      </w:r>
      <w:r w:rsidR="00EE57F7" w:rsidRPr="005E5057">
        <w:t>the summons and the attestation</w:t>
      </w:r>
      <w:r w:rsidRPr="005E5057">
        <w:t xml:space="preserve"> issued by </w:t>
      </w:r>
      <w:r w:rsidR="00F3634F" w:rsidRPr="005E5057">
        <w:t>a</w:t>
      </w:r>
      <w:r w:rsidR="00EE57F7" w:rsidRPr="005E5057">
        <w:t>l</w:t>
      </w:r>
      <w:r w:rsidR="00F3634F" w:rsidRPr="005E5057">
        <w:t>-</w:t>
      </w:r>
      <w:r w:rsidR="00EE57F7" w:rsidRPr="005E5057">
        <w:t xml:space="preserve">Mansoura prison authorities </w:t>
      </w:r>
      <w:r w:rsidRPr="005E5057">
        <w:t xml:space="preserve">did not specify the reason for the first complainant’s </w:t>
      </w:r>
      <w:r w:rsidR="006A459F">
        <w:t>detention</w:t>
      </w:r>
      <w:r w:rsidR="00EE57F7" w:rsidRPr="005E5057">
        <w:t xml:space="preserve"> (see paragraph 2.9 above)</w:t>
      </w:r>
      <w:r w:rsidRPr="005E5057">
        <w:t xml:space="preserve">, he refers to the </w:t>
      </w:r>
      <w:r w:rsidR="006E6061" w:rsidRPr="005E5057">
        <w:t xml:space="preserve">reports by the </w:t>
      </w:r>
      <w:r w:rsidRPr="005E5057">
        <w:t>Amnesty International</w:t>
      </w:r>
      <w:r w:rsidR="0098403C" w:rsidRPr="005E5057">
        <w:rPr>
          <w:rStyle w:val="FootnoteReference"/>
        </w:rPr>
        <w:footnoteReference w:id="5"/>
      </w:r>
      <w:r w:rsidR="006E6061" w:rsidRPr="005E5057">
        <w:t xml:space="preserve"> and the United States Department of State</w:t>
      </w:r>
      <w:r w:rsidRPr="005E5057">
        <w:t>,</w:t>
      </w:r>
      <w:r w:rsidR="006E6061" w:rsidRPr="005E5057">
        <w:rPr>
          <w:rStyle w:val="FootnoteReference"/>
        </w:rPr>
        <w:footnoteReference w:id="6"/>
      </w:r>
      <w:r w:rsidRPr="005E5057">
        <w:t xml:space="preserve"> documenting widespread police brutality and torture of </w:t>
      </w:r>
      <w:r w:rsidR="006E6061" w:rsidRPr="005E5057">
        <w:t xml:space="preserve">suspected supporters of the </w:t>
      </w:r>
      <w:r w:rsidR="00F3634F" w:rsidRPr="005E5057">
        <w:t>Southern Movement</w:t>
      </w:r>
      <w:r w:rsidR="006E6061" w:rsidRPr="005E5057">
        <w:t xml:space="preserve">, as well as of the </w:t>
      </w:r>
      <w:r w:rsidRPr="005E5057">
        <w:lastRenderedPageBreak/>
        <w:t xml:space="preserve">ordinary criminal detainees in Yemen, and submits that he would </w:t>
      </w:r>
      <w:r w:rsidR="008064DD">
        <w:t xml:space="preserve">have </w:t>
      </w:r>
      <w:r w:rsidRPr="005E5057">
        <w:t>be</w:t>
      </w:r>
      <w:r w:rsidR="008064DD">
        <w:t>en</w:t>
      </w:r>
      <w:r w:rsidRPr="005E5057">
        <w:t xml:space="preserve"> subjected to serious ill-treatment even if he </w:t>
      </w:r>
      <w:r w:rsidR="008064DD">
        <w:t>had</w:t>
      </w:r>
      <w:r w:rsidR="008064DD" w:rsidRPr="005E5057">
        <w:t xml:space="preserve"> </w:t>
      </w:r>
      <w:r w:rsidRPr="005E5057">
        <w:t>not</w:t>
      </w:r>
      <w:r w:rsidR="008064DD">
        <w:t xml:space="preserve"> been</w:t>
      </w:r>
      <w:r w:rsidRPr="005E5057">
        <w:t xml:space="preserve"> w</w:t>
      </w:r>
      <w:r w:rsidR="005F47ED" w:rsidRPr="005E5057">
        <w:t xml:space="preserve">anted for political reasons.   </w:t>
      </w:r>
    </w:p>
    <w:p w:rsidR="00817D3D" w:rsidRPr="005E5057" w:rsidRDefault="00817D3D" w:rsidP="005F47ED">
      <w:pPr>
        <w:pStyle w:val="SingleTxtG"/>
      </w:pPr>
      <w:r w:rsidRPr="005E5057">
        <w:t>3.4</w:t>
      </w:r>
      <w:r w:rsidRPr="005E5057">
        <w:tab/>
        <w:t xml:space="preserve">The complainants submit that the risk of their persecution </w:t>
      </w:r>
      <w:r w:rsidR="005F47ED" w:rsidRPr="005E5057">
        <w:t xml:space="preserve">in </w:t>
      </w:r>
      <w:smartTag w:uri="urn:schemas-microsoft-com:office:smarttags" w:element="country-region">
        <w:r w:rsidR="005F47ED" w:rsidRPr="005E5057">
          <w:t>Yemen</w:t>
        </w:r>
      </w:smartTag>
      <w:r w:rsidR="005F47ED" w:rsidRPr="005E5057">
        <w:t xml:space="preserve"> </w:t>
      </w:r>
      <w:r w:rsidRPr="005E5057">
        <w:t xml:space="preserve">is aggravated by the first complainant’s political activities in </w:t>
      </w:r>
      <w:smartTag w:uri="urn:schemas-microsoft-com:office:smarttags" w:element="place">
        <w:smartTag w:uri="urn:schemas-microsoft-com:office:smarttags" w:element="country-region">
          <w:r w:rsidRPr="005E5057">
            <w:t>Switzerland</w:t>
          </w:r>
        </w:smartTag>
      </w:smartTag>
      <w:r w:rsidRPr="005E5057">
        <w:t xml:space="preserve">. He is a member of the </w:t>
      </w:r>
      <w:r w:rsidR="00E71F63" w:rsidRPr="005E5057">
        <w:t>Southern Democratic Assembly</w:t>
      </w:r>
      <w:r w:rsidR="005F47ED" w:rsidRPr="005E5057">
        <w:t xml:space="preserve"> </w:t>
      </w:r>
      <w:r w:rsidRPr="005E5057">
        <w:t xml:space="preserve">in </w:t>
      </w:r>
      <w:smartTag w:uri="urn:schemas-microsoft-com:office:smarttags" w:element="place">
        <w:smartTag w:uri="urn:schemas-microsoft-com:office:smarttags" w:element="country-region">
          <w:r w:rsidRPr="005E5057">
            <w:t>Switzerland</w:t>
          </w:r>
        </w:smartTag>
      </w:smartTag>
      <w:r w:rsidRPr="005E5057">
        <w:t xml:space="preserve"> and his name and photographs have been linked to the Assembly and published on the Internet.</w:t>
      </w:r>
      <w:r w:rsidR="005F47ED" w:rsidRPr="005E5057">
        <w:t xml:space="preserve"> Furthermore, he hold</w:t>
      </w:r>
      <w:r w:rsidR="00C60BD4">
        <w:t xml:space="preserve">s an important </w:t>
      </w:r>
      <w:r w:rsidR="007D694C">
        <w:t xml:space="preserve">position </w:t>
      </w:r>
      <w:r w:rsidR="00C60BD4">
        <w:t>in the c</w:t>
      </w:r>
      <w:r w:rsidR="005F47ED" w:rsidRPr="005E5057">
        <w:t>anton of Fribourg.</w:t>
      </w:r>
      <w:r w:rsidRPr="005E5057">
        <w:t xml:space="preserve"> The Swiss authorities</w:t>
      </w:r>
      <w:r w:rsidR="003E69EC" w:rsidRPr="005E5057">
        <w:t xml:space="preserve"> </w:t>
      </w:r>
      <w:r w:rsidRPr="005E5057">
        <w:t xml:space="preserve">acknowledge </w:t>
      </w:r>
      <w:r w:rsidR="003E69EC" w:rsidRPr="005E5057">
        <w:t>in the judg</w:t>
      </w:r>
      <w:r w:rsidR="007D694C">
        <w:t>e</w:t>
      </w:r>
      <w:r w:rsidR="003E69EC" w:rsidRPr="005E5057">
        <w:t xml:space="preserve">ment of the Federal Administrative </w:t>
      </w:r>
      <w:r w:rsidR="00DC21AD">
        <w:t>Court</w:t>
      </w:r>
      <w:r w:rsidR="00DC21AD" w:rsidRPr="005E5057" w:rsidDel="00DC21AD">
        <w:t xml:space="preserve"> </w:t>
      </w:r>
      <w:r w:rsidR="003E69EC" w:rsidRPr="005E5057">
        <w:t xml:space="preserve">of 27 May 2011 </w:t>
      </w:r>
      <w:r w:rsidRPr="005E5057">
        <w:t xml:space="preserve">that the </w:t>
      </w:r>
      <w:r w:rsidR="00E71F63" w:rsidRPr="005E5057">
        <w:t>Southern Democratic Assembly</w:t>
      </w:r>
      <w:r w:rsidR="003E69EC" w:rsidRPr="005E5057">
        <w:t xml:space="preserve"> </w:t>
      </w:r>
      <w:r w:rsidRPr="005E5057">
        <w:t xml:space="preserve">is or has been closely monitored by the Yemeni </w:t>
      </w:r>
      <w:r w:rsidR="003E69EC" w:rsidRPr="005E5057">
        <w:t>author</w:t>
      </w:r>
      <w:r w:rsidR="008446B3" w:rsidRPr="005E5057">
        <w:t>i</w:t>
      </w:r>
      <w:r w:rsidR="003E69EC" w:rsidRPr="005E5057">
        <w:t>ties</w:t>
      </w:r>
      <w:r w:rsidRPr="005E5057">
        <w:t xml:space="preserve">. They state that persons </w:t>
      </w:r>
      <w:r w:rsidR="003E69EC" w:rsidRPr="005E5057">
        <w:t>identified</w:t>
      </w:r>
      <w:r w:rsidRPr="005E5057">
        <w:t xml:space="preserve"> as leaders of this movement may be at risk of persecution in case of return. The </w:t>
      </w:r>
      <w:smartTag w:uri="urn:schemas-microsoft-com:office:smarttags" w:element="Street">
        <w:smartTag w:uri="urn:schemas-microsoft-com:office:smarttags" w:element="address">
          <w:r w:rsidR="008446B3" w:rsidRPr="005E5057">
            <w:t xml:space="preserve">Federal Administrative </w:t>
          </w:r>
          <w:r w:rsidR="00DC21AD">
            <w:t>Court</w:t>
          </w:r>
        </w:smartTag>
      </w:smartTag>
      <w:r w:rsidR="00DC21AD" w:rsidRPr="005E5057" w:rsidDel="00DC21AD">
        <w:t xml:space="preserve"> </w:t>
      </w:r>
      <w:r w:rsidRPr="005E5057">
        <w:t xml:space="preserve">considered, however, that the first complainant’s activities and </w:t>
      </w:r>
      <w:r w:rsidR="00AB66ED">
        <w:t>position</w:t>
      </w:r>
      <w:r w:rsidR="00AB66ED" w:rsidRPr="005E5057">
        <w:t xml:space="preserve"> </w:t>
      </w:r>
      <w:r w:rsidRPr="005E5057">
        <w:t xml:space="preserve">were not of sufficient prominence to trigger </w:t>
      </w:r>
      <w:r w:rsidR="007D694C">
        <w:t xml:space="preserve">a </w:t>
      </w:r>
      <w:r w:rsidRPr="005E5057">
        <w:t xml:space="preserve">well-founded fear of persecution. </w:t>
      </w:r>
      <w:r w:rsidR="008446B3" w:rsidRPr="005E5057">
        <w:t>The first complainant argues</w:t>
      </w:r>
      <w:r w:rsidRPr="005E5057">
        <w:t xml:space="preserve"> that there are reasons to believe that he will be apprehended upon his return</w:t>
      </w:r>
      <w:r w:rsidR="00AB66ED">
        <w:t>,</w:t>
      </w:r>
      <w:r w:rsidRPr="005E5057">
        <w:t xml:space="preserve"> due to his past experiences in Yemen and because he comes from a politically active family. It should be assumed, therefore, that his family name alone is sufficient to trigger </w:t>
      </w:r>
      <w:r w:rsidR="008446B3" w:rsidRPr="005E5057">
        <w:t xml:space="preserve">the suspicion of </w:t>
      </w:r>
      <w:r w:rsidRPr="005E5057">
        <w:t xml:space="preserve">the Yemeni authorities. </w:t>
      </w:r>
    </w:p>
    <w:p w:rsidR="00817D3D" w:rsidRDefault="00817D3D" w:rsidP="00817D3D">
      <w:pPr>
        <w:pStyle w:val="SingleTxtG"/>
      </w:pPr>
      <w:r w:rsidRPr="005E5057">
        <w:t>3.5</w:t>
      </w:r>
      <w:r w:rsidRPr="005E5057">
        <w:tab/>
        <w:t xml:space="preserve">The complainants argue that the current political situation in </w:t>
      </w:r>
      <w:smartTag w:uri="urn:schemas-microsoft-com:office:smarttags" w:element="place">
        <w:smartTag w:uri="urn:schemas-microsoft-com:office:smarttags" w:element="country-region">
          <w:r w:rsidRPr="005E5057">
            <w:t>Yemen</w:t>
          </w:r>
        </w:smartTag>
      </w:smartTag>
      <w:r w:rsidRPr="005E5057">
        <w:t xml:space="preserve"> is extremely unstable</w:t>
      </w:r>
      <w:r w:rsidR="0017718B" w:rsidRPr="005E5057">
        <w:t xml:space="preserve"> and is characteri</w:t>
      </w:r>
      <w:r w:rsidR="00AB66ED">
        <w:t>z</w:t>
      </w:r>
      <w:r w:rsidR="0017718B" w:rsidRPr="005E5057">
        <w:t>ed by high insecurity and violence</w:t>
      </w:r>
      <w:r w:rsidRPr="005E5057">
        <w:t>.</w:t>
      </w:r>
      <w:r w:rsidR="0017718B" w:rsidRPr="005E5057">
        <w:rPr>
          <w:rStyle w:val="FootnoteReference"/>
        </w:rPr>
        <w:footnoteReference w:id="7"/>
      </w:r>
      <w:r w:rsidRPr="005E5057">
        <w:t xml:space="preserve"> Since </w:t>
      </w:r>
      <w:r w:rsidR="0057599E">
        <w:t>President Ali Abdullah Sale</w:t>
      </w:r>
      <w:r w:rsidR="0057599E" w:rsidRPr="0064185E">
        <w:t>h</w:t>
      </w:r>
      <w:r w:rsidRPr="005E5057">
        <w:t xml:space="preserve">’s injury and subsequent departure, protests have continued. Whether he will return or whether there will be </w:t>
      </w:r>
      <w:r w:rsidR="007D694C">
        <w:t xml:space="preserve">a </w:t>
      </w:r>
      <w:r w:rsidRPr="005E5057">
        <w:t>regime change remains unclear. They add that the S</w:t>
      </w:r>
      <w:r w:rsidR="00BB5B26" w:rsidRPr="005E5057">
        <w:t xml:space="preserve">outhern Mobility Movement </w:t>
      </w:r>
      <w:r w:rsidRPr="005E5057">
        <w:t>has played a crucial role in the organi</w:t>
      </w:r>
      <w:r w:rsidR="007D694C">
        <w:t>z</w:t>
      </w:r>
      <w:r w:rsidRPr="005E5057">
        <w:t>ation and perpetuation of protests.</w:t>
      </w:r>
      <w:r w:rsidR="00711334" w:rsidRPr="005E5057">
        <w:rPr>
          <w:rStyle w:val="FootnoteReference"/>
        </w:rPr>
        <w:footnoteReference w:id="8"/>
      </w:r>
      <w:r w:rsidRPr="005E5057">
        <w:t xml:space="preserve"> They submit that it should be assumed that if the current regime remains in place, members of the </w:t>
      </w:r>
      <w:r w:rsidR="00F3634F" w:rsidRPr="005E5057">
        <w:t>Southern Movement</w:t>
      </w:r>
      <w:r w:rsidR="007B2080" w:rsidRPr="005E5057">
        <w:t xml:space="preserve"> </w:t>
      </w:r>
      <w:r w:rsidRPr="005E5057">
        <w:t>would be at a real and imminent risk of being exposed to reprisals.</w:t>
      </w:r>
    </w:p>
    <w:p w:rsidR="00116B35" w:rsidRPr="00D01B9B" w:rsidRDefault="004310B2" w:rsidP="004310B2">
      <w:pPr>
        <w:pStyle w:val="H23G"/>
      </w:pPr>
      <w:r w:rsidRPr="00D01B9B">
        <w:tab/>
      </w:r>
      <w:r w:rsidRPr="00D01B9B">
        <w:tab/>
      </w:r>
      <w:r w:rsidR="00116B35" w:rsidRPr="00D01B9B">
        <w:t>State party’s observations on the merits</w:t>
      </w:r>
    </w:p>
    <w:p w:rsidR="00800229" w:rsidRDefault="00116B35" w:rsidP="00116B35">
      <w:pPr>
        <w:pStyle w:val="SingleTxtG"/>
        <w:rPr>
          <w:bCs/>
        </w:rPr>
      </w:pPr>
      <w:r w:rsidRPr="00D01B9B">
        <w:rPr>
          <w:bCs/>
        </w:rPr>
        <w:t>4.1</w:t>
      </w:r>
      <w:r w:rsidRPr="00D01B9B">
        <w:rPr>
          <w:bCs/>
        </w:rPr>
        <w:tab/>
        <w:t>On 2</w:t>
      </w:r>
      <w:r w:rsidR="002956E0" w:rsidRPr="00D01B9B">
        <w:rPr>
          <w:bCs/>
        </w:rPr>
        <w:t xml:space="preserve">5 </w:t>
      </w:r>
      <w:r w:rsidR="00674100">
        <w:rPr>
          <w:bCs/>
        </w:rPr>
        <w:t>January</w:t>
      </w:r>
      <w:r w:rsidR="002956E0" w:rsidRPr="00D01B9B">
        <w:rPr>
          <w:bCs/>
        </w:rPr>
        <w:t xml:space="preserve"> </w:t>
      </w:r>
      <w:r w:rsidR="00674100">
        <w:rPr>
          <w:bCs/>
        </w:rPr>
        <w:t>2012</w:t>
      </w:r>
      <w:r w:rsidRPr="00D01B9B">
        <w:rPr>
          <w:bCs/>
        </w:rPr>
        <w:t>, the State party submit</w:t>
      </w:r>
      <w:r w:rsidR="00E229C1">
        <w:rPr>
          <w:bCs/>
        </w:rPr>
        <w:t>ted</w:t>
      </w:r>
      <w:r w:rsidRPr="00D01B9B">
        <w:rPr>
          <w:bCs/>
        </w:rPr>
        <w:t xml:space="preserve"> its observations on the merits.</w:t>
      </w:r>
      <w:r w:rsidR="00800229" w:rsidRPr="00800229">
        <w:rPr>
          <w:bCs/>
        </w:rPr>
        <w:t xml:space="preserve"> </w:t>
      </w:r>
      <w:r w:rsidR="00800229">
        <w:rPr>
          <w:bCs/>
        </w:rPr>
        <w:t>It recall</w:t>
      </w:r>
      <w:r w:rsidR="00E229C1">
        <w:rPr>
          <w:bCs/>
        </w:rPr>
        <w:t>ed</w:t>
      </w:r>
      <w:r w:rsidR="00800229">
        <w:rPr>
          <w:bCs/>
        </w:rPr>
        <w:t xml:space="preserve"> the facts of the complaint and notes the first complainant’s </w:t>
      </w:r>
      <w:r w:rsidR="00800229" w:rsidRPr="00D01B9B">
        <w:rPr>
          <w:bCs/>
        </w:rPr>
        <w:t>argu</w:t>
      </w:r>
      <w:r w:rsidR="00800229">
        <w:rPr>
          <w:bCs/>
        </w:rPr>
        <w:t xml:space="preserve">ments before the Committee that </w:t>
      </w:r>
      <w:r w:rsidR="00800229" w:rsidRPr="00D01B9B">
        <w:rPr>
          <w:bCs/>
        </w:rPr>
        <w:t xml:space="preserve">he would run a personal, real and serious risk </w:t>
      </w:r>
      <w:r w:rsidR="008213FE">
        <w:rPr>
          <w:bCs/>
        </w:rPr>
        <w:t xml:space="preserve">of </w:t>
      </w:r>
      <w:r w:rsidR="00800229" w:rsidRPr="00D01B9B">
        <w:rPr>
          <w:bCs/>
        </w:rPr>
        <w:t>be</w:t>
      </w:r>
      <w:r w:rsidR="008213FE">
        <w:rPr>
          <w:bCs/>
        </w:rPr>
        <w:t>ing</w:t>
      </w:r>
      <w:r w:rsidR="00800229" w:rsidRPr="00D01B9B">
        <w:rPr>
          <w:bCs/>
        </w:rPr>
        <w:t xml:space="preserve"> subject</w:t>
      </w:r>
      <w:r w:rsidR="00800229">
        <w:rPr>
          <w:bCs/>
        </w:rPr>
        <w:t>ed to torture if returned to his</w:t>
      </w:r>
      <w:r w:rsidR="00800229" w:rsidRPr="00D01B9B">
        <w:rPr>
          <w:bCs/>
        </w:rPr>
        <w:t xml:space="preserve"> country of origin. </w:t>
      </w:r>
      <w:r w:rsidR="00800229">
        <w:rPr>
          <w:bCs/>
        </w:rPr>
        <w:t>H</w:t>
      </w:r>
      <w:r w:rsidR="00800229" w:rsidRPr="00D01B9B">
        <w:rPr>
          <w:bCs/>
        </w:rPr>
        <w:t xml:space="preserve">e </w:t>
      </w:r>
      <w:r w:rsidR="00E229C1">
        <w:rPr>
          <w:bCs/>
        </w:rPr>
        <w:t>did</w:t>
      </w:r>
      <w:r w:rsidR="00E229C1" w:rsidRPr="00D01B9B">
        <w:rPr>
          <w:bCs/>
        </w:rPr>
        <w:t xml:space="preserve"> </w:t>
      </w:r>
      <w:r w:rsidR="00800229" w:rsidRPr="00D01B9B">
        <w:rPr>
          <w:bCs/>
        </w:rPr>
        <w:t xml:space="preserve">not present any new elements that would call into question the </w:t>
      </w:r>
      <w:r w:rsidR="00800229">
        <w:rPr>
          <w:bCs/>
        </w:rPr>
        <w:t xml:space="preserve">decisions of the </w:t>
      </w:r>
      <w:r w:rsidR="0057599E">
        <w:rPr>
          <w:bCs/>
        </w:rPr>
        <w:t>State party’s</w:t>
      </w:r>
      <w:r w:rsidR="00800229">
        <w:rPr>
          <w:bCs/>
        </w:rPr>
        <w:t xml:space="preserve"> asylum authorities </w:t>
      </w:r>
      <w:r w:rsidR="00800229" w:rsidRPr="00D01B9B">
        <w:rPr>
          <w:bCs/>
        </w:rPr>
        <w:t>but rather dispute</w:t>
      </w:r>
      <w:r w:rsidR="00E229C1">
        <w:rPr>
          <w:bCs/>
        </w:rPr>
        <w:t>d</w:t>
      </w:r>
      <w:r w:rsidR="00800229" w:rsidRPr="00D01B9B">
        <w:rPr>
          <w:bCs/>
        </w:rPr>
        <w:t xml:space="preserve"> the</w:t>
      </w:r>
      <w:r w:rsidR="00800229">
        <w:rPr>
          <w:bCs/>
        </w:rPr>
        <w:t>ir</w:t>
      </w:r>
      <w:r w:rsidR="00800229" w:rsidRPr="00D01B9B">
        <w:rPr>
          <w:bCs/>
        </w:rPr>
        <w:t xml:space="preserve"> assessment of the </w:t>
      </w:r>
      <w:r w:rsidR="00800229">
        <w:rPr>
          <w:bCs/>
        </w:rPr>
        <w:t xml:space="preserve">plausibility of his allegations. </w:t>
      </w:r>
    </w:p>
    <w:p w:rsidR="00800229" w:rsidRDefault="00800229" w:rsidP="00116B35">
      <w:pPr>
        <w:pStyle w:val="SingleTxtG"/>
      </w:pPr>
      <w:r w:rsidRPr="00D01B9B">
        <w:t>4.</w:t>
      </w:r>
      <w:r>
        <w:t>2</w:t>
      </w:r>
      <w:r w:rsidRPr="00D01B9B">
        <w:tab/>
      </w:r>
      <w:r>
        <w:t>A</w:t>
      </w:r>
      <w:r w:rsidRPr="00D01B9B">
        <w:t>ccording to article 3 of the Convention, States parties are prohibited from expelling, returning or extraditing a person to another State where there exist substantial grounds for believing that he or she would be subjected to torture. To determine the existence of such grounds, the competent authorities must take into account all relevant considerations, including, where applicable, the existence in the State concerned of a consistent pattern of gross, flagrant or mass violations of human rights.</w:t>
      </w:r>
      <w:r>
        <w:rPr>
          <w:rStyle w:val="FootnoteReference"/>
        </w:rPr>
        <w:footnoteReference w:id="9"/>
      </w:r>
      <w:r w:rsidRPr="00D01B9B">
        <w:t xml:space="preserve"> The existence of gross, flagrant or mass violations of human rights is not in itself a sufficient basis for </w:t>
      </w:r>
      <w:r w:rsidRPr="00D01B9B">
        <w:lastRenderedPageBreak/>
        <w:t xml:space="preserve">concluding that an individual might be subjected to torture upon his </w:t>
      </w:r>
      <w:r>
        <w:t xml:space="preserve">or her </w:t>
      </w:r>
      <w:r w:rsidRPr="00D01B9B">
        <w:t xml:space="preserve">return to his </w:t>
      </w:r>
      <w:r>
        <w:t xml:space="preserve">or her </w:t>
      </w:r>
      <w:r w:rsidRPr="00D01B9B">
        <w:t>country, and additional grounds must exist for the risk of torture to qualify under the meaning of article 3 as “foreseeable, real and personal”.</w:t>
      </w:r>
    </w:p>
    <w:p w:rsidR="00F72A09" w:rsidRDefault="008F7D61" w:rsidP="00F72A09">
      <w:pPr>
        <w:pStyle w:val="SingleTxtG"/>
      </w:pPr>
      <w:r>
        <w:t>4.3</w:t>
      </w:r>
      <w:r w:rsidRPr="00D01B9B">
        <w:tab/>
      </w:r>
      <w:r>
        <w:t xml:space="preserve">The State party submits that it is </w:t>
      </w:r>
      <w:r w:rsidR="0064185E">
        <w:t xml:space="preserve">aware </w:t>
      </w:r>
      <w:r>
        <w:t>that the general situation in Yemen is characteri</w:t>
      </w:r>
      <w:r w:rsidR="00EA1DF1">
        <w:t>z</w:t>
      </w:r>
      <w:r>
        <w:t>ed by instability since the beginning of the riots in January of 2011</w:t>
      </w:r>
      <w:r w:rsidR="00EA1DF1">
        <w:t>,</w:t>
      </w:r>
      <w:r>
        <w:t xml:space="preserve"> and that until now the human rights situation </w:t>
      </w:r>
      <w:r w:rsidR="00EA1DF1">
        <w:t xml:space="preserve">has been </w:t>
      </w:r>
      <w:r>
        <w:t>characteri</w:t>
      </w:r>
      <w:r w:rsidR="005C4B29">
        <w:t>z</w:t>
      </w:r>
      <w:r>
        <w:t xml:space="preserve">ed, </w:t>
      </w:r>
      <w:r w:rsidRPr="005C4B29">
        <w:t>inter alia</w:t>
      </w:r>
      <w:r>
        <w:t>, by arbitrary arrests by</w:t>
      </w:r>
      <w:r w:rsidR="0064185E">
        <w:t xml:space="preserve"> the</w:t>
      </w:r>
      <w:r>
        <w:t xml:space="preserve"> police, </w:t>
      </w:r>
      <w:r w:rsidR="0064185E">
        <w:t xml:space="preserve">especially </w:t>
      </w:r>
      <w:r>
        <w:t xml:space="preserve">by </w:t>
      </w:r>
      <w:r w:rsidR="00EA1DF1">
        <w:t xml:space="preserve">the </w:t>
      </w:r>
      <w:r>
        <w:t xml:space="preserve">secret service, and by </w:t>
      </w:r>
      <w:r w:rsidR="00EA1DF1">
        <w:t xml:space="preserve">the </w:t>
      </w:r>
      <w:r>
        <w:t>frequent occurrence of torture and ill-treatment in detention.</w:t>
      </w:r>
      <w:r w:rsidR="007A7D86">
        <w:rPr>
          <w:rStyle w:val="FootnoteReference"/>
        </w:rPr>
        <w:footnoteReference w:id="10"/>
      </w:r>
      <w:r w:rsidR="00A436F4">
        <w:t xml:space="preserve"> </w:t>
      </w:r>
      <w:r w:rsidR="00A436F4" w:rsidRPr="0064185E">
        <w:t>However, these facts do not constitute a situation of generalized violence. There can be no question of systematic, serious, flagrant or mass violations of human rights under the Convention. The resignatio</w:t>
      </w:r>
      <w:r w:rsidR="0057599E">
        <w:t>n of President Ali Abdullah Sale</w:t>
      </w:r>
      <w:r w:rsidR="00A436F4" w:rsidRPr="0064185E">
        <w:t xml:space="preserve">h </w:t>
      </w:r>
      <w:r w:rsidR="00A436F4">
        <w:t xml:space="preserve">on </w:t>
      </w:r>
      <w:r w:rsidR="00A436F4" w:rsidRPr="0064185E">
        <w:t xml:space="preserve">23 November 2011 </w:t>
      </w:r>
      <w:r w:rsidR="00EA1DF1">
        <w:t>did</w:t>
      </w:r>
      <w:r w:rsidR="00EA1DF1" w:rsidRPr="0064185E">
        <w:t xml:space="preserve"> </w:t>
      </w:r>
      <w:r w:rsidR="00A436F4" w:rsidRPr="0064185E">
        <w:t xml:space="preserve">not change in principle the general situation in </w:t>
      </w:r>
      <w:smartTag w:uri="urn:schemas-microsoft-com:office:smarttags" w:element="place">
        <w:smartTag w:uri="urn:schemas-microsoft-com:office:smarttags" w:element="country-region">
          <w:r w:rsidR="00A436F4" w:rsidRPr="0064185E">
            <w:t>Yemen</w:t>
          </w:r>
        </w:smartTag>
      </w:smartTag>
      <w:r w:rsidR="00A436F4">
        <w:t xml:space="preserve">. His </w:t>
      </w:r>
      <w:r w:rsidR="00A436F4" w:rsidRPr="0064185E">
        <w:t xml:space="preserve">resignation </w:t>
      </w:r>
      <w:r w:rsidR="00A436F4">
        <w:t xml:space="preserve">has not resulted in either a </w:t>
      </w:r>
      <w:r w:rsidR="00A436F4" w:rsidRPr="0064185E">
        <w:t xml:space="preserve">worsening or a </w:t>
      </w:r>
      <w:r w:rsidR="00A436F4">
        <w:t xml:space="preserve">noticeable </w:t>
      </w:r>
      <w:r w:rsidR="00A436F4" w:rsidRPr="0064185E">
        <w:t xml:space="preserve">improvement </w:t>
      </w:r>
      <w:r w:rsidR="00A436F4">
        <w:t xml:space="preserve">of </w:t>
      </w:r>
      <w:r w:rsidR="00A436F4" w:rsidRPr="0064185E">
        <w:t>the situation.</w:t>
      </w:r>
      <w:r w:rsidR="00F72A09">
        <w:t xml:space="preserve"> The State party adds that, </w:t>
      </w:r>
      <w:r w:rsidR="00F72A09" w:rsidRPr="00F72A09">
        <w:t>according to the Committ</w:t>
      </w:r>
      <w:r w:rsidR="00F72A09">
        <w:t>ee’</w:t>
      </w:r>
      <w:r w:rsidR="00F72A09" w:rsidRPr="00F72A09">
        <w:t xml:space="preserve">s </w:t>
      </w:r>
      <w:r w:rsidR="00F72A09">
        <w:t>jurisprudence</w:t>
      </w:r>
      <w:r w:rsidR="00F72A09" w:rsidRPr="00F72A09">
        <w:t xml:space="preserve">, the situation in </w:t>
      </w:r>
      <w:smartTag w:uri="urn:schemas-microsoft-com:office:smarttags" w:element="place">
        <w:smartTag w:uri="urn:schemas-microsoft-com:office:smarttags" w:element="country-region">
          <w:r w:rsidR="00F72A09" w:rsidRPr="00F72A09">
            <w:t>Yemen</w:t>
          </w:r>
        </w:smartTag>
      </w:smartTag>
      <w:r w:rsidR="00F72A09" w:rsidRPr="00F72A09">
        <w:t xml:space="preserve"> </w:t>
      </w:r>
      <w:r w:rsidR="00F72A09">
        <w:t xml:space="preserve">is not </w:t>
      </w:r>
      <w:r w:rsidR="00F72A09" w:rsidRPr="00D01B9B">
        <w:t xml:space="preserve">in itself a sufficient basis for concluding that </w:t>
      </w:r>
      <w:r w:rsidR="00F72A09">
        <w:t xml:space="preserve">the complainant </w:t>
      </w:r>
      <w:r w:rsidR="00F72A09" w:rsidRPr="00D01B9B">
        <w:t xml:space="preserve">might be subjected to torture upon his return to </w:t>
      </w:r>
      <w:r w:rsidR="00F72A09">
        <w:t xml:space="preserve">that </w:t>
      </w:r>
      <w:r w:rsidR="00F72A09" w:rsidRPr="00D01B9B">
        <w:t>country</w:t>
      </w:r>
      <w:r w:rsidR="006A459F">
        <w:t>. It argues</w:t>
      </w:r>
      <w:r w:rsidR="00F72A09">
        <w:t xml:space="preserve"> that the complainant </w:t>
      </w:r>
      <w:r w:rsidR="00F72A09" w:rsidRPr="00F72A09">
        <w:t xml:space="preserve">has not demonstrated that </w:t>
      </w:r>
      <w:r w:rsidR="00F72A09">
        <w:t xml:space="preserve">he </w:t>
      </w:r>
      <w:r w:rsidR="00F72A09" w:rsidRPr="00F72A09">
        <w:t xml:space="preserve">would face a foreseeable, real and personal </w:t>
      </w:r>
      <w:r w:rsidR="00F72A09">
        <w:t xml:space="preserve">risk of being </w:t>
      </w:r>
      <w:r w:rsidR="00F72A09" w:rsidRPr="00F72A09">
        <w:t>subjected to torture if returned.</w:t>
      </w:r>
    </w:p>
    <w:p w:rsidR="00933A9F" w:rsidRDefault="00A436F4" w:rsidP="00933A9F">
      <w:pPr>
        <w:pStyle w:val="SingleTxtG"/>
        <w:rPr>
          <w:bCs/>
        </w:rPr>
      </w:pPr>
      <w:r>
        <w:t>4.4</w:t>
      </w:r>
      <w:r>
        <w:tab/>
      </w:r>
      <w:r w:rsidR="00933A9F">
        <w:rPr>
          <w:bCs/>
        </w:rPr>
        <w:t>W</w:t>
      </w:r>
      <w:r w:rsidR="00933A9F" w:rsidRPr="00D01B9B">
        <w:t xml:space="preserve">ith reference to the Committee’s </w:t>
      </w:r>
      <w:r w:rsidR="00BA795F">
        <w:t>G</w:t>
      </w:r>
      <w:r w:rsidR="00933A9F" w:rsidRPr="00D01B9B">
        <w:t xml:space="preserve">eneral </w:t>
      </w:r>
      <w:r w:rsidR="00BA795F">
        <w:t>C</w:t>
      </w:r>
      <w:r w:rsidR="00933A9F" w:rsidRPr="00D01B9B">
        <w:t xml:space="preserve">omment No. 1 </w:t>
      </w:r>
      <w:r w:rsidR="00933A9F">
        <w:t>(para. 8 (b))</w:t>
      </w:r>
      <w:r w:rsidR="00933A9F" w:rsidRPr="003C2996">
        <w:rPr>
          <w:bCs/>
        </w:rPr>
        <w:t>, t</w:t>
      </w:r>
      <w:r w:rsidR="00933A9F">
        <w:rPr>
          <w:bCs/>
        </w:rPr>
        <w:t>he State party submits that torture or ill-treatment allegedly suffered by the complainant in the past is one of the elements that should be taken into account in assessing the risk of him or her being subjected to torture or ill-treatment if returned to the</w:t>
      </w:r>
      <w:r w:rsidR="00933A9F" w:rsidRPr="00D01B9B">
        <w:rPr>
          <w:bCs/>
        </w:rPr>
        <w:t xml:space="preserve"> country of origin</w:t>
      </w:r>
      <w:r w:rsidR="00933A9F">
        <w:rPr>
          <w:bCs/>
        </w:rPr>
        <w:t xml:space="preserve">. In this regard, the State party recalls the complainant’s claims that </w:t>
      </w:r>
      <w:r w:rsidR="00933A9F" w:rsidRPr="00933A9F">
        <w:rPr>
          <w:bCs/>
        </w:rPr>
        <w:t>he was arrested and detained in 2009 after participating in a demonstration organized by the Southern Democratic Assembly</w:t>
      </w:r>
      <w:r w:rsidR="00933A9F">
        <w:rPr>
          <w:bCs/>
        </w:rPr>
        <w:t xml:space="preserve">, that he </w:t>
      </w:r>
      <w:r w:rsidR="00933A9F" w:rsidRPr="00933A9F">
        <w:rPr>
          <w:bCs/>
        </w:rPr>
        <w:t xml:space="preserve">received a truncheon blow </w:t>
      </w:r>
      <w:r w:rsidR="003F456A">
        <w:rPr>
          <w:bCs/>
        </w:rPr>
        <w:t>to</w:t>
      </w:r>
      <w:r w:rsidR="003F456A" w:rsidRPr="00933A9F">
        <w:rPr>
          <w:bCs/>
        </w:rPr>
        <w:t xml:space="preserve"> </w:t>
      </w:r>
      <w:r w:rsidR="00933A9F" w:rsidRPr="00933A9F">
        <w:rPr>
          <w:bCs/>
        </w:rPr>
        <w:t>the nose during the arrest</w:t>
      </w:r>
      <w:r w:rsidR="00933A9F">
        <w:rPr>
          <w:bCs/>
        </w:rPr>
        <w:t xml:space="preserve">, that he </w:t>
      </w:r>
      <w:r w:rsidR="00933A9F" w:rsidRPr="00933A9F">
        <w:rPr>
          <w:bCs/>
        </w:rPr>
        <w:t xml:space="preserve">was </w:t>
      </w:r>
      <w:r w:rsidR="004A2858">
        <w:rPr>
          <w:bCs/>
        </w:rPr>
        <w:t xml:space="preserve">questioned </w:t>
      </w:r>
      <w:r w:rsidR="00933A9F" w:rsidRPr="00933A9F">
        <w:rPr>
          <w:bCs/>
        </w:rPr>
        <w:t xml:space="preserve">once </w:t>
      </w:r>
      <w:r w:rsidR="00933A9F">
        <w:rPr>
          <w:bCs/>
        </w:rPr>
        <w:t xml:space="preserve">during his detention </w:t>
      </w:r>
      <w:r w:rsidR="00933A9F" w:rsidRPr="00933A9F">
        <w:rPr>
          <w:bCs/>
        </w:rPr>
        <w:t xml:space="preserve">and </w:t>
      </w:r>
      <w:r w:rsidR="00933A9F">
        <w:rPr>
          <w:bCs/>
        </w:rPr>
        <w:t xml:space="preserve">was </w:t>
      </w:r>
      <w:r w:rsidR="00933A9F" w:rsidRPr="00933A9F">
        <w:rPr>
          <w:bCs/>
        </w:rPr>
        <w:t>threatened</w:t>
      </w:r>
      <w:r w:rsidR="00B827B6" w:rsidRPr="00B827B6">
        <w:rPr>
          <w:bCs/>
        </w:rPr>
        <w:t xml:space="preserve"> </w:t>
      </w:r>
      <w:r w:rsidR="00B827B6" w:rsidRPr="00933A9F">
        <w:rPr>
          <w:bCs/>
        </w:rPr>
        <w:t>verbally</w:t>
      </w:r>
      <w:r w:rsidR="00933A9F">
        <w:rPr>
          <w:bCs/>
        </w:rPr>
        <w:t xml:space="preserve">, that he was released on 30 June 2009 after having spent </w:t>
      </w:r>
      <w:r w:rsidR="00933A9F" w:rsidRPr="00933A9F">
        <w:rPr>
          <w:bCs/>
        </w:rPr>
        <w:t>40 days</w:t>
      </w:r>
      <w:r w:rsidR="00933A9F">
        <w:rPr>
          <w:bCs/>
        </w:rPr>
        <w:t xml:space="preserve"> in detention, that he was again deta</w:t>
      </w:r>
      <w:r w:rsidR="00BE70B6">
        <w:rPr>
          <w:bCs/>
        </w:rPr>
        <w:t>ined overnight on 6 July 2009</w:t>
      </w:r>
      <w:r w:rsidR="004A2858">
        <w:rPr>
          <w:bCs/>
        </w:rPr>
        <w:t xml:space="preserve"> on the eve of another demonstration, that he was searched for by the security service </w:t>
      </w:r>
      <w:r w:rsidR="001B4A91">
        <w:rPr>
          <w:bCs/>
        </w:rPr>
        <w:t>officers</w:t>
      </w:r>
      <w:r w:rsidR="004A2858">
        <w:rPr>
          <w:bCs/>
        </w:rPr>
        <w:t xml:space="preserve"> at his home on 12 January 2010 and summoned to report himself to the al-Brika Police Centre</w:t>
      </w:r>
      <w:r w:rsidR="00B827B6">
        <w:rPr>
          <w:bCs/>
        </w:rPr>
        <w:t>,</w:t>
      </w:r>
      <w:r w:rsidR="004A2858">
        <w:rPr>
          <w:bCs/>
        </w:rPr>
        <w:t xml:space="preserve"> where he </w:t>
      </w:r>
      <w:r w:rsidR="0057599E">
        <w:rPr>
          <w:bCs/>
        </w:rPr>
        <w:t xml:space="preserve">was </w:t>
      </w:r>
      <w:r w:rsidR="004A2858">
        <w:rPr>
          <w:bCs/>
        </w:rPr>
        <w:t xml:space="preserve">detained for 24 hours and </w:t>
      </w:r>
      <w:r w:rsidR="00933A9F" w:rsidRPr="00933A9F">
        <w:rPr>
          <w:bCs/>
        </w:rPr>
        <w:t>threatened.</w:t>
      </w:r>
    </w:p>
    <w:p w:rsidR="00562736" w:rsidRDefault="004A2858" w:rsidP="00562736">
      <w:pPr>
        <w:pStyle w:val="SingleTxtG"/>
        <w:rPr>
          <w:bCs/>
        </w:rPr>
      </w:pPr>
      <w:r>
        <w:rPr>
          <w:bCs/>
        </w:rPr>
        <w:t>4.5</w:t>
      </w:r>
      <w:r>
        <w:rPr>
          <w:bCs/>
        </w:rPr>
        <w:tab/>
      </w:r>
      <w:r w:rsidR="00562736">
        <w:rPr>
          <w:bCs/>
        </w:rPr>
        <w:t xml:space="preserve">As to the attestation issued </w:t>
      </w:r>
      <w:r w:rsidR="00562736">
        <w:t xml:space="preserve">on 22 January 2011 </w:t>
      </w:r>
      <w:r w:rsidR="00562736">
        <w:rPr>
          <w:bCs/>
        </w:rPr>
        <w:t xml:space="preserve">by the </w:t>
      </w:r>
      <w:r w:rsidR="00562736">
        <w:t xml:space="preserve">Southern Democratic Assembly (see paragraph 2.9 above), the State party submits that it is not decisive, since the attestation does not </w:t>
      </w:r>
      <w:r w:rsidR="00562736">
        <w:rPr>
          <w:bCs/>
        </w:rPr>
        <w:t>contain</w:t>
      </w:r>
      <w:r w:rsidR="00562736" w:rsidRPr="00562736">
        <w:rPr>
          <w:bCs/>
        </w:rPr>
        <w:t xml:space="preserve"> </w:t>
      </w:r>
      <w:r w:rsidR="00562736">
        <w:rPr>
          <w:bCs/>
        </w:rPr>
        <w:t xml:space="preserve">any </w:t>
      </w:r>
      <w:r w:rsidR="00562736" w:rsidRPr="00562736">
        <w:rPr>
          <w:bCs/>
        </w:rPr>
        <w:t xml:space="preserve">indication as to how </w:t>
      </w:r>
      <w:r w:rsidR="00562736">
        <w:rPr>
          <w:bCs/>
        </w:rPr>
        <w:t xml:space="preserve">the </w:t>
      </w:r>
      <w:r w:rsidR="00562736" w:rsidRPr="00562736">
        <w:rPr>
          <w:bCs/>
        </w:rPr>
        <w:t xml:space="preserve">information </w:t>
      </w:r>
      <w:r w:rsidR="00562736">
        <w:rPr>
          <w:bCs/>
        </w:rPr>
        <w:t xml:space="preserve">about the first complainant’s detention </w:t>
      </w:r>
      <w:r w:rsidR="00562736" w:rsidRPr="00562736">
        <w:rPr>
          <w:bCs/>
        </w:rPr>
        <w:t>was obtained and verified</w:t>
      </w:r>
      <w:r w:rsidR="00562736">
        <w:rPr>
          <w:bCs/>
        </w:rPr>
        <w:t xml:space="preserve">. Therefore, it cannot be </w:t>
      </w:r>
      <w:r w:rsidR="00562736" w:rsidRPr="00562736">
        <w:rPr>
          <w:bCs/>
        </w:rPr>
        <w:t>exclude</w:t>
      </w:r>
      <w:r w:rsidR="00562736">
        <w:rPr>
          <w:bCs/>
        </w:rPr>
        <w:t>d</w:t>
      </w:r>
      <w:r w:rsidR="00562736" w:rsidRPr="00562736">
        <w:rPr>
          <w:bCs/>
        </w:rPr>
        <w:t xml:space="preserve"> that </w:t>
      </w:r>
      <w:r w:rsidR="00562736">
        <w:rPr>
          <w:bCs/>
        </w:rPr>
        <w:t xml:space="preserve">this attestation was </w:t>
      </w:r>
      <w:r w:rsidR="00562736" w:rsidRPr="00562736">
        <w:rPr>
          <w:bCs/>
        </w:rPr>
        <w:t xml:space="preserve">written </w:t>
      </w:r>
      <w:r w:rsidR="00007EAA">
        <w:rPr>
          <w:bCs/>
        </w:rPr>
        <w:t xml:space="preserve">solely </w:t>
      </w:r>
      <w:r w:rsidR="00562736" w:rsidRPr="00562736">
        <w:rPr>
          <w:bCs/>
        </w:rPr>
        <w:t xml:space="preserve">on the basis of </w:t>
      </w:r>
      <w:r w:rsidR="00562736">
        <w:rPr>
          <w:bCs/>
        </w:rPr>
        <w:t xml:space="preserve">the first complainant’s </w:t>
      </w:r>
      <w:r w:rsidR="00007EAA">
        <w:rPr>
          <w:bCs/>
        </w:rPr>
        <w:t>statements</w:t>
      </w:r>
      <w:r w:rsidR="00562736" w:rsidRPr="00562736">
        <w:rPr>
          <w:bCs/>
        </w:rPr>
        <w:t>.</w:t>
      </w:r>
    </w:p>
    <w:p w:rsidR="00DC0143" w:rsidRDefault="00007EAA" w:rsidP="00921323">
      <w:pPr>
        <w:pStyle w:val="SingleTxtG"/>
        <w:rPr>
          <w:bCs/>
        </w:rPr>
      </w:pPr>
      <w:r>
        <w:rPr>
          <w:bCs/>
        </w:rPr>
        <w:t>4.6</w:t>
      </w:r>
      <w:r>
        <w:rPr>
          <w:bCs/>
        </w:rPr>
        <w:tab/>
      </w:r>
      <w:r w:rsidR="00DC0143">
        <w:rPr>
          <w:bCs/>
        </w:rPr>
        <w:t xml:space="preserve">The State party further </w:t>
      </w:r>
      <w:r w:rsidR="00921323">
        <w:rPr>
          <w:bCs/>
        </w:rPr>
        <w:t>notes</w:t>
      </w:r>
      <w:r w:rsidR="00DC0143">
        <w:rPr>
          <w:bCs/>
        </w:rPr>
        <w:t xml:space="preserve"> that</w:t>
      </w:r>
      <w:r w:rsidR="003000B4">
        <w:rPr>
          <w:bCs/>
        </w:rPr>
        <w:t>,</w:t>
      </w:r>
      <w:r w:rsidR="00DC0143">
        <w:rPr>
          <w:bCs/>
        </w:rPr>
        <w:t xml:space="preserve"> in order to </w:t>
      </w:r>
      <w:r w:rsidR="00DC0143" w:rsidRPr="00DC0143">
        <w:rPr>
          <w:bCs/>
        </w:rPr>
        <w:t xml:space="preserve">prove his arrest and </w:t>
      </w:r>
      <w:r w:rsidR="00DC0143">
        <w:rPr>
          <w:bCs/>
        </w:rPr>
        <w:t>detention</w:t>
      </w:r>
      <w:r w:rsidR="003000B4">
        <w:rPr>
          <w:bCs/>
        </w:rPr>
        <w:t>,</w:t>
      </w:r>
      <w:r w:rsidR="00DC0143" w:rsidRPr="00DC0143">
        <w:rPr>
          <w:bCs/>
        </w:rPr>
        <w:t xml:space="preserve"> the </w:t>
      </w:r>
      <w:r w:rsidR="00DC0143">
        <w:rPr>
          <w:bCs/>
        </w:rPr>
        <w:t xml:space="preserve">first complainant also provided another attestation issued on </w:t>
      </w:r>
      <w:r w:rsidR="00DC0143" w:rsidRPr="00DC0143">
        <w:rPr>
          <w:bCs/>
        </w:rPr>
        <w:t xml:space="preserve">23 January 2011 </w:t>
      </w:r>
      <w:r w:rsidR="00DC0143">
        <w:rPr>
          <w:bCs/>
        </w:rPr>
        <w:t xml:space="preserve">by the office of the </w:t>
      </w:r>
      <w:r w:rsidR="00DC0143" w:rsidRPr="00DC0143">
        <w:rPr>
          <w:bCs/>
        </w:rPr>
        <w:t xml:space="preserve">former </w:t>
      </w:r>
      <w:r w:rsidR="002669E0">
        <w:t>P</w:t>
      </w:r>
      <w:r w:rsidR="00DC0143">
        <w:t xml:space="preserve">resident of the Democratic Republic of Yemen (see paragraph 2.9 above). According to this attestation, </w:t>
      </w:r>
      <w:r w:rsidR="00DC0143" w:rsidRPr="00DC0143">
        <w:rPr>
          <w:bCs/>
        </w:rPr>
        <w:t xml:space="preserve">the </w:t>
      </w:r>
      <w:r w:rsidR="00DC0143">
        <w:rPr>
          <w:bCs/>
        </w:rPr>
        <w:t xml:space="preserve">first complainant </w:t>
      </w:r>
      <w:r w:rsidR="00DC0143" w:rsidRPr="00DC0143">
        <w:rPr>
          <w:bCs/>
        </w:rPr>
        <w:t>is an active personality in the South</w:t>
      </w:r>
      <w:r w:rsidR="00DC0143">
        <w:rPr>
          <w:bCs/>
        </w:rPr>
        <w:t xml:space="preserve">ern </w:t>
      </w:r>
      <w:r w:rsidR="00DC0143" w:rsidRPr="00DC0143">
        <w:rPr>
          <w:bCs/>
        </w:rPr>
        <w:t>Movement</w:t>
      </w:r>
      <w:r w:rsidR="00921323">
        <w:rPr>
          <w:bCs/>
        </w:rPr>
        <w:t xml:space="preserve"> and </w:t>
      </w:r>
      <w:r w:rsidR="00DC0143" w:rsidRPr="00DC0143">
        <w:rPr>
          <w:bCs/>
        </w:rPr>
        <w:t xml:space="preserve">he was one of those who were </w:t>
      </w:r>
      <w:r w:rsidR="00DC0143">
        <w:rPr>
          <w:bCs/>
        </w:rPr>
        <w:t>“</w:t>
      </w:r>
      <w:r w:rsidR="00DC0143" w:rsidRPr="00DC0143">
        <w:rPr>
          <w:bCs/>
        </w:rPr>
        <w:t xml:space="preserve">expelled from their work and who have </w:t>
      </w:r>
      <w:r w:rsidR="00DC0143">
        <w:rPr>
          <w:bCs/>
        </w:rPr>
        <w:t xml:space="preserve">suffered </w:t>
      </w:r>
      <w:r w:rsidR="00921323">
        <w:rPr>
          <w:bCs/>
        </w:rPr>
        <w:t xml:space="preserve">from </w:t>
      </w:r>
      <w:r w:rsidR="00DC0143">
        <w:rPr>
          <w:bCs/>
        </w:rPr>
        <w:t xml:space="preserve">prejudices and police </w:t>
      </w:r>
      <w:r w:rsidR="00DC0143" w:rsidRPr="00DC0143">
        <w:rPr>
          <w:bCs/>
        </w:rPr>
        <w:t xml:space="preserve">pursuits, as well as </w:t>
      </w:r>
      <w:r w:rsidR="00921323">
        <w:rPr>
          <w:bCs/>
        </w:rPr>
        <w:t xml:space="preserve">from </w:t>
      </w:r>
      <w:r w:rsidR="00DC0143" w:rsidRPr="00DC0143">
        <w:rPr>
          <w:bCs/>
        </w:rPr>
        <w:t xml:space="preserve">detention </w:t>
      </w:r>
      <w:r w:rsidR="00921323">
        <w:rPr>
          <w:bCs/>
        </w:rPr>
        <w:t xml:space="preserve">by the </w:t>
      </w:r>
      <w:r w:rsidR="00DC0143" w:rsidRPr="00DC0143">
        <w:rPr>
          <w:bCs/>
        </w:rPr>
        <w:t>organs of the regime</w:t>
      </w:r>
      <w:r w:rsidR="00921323">
        <w:rPr>
          <w:bCs/>
        </w:rPr>
        <w:t>”</w:t>
      </w:r>
      <w:r w:rsidR="00DC0143" w:rsidRPr="00DC0143">
        <w:rPr>
          <w:bCs/>
        </w:rPr>
        <w:t xml:space="preserve">. </w:t>
      </w:r>
      <w:r w:rsidR="00921323">
        <w:rPr>
          <w:bCs/>
        </w:rPr>
        <w:t>In this regard, the State party submits that</w:t>
      </w:r>
      <w:r w:rsidR="00DF1D34">
        <w:rPr>
          <w:bCs/>
        </w:rPr>
        <w:t>,</w:t>
      </w:r>
      <w:r w:rsidR="00921323">
        <w:rPr>
          <w:bCs/>
        </w:rPr>
        <w:t xml:space="preserve"> similar to the attestation issued by the </w:t>
      </w:r>
      <w:r w:rsidR="00921323">
        <w:t xml:space="preserve">Southern Democratic Assembly, this document is also </w:t>
      </w:r>
      <w:r w:rsidR="00DC0143" w:rsidRPr="00DC0143">
        <w:rPr>
          <w:bCs/>
        </w:rPr>
        <w:t xml:space="preserve">written in general terms and </w:t>
      </w:r>
      <w:r w:rsidR="00921323">
        <w:rPr>
          <w:bCs/>
        </w:rPr>
        <w:t xml:space="preserve">it </w:t>
      </w:r>
      <w:r w:rsidR="00DC0143" w:rsidRPr="00DC0143">
        <w:rPr>
          <w:bCs/>
        </w:rPr>
        <w:t xml:space="preserve">does not indicate </w:t>
      </w:r>
      <w:r w:rsidR="00921323">
        <w:rPr>
          <w:bCs/>
        </w:rPr>
        <w:t xml:space="preserve">the </w:t>
      </w:r>
      <w:r w:rsidR="00DC0143" w:rsidRPr="00DC0143">
        <w:rPr>
          <w:bCs/>
        </w:rPr>
        <w:t>source</w:t>
      </w:r>
      <w:r w:rsidR="00921323">
        <w:rPr>
          <w:bCs/>
        </w:rPr>
        <w:t xml:space="preserve"> of the information. Therefore, the attestation </w:t>
      </w:r>
      <w:r w:rsidR="00DC0143" w:rsidRPr="00DC0143">
        <w:rPr>
          <w:bCs/>
        </w:rPr>
        <w:t>cannot be considered as evidence</w:t>
      </w:r>
      <w:r w:rsidR="00CF351C">
        <w:rPr>
          <w:bCs/>
        </w:rPr>
        <w:t xml:space="preserve"> of such a probative value that it would overturn the conclusion that has been </w:t>
      </w:r>
      <w:r w:rsidR="00CF351C">
        <w:rPr>
          <w:bCs/>
        </w:rPr>
        <w:lastRenderedPageBreak/>
        <w:t xml:space="preserve">reached by the State party’s </w:t>
      </w:r>
      <w:r w:rsidR="00CD7FAD">
        <w:rPr>
          <w:bCs/>
        </w:rPr>
        <w:t xml:space="preserve">asylum </w:t>
      </w:r>
      <w:r w:rsidR="00CF351C">
        <w:rPr>
          <w:bCs/>
        </w:rPr>
        <w:t xml:space="preserve">authorities on the basis of the first complainant’s own statements. </w:t>
      </w:r>
    </w:p>
    <w:p w:rsidR="009E5808" w:rsidRDefault="00CF351C" w:rsidP="009E5808">
      <w:pPr>
        <w:pStyle w:val="SingleTxtG"/>
        <w:rPr>
          <w:bCs/>
        </w:rPr>
      </w:pPr>
      <w:r>
        <w:rPr>
          <w:bCs/>
        </w:rPr>
        <w:t>4.7</w:t>
      </w:r>
      <w:r>
        <w:rPr>
          <w:bCs/>
        </w:rPr>
        <w:tab/>
      </w:r>
      <w:r w:rsidR="009E5808">
        <w:rPr>
          <w:bCs/>
        </w:rPr>
        <w:t xml:space="preserve">As to the attestation issued on 19 January 2011 by al-Mansoura prison authorities (see paragraph 2.9 above), the State party submits that, independently </w:t>
      </w:r>
      <w:r w:rsidR="009E5808" w:rsidRPr="009E5808">
        <w:rPr>
          <w:bCs/>
        </w:rPr>
        <w:t xml:space="preserve">of the </w:t>
      </w:r>
      <w:r w:rsidR="00D416F6">
        <w:rPr>
          <w:bCs/>
        </w:rPr>
        <w:t xml:space="preserve">question </w:t>
      </w:r>
      <w:r w:rsidR="009E5808" w:rsidRPr="009E5808">
        <w:rPr>
          <w:bCs/>
        </w:rPr>
        <w:t>of the authenticity of this documen</w:t>
      </w:r>
      <w:r w:rsidR="00D416F6">
        <w:rPr>
          <w:bCs/>
        </w:rPr>
        <w:t xml:space="preserve">t, it demonstrates that the first complainant has </w:t>
      </w:r>
      <w:r w:rsidR="00B460B3">
        <w:rPr>
          <w:bCs/>
        </w:rPr>
        <w:t>indeed</w:t>
      </w:r>
      <w:r w:rsidR="00D416F6">
        <w:rPr>
          <w:bCs/>
        </w:rPr>
        <w:t xml:space="preserve"> been detained </w:t>
      </w:r>
      <w:r w:rsidR="00C82976">
        <w:rPr>
          <w:bCs/>
        </w:rPr>
        <w:t xml:space="preserve">but does not necessarily </w:t>
      </w:r>
      <w:r w:rsidR="00B460B3">
        <w:rPr>
          <w:bCs/>
        </w:rPr>
        <w:t xml:space="preserve">support the alleged reasons for his detention put forward by the first complainant. According to the translation provided, he was detained </w:t>
      </w:r>
      <w:r w:rsidR="009E5808" w:rsidRPr="009E5808">
        <w:rPr>
          <w:bCs/>
        </w:rPr>
        <w:t xml:space="preserve">because of criminal proceedings. </w:t>
      </w:r>
      <w:r w:rsidR="00B460B3">
        <w:rPr>
          <w:bCs/>
        </w:rPr>
        <w:t xml:space="preserve">The State party argues that this attestation </w:t>
      </w:r>
      <w:r w:rsidR="009E5808" w:rsidRPr="009E5808">
        <w:rPr>
          <w:bCs/>
        </w:rPr>
        <w:t xml:space="preserve">is not decisive. The fact that, according to </w:t>
      </w:r>
      <w:r w:rsidR="00B827B6">
        <w:rPr>
          <w:bCs/>
        </w:rPr>
        <w:t>the</w:t>
      </w:r>
      <w:r w:rsidR="00B827B6" w:rsidRPr="009E5808">
        <w:rPr>
          <w:bCs/>
        </w:rPr>
        <w:t xml:space="preserve"> </w:t>
      </w:r>
      <w:r w:rsidR="00B460B3">
        <w:rPr>
          <w:bCs/>
        </w:rPr>
        <w:t>attestation</w:t>
      </w:r>
      <w:r w:rsidR="009E5808" w:rsidRPr="009E5808">
        <w:rPr>
          <w:bCs/>
        </w:rPr>
        <w:t xml:space="preserve">, the </w:t>
      </w:r>
      <w:r w:rsidR="00B460B3">
        <w:rPr>
          <w:bCs/>
        </w:rPr>
        <w:t xml:space="preserve">first day of the detention </w:t>
      </w:r>
      <w:r w:rsidR="009E5808" w:rsidRPr="009E5808">
        <w:rPr>
          <w:bCs/>
        </w:rPr>
        <w:t>coincide</w:t>
      </w:r>
      <w:r w:rsidR="00297B60">
        <w:rPr>
          <w:bCs/>
        </w:rPr>
        <w:t>d</w:t>
      </w:r>
      <w:r w:rsidR="009E5808" w:rsidRPr="009E5808">
        <w:rPr>
          <w:bCs/>
        </w:rPr>
        <w:t xml:space="preserve"> with a time when, according to various sources</w:t>
      </w:r>
      <w:r w:rsidR="00297B60">
        <w:rPr>
          <w:bCs/>
        </w:rPr>
        <w:t xml:space="preserve">, a </w:t>
      </w:r>
      <w:r w:rsidR="00F14C3C">
        <w:rPr>
          <w:bCs/>
        </w:rPr>
        <w:t>demonst</w:t>
      </w:r>
      <w:r w:rsidR="00CD7FAD">
        <w:rPr>
          <w:bCs/>
        </w:rPr>
        <w:t>r</w:t>
      </w:r>
      <w:r w:rsidR="00F14C3C">
        <w:rPr>
          <w:bCs/>
        </w:rPr>
        <w:t>ation</w:t>
      </w:r>
      <w:r w:rsidR="00297B60">
        <w:rPr>
          <w:bCs/>
        </w:rPr>
        <w:t xml:space="preserve"> </w:t>
      </w:r>
      <w:r w:rsidR="009E5808" w:rsidRPr="009E5808">
        <w:rPr>
          <w:bCs/>
        </w:rPr>
        <w:t xml:space="preserve">took place at </w:t>
      </w:r>
      <w:smartTag w:uri="urn:schemas-microsoft-com:office:smarttags" w:element="City">
        <w:smartTag w:uri="urn:schemas-microsoft-com:office:smarttags" w:element="place">
          <w:r w:rsidR="009E5808" w:rsidRPr="009E5808">
            <w:rPr>
              <w:bCs/>
            </w:rPr>
            <w:t>Aden</w:t>
          </w:r>
        </w:smartTag>
      </w:smartTag>
      <w:r w:rsidR="009E5808" w:rsidRPr="009E5808">
        <w:rPr>
          <w:bCs/>
        </w:rPr>
        <w:t xml:space="preserve"> </w:t>
      </w:r>
      <w:r w:rsidR="00297B60">
        <w:rPr>
          <w:bCs/>
        </w:rPr>
        <w:t>i</w:t>
      </w:r>
      <w:r w:rsidR="00E52709">
        <w:rPr>
          <w:bCs/>
        </w:rPr>
        <w:t>s</w:t>
      </w:r>
      <w:r w:rsidR="00297B60">
        <w:rPr>
          <w:bCs/>
        </w:rPr>
        <w:t xml:space="preserve"> in</w:t>
      </w:r>
      <w:r w:rsidR="009E5808" w:rsidRPr="009E5808">
        <w:rPr>
          <w:bCs/>
        </w:rPr>
        <w:t xml:space="preserve">sufficient to </w:t>
      </w:r>
      <w:r w:rsidR="00CD7FAD">
        <w:rPr>
          <w:bCs/>
        </w:rPr>
        <w:t>prove</w:t>
      </w:r>
      <w:r w:rsidR="009E5808" w:rsidRPr="009E5808">
        <w:rPr>
          <w:bCs/>
        </w:rPr>
        <w:t xml:space="preserve"> the veracity of the </w:t>
      </w:r>
      <w:r w:rsidR="00297B60">
        <w:rPr>
          <w:bCs/>
        </w:rPr>
        <w:t xml:space="preserve">first complainant’s </w:t>
      </w:r>
      <w:r w:rsidR="009E5808" w:rsidRPr="009E5808">
        <w:rPr>
          <w:bCs/>
        </w:rPr>
        <w:t>assertions about the reasons for his alleged detention.</w:t>
      </w:r>
    </w:p>
    <w:p w:rsidR="006B210A" w:rsidRDefault="00FE14F7" w:rsidP="006B210A">
      <w:pPr>
        <w:pStyle w:val="SingleTxtG"/>
        <w:rPr>
          <w:bCs/>
        </w:rPr>
      </w:pPr>
      <w:r>
        <w:rPr>
          <w:bCs/>
        </w:rPr>
        <w:t>4.8</w:t>
      </w:r>
      <w:r>
        <w:rPr>
          <w:bCs/>
        </w:rPr>
        <w:tab/>
        <w:t xml:space="preserve">The State party concludes that </w:t>
      </w:r>
      <w:r w:rsidR="006B210A">
        <w:rPr>
          <w:bCs/>
        </w:rPr>
        <w:t>t</w:t>
      </w:r>
      <w:r w:rsidR="006B210A" w:rsidRPr="006B210A">
        <w:rPr>
          <w:bCs/>
        </w:rPr>
        <w:t xml:space="preserve">he evidence submitted </w:t>
      </w:r>
      <w:r w:rsidR="006B210A">
        <w:rPr>
          <w:bCs/>
        </w:rPr>
        <w:t xml:space="preserve">by the first complainant </w:t>
      </w:r>
      <w:r w:rsidR="006B210A" w:rsidRPr="006B210A">
        <w:rPr>
          <w:bCs/>
        </w:rPr>
        <w:t xml:space="preserve">is not decisive, because </w:t>
      </w:r>
      <w:r w:rsidR="006B210A">
        <w:rPr>
          <w:bCs/>
        </w:rPr>
        <w:t xml:space="preserve">it </w:t>
      </w:r>
      <w:r w:rsidR="006B210A" w:rsidRPr="006B210A">
        <w:rPr>
          <w:bCs/>
        </w:rPr>
        <w:t>do</w:t>
      </w:r>
      <w:r w:rsidR="006B210A">
        <w:rPr>
          <w:bCs/>
        </w:rPr>
        <w:t>es</w:t>
      </w:r>
      <w:r w:rsidR="006B210A" w:rsidRPr="006B210A">
        <w:rPr>
          <w:bCs/>
        </w:rPr>
        <w:t xml:space="preserve"> not have sufficient probative value to outweigh the</w:t>
      </w:r>
      <w:r w:rsidR="003B7987">
        <w:rPr>
          <w:bCs/>
        </w:rPr>
        <w:t xml:space="preserve"> elements of</w:t>
      </w:r>
      <w:r w:rsidR="006B210A" w:rsidRPr="006B210A">
        <w:rPr>
          <w:bCs/>
        </w:rPr>
        <w:t xml:space="preserve"> improbability identified in the context of</w:t>
      </w:r>
      <w:r w:rsidR="003B7987">
        <w:rPr>
          <w:bCs/>
        </w:rPr>
        <w:t xml:space="preserve"> the</w:t>
      </w:r>
      <w:r w:rsidR="006B210A" w:rsidRPr="006B210A">
        <w:rPr>
          <w:bCs/>
        </w:rPr>
        <w:t xml:space="preserve"> domestic proceedings. For the same reasons, </w:t>
      </w:r>
      <w:r w:rsidR="003B7987">
        <w:rPr>
          <w:bCs/>
        </w:rPr>
        <w:t xml:space="preserve">the first complainant </w:t>
      </w:r>
      <w:r w:rsidR="006B210A">
        <w:rPr>
          <w:bCs/>
        </w:rPr>
        <w:t>is un</w:t>
      </w:r>
      <w:r w:rsidR="006B210A" w:rsidRPr="006B210A">
        <w:rPr>
          <w:bCs/>
        </w:rPr>
        <w:t xml:space="preserve">able to demonstrate that </w:t>
      </w:r>
      <w:r w:rsidR="006B210A">
        <w:rPr>
          <w:bCs/>
        </w:rPr>
        <w:t xml:space="preserve">he </w:t>
      </w:r>
      <w:r w:rsidR="006B210A" w:rsidRPr="006B210A">
        <w:rPr>
          <w:bCs/>
        </w:rPr>
        <w:t xml:space="preserve">would be personally at concrete and serious risk of </w:t>
      </w:r>
      <w:r w:rsidR="00D63890">
        <w:rPr>
          <w:bCs/>
        </w:rPr>
        <w:t xml:space="preserve">being subject to acts </w:t>
      </w:r>
      <w:r w:rsidR="006B210A" w:rsidRPr="006B210A">
        <w:rPr>
          <w:bCs/>
        </w:rPr>
        <w:t xml:space="preserve">prohibited </w:t>
      </w:r>
      <w:r w:rsidR="005C7C20">
        <w:rPr>
          <w:bCs/>
        </w:rPr>
        <w:t>under the C</w:t>
      </w:r>
      <w:r w:rsidR="00D63890">
        <w:rPr>
          <w:bCs/>
        </w:rPr>
        <w:t xml:space="preserve">onvention </w:t>
      </w:r>
      <w:r w:rsidR="006B210A" w:rsidRPr="006B210A">
        <w:rPr>
          <w:bCs/>
        </w:rPr>
        <w:t xml:space="preserve">if returned to </w:t>
      </w:r>
      <w:r w:rsidR="006B210A">
        <w:rPr>
          <w:bCs/>
        </w:rPr>
        <w:t xml:space="preserve">his </w:t>
      </w:r>
      <w:r w:rsidR="006B210A" w:rsidRPr="006B210A">
        <w:rPr>
          <w:bCs/>
        </w:rPr>
        <w:t>country of origin.</w:t>
      </w:r>
    </w:p>
    <w:p w:rsidR="00B534B0" w:rsidRDefault="005915D3" w:rsidP="00B534B0">
      <w:pPr>
        <w:pStyle w:val="SingleTxtG"/>
      </w:pPr>
      <w:r>
        <w:rPr>
          <w:bCs/>
        </w:rPr>
        <w:t>4.9</w:t>
      </w:r>
      <w:r>
        <w:rPr>
          <w:bCs/>
        </w:rPr>
        <w:tab/>
        <w:t xml:space="preserve">The State party </w:t>
      </w:r>
      <w:r w:rsidRPr="00D01B9B">
        <w:t xml:space="preserve">further argues, with reference to the Committee’s </w:t>
      </w:r>
      <w:r w:rsidR="003B7987">
        <w:t>G</w:t>
      </w:r>
      <w:r w:rsidRPr="00D01B9B">
        <w:t xml:space="preserve">eneral </w:t>
      </w:r>
      <w:r w:rsidR="003B7987">
        <w:t>C</w:t>
      </w:r>
      <w:r w:rsidRPr="00D01B9B">
        <w:t xml:space="preserve">omment No. 1 </w:t>
      </w:r>
      <w:r>
        <w:t>(para. 8 (e))</w:t>
      </w:r>
      <w:r w:rsidRPr="00D01B9B">
        <w:t xml:space="preserve">, that another element to be taken into account when assessing the </w:t>
      </w:r>
      <w:r>
        <w:t xml:space="preserve">first </w:t>
      </w:r>
      <w:r w:rsidRPr="00D01B9B">
        <w:t xml:space="preserve">complainant’s risk of being subjected to torture if returned to </w:t>
      </w:r>
      <w:r>
        <w:t>his</w:t>
      </w:r>
      <w:r w:rsidRPr="00D01B9B">
        <w:t xml:space="preserve"> country of origin is whether he has engaged in political activities in </w:t>
      </w:r>
      <w:r>
        <w:t>Yemen</w:t>
      </w:r>
      <w:r w:rsidRPr="00D01B9B">
        <w:t xml:space="preserve">. The State party notes in this regard that </w:t>
      </w:r>
      <w:r>
        <w:t xml:space="preserve">during his asylum interviews </w:t>
      </w:r>
      <w:r w:rsidRPr="00D01B9B">
        <w:t xml:space="preserve">the </w:t>
      </w:r>
      <w:r>
        <w:t xml:space="preserve">first </w:t>
      </w:r>
      <w:r w:rsidRPr="00D01B9B">
        <w:t>complainant</w:t>
      </w:r>
      <w:r w:rsidR="008879E9">
        <w:t xml:space="preserve"> </w:t>
      </w:r>
      <w:r w:rsidR="008879E9" w:rsidRPr="008879E9">
        <w:t xml:space="preserve">stated that he had been a member of the Yemeni Socialist Party before the unification of </w:t>
      </w:r>
      <w:smartTag w:uri="urn:schemas-microsoft-com:office:smarttags" w:element="place">
        <w:smartTag w:uri="urn:schemas-microsoft-com:office:smarttags" w:element="country-region">
          <w:r w:rsidR="008879E9" w:rsidRPr="008879E9">
            <w:t>Yemen</w:t>
          </w:r>
        </w:smartTag>
      </w:smartTag>
      <w:r w:rsidR="002669E0">
        <w:t xml:space="preserve"> in 1990</w:t>
      </w:r>
      <w:r w:rsidR="008879E9" w:rsidRPr="008879E9">
        <w:t xml:space="preserve">. The </w:t>
      </w:r>
      <w:r w:rsidR="008879E9">
        <w:t>first complainant clearly stated</w:t>
      </w:r>
      <w:r w:rsidR="008879E9" w:rsidRPr="008879E9">
        <w:t xml:space="preserve"> that he </w:t>
      </w:r>
      <w:r w:rsidR="005C7C20">
        <w:t>became</w:t>
      </w:r>
      <w:r w:rsidR="008879E9" w:rsidRPr="008879E9">
        <w:t xml:space="preserve"> a member </w:t>
      </w:r>
      <w:r w:rsidR="005C7C20">
        <w:t xml:space="preserve">in order </w:t>
      </w:r>
      <w:r w:rsidR="008879E9" w:rsidRPr="008879E9">
        <w:t xml:space="preserve">to </w:t>
      </w:r>
      <w:r w:rsidR="005C7C20">
        <w:t>benefit from</w:t>
      </w:r>
      <w:r w:rsidR="008879E9" w:rsidRPr="008879E9">
        <w:t xml:space="preserve"> certain privileges</w:t>
      </w:r>
      <w:r w:rsidR="005C7C20">
        <w:t xml:space="preserve"> that a membership in the </w:t>
      </w:r>
      <w:r w:rsidR="005C7C20" w:rsidRPr="008879E9">
        <w:t>Yemeni Socialist Party</w:t>
      </w:r>
      <w:r w:rsidR="005C7C20">
        <w:t xml:space="preserve"> entailed. </w:t>
      </w:r>
      <w:r w:rsidR="008879E9" w:rsidRPr="008879E9">
        <w:t xml:space="preserve">In addition, the situation before the unification </w:t>
      </w:r>
      <w:r w:rsidR="008879E9">
        <w:t>was</w:t>
      </w:r>
      <w:r w:rsidR="008879E9" w:rsidRPr="008879E9">
        <w:t xml:space="preserve"> not, according to the </w:t>
      </w:r>
      <w:r w:rsidR="008879E9">
        <w:t>first complainant</w:t>
      </w:r>
      <w:r w:rsidR="008879E9" w:rsidRPr="008879E9">
        <w:t>, the source of his asylum application</w:t>
      </w:r>
      <w:r w:rsidR="008879E9">
        <w:t>.</w:t>
      </w:r>
      <w:r w:rsidR="00CE69CB">
        <w:t xml:space="preserve"> </w:t>
      </w:r>
      <w:r w:rsidR="00B534B0">
        <w:t xml:space="preserve">As to the </w:t>
      </w:r>
      <w:r w:rsidR="00B534B0" w:rsidRPr="00B534B0">
        <w:t xml:space="preserve">situation after unification, the </w:t>
      </w:r>
      <w:r w:rsidR="00B534B0">
        <w:t xml:space="preserve">first complainant </w:t>
      </w:r>
      <w:r w:rsidR="00B534B0" w:rsidRPr="00B534B0">
        <w:t>admitted that he was n</w:t>
      </w:r>
      <w:r w:rsidR="00B534B0">
        <w:t xml:space="preserve">either </w:t>
      </w:r>
      <w:r w:rsidR="00B534B0" w:rsidRPr="00B534B0">
        <w:t xml:space="preserve">a member of any political party </w:t>
      </w:r>
      <w:r w:rsidR="00B534B0">
        <w:t>n</w:t>
      </w:r>
      <w:r w:rsidR="00B534B0" w:rsidRPr="00B534B0">
        <w:t>or politically active</w:t>
      </w:r>
      <w:r w:rsidR="00B534B0">
        <w:t>. The State party adds that h</w:t>
      </w:r>
      <w:r w:rsidR="00B534B0" w:rsidRPr="00B534B0">
        <w:t xml:space="preserve">is only political activity seems to have been his participation in the </w:t>
      </w:r>
      <w:r w:rsidR="00F14C3C">
        <w:t>demonstration</w:t>
      </w:r>
      <w:r w:rsidR="00B534B0">
        <w:t xml:space="preserve"> on 21 </w:t>
      </w:r>
      <w:r w:rsidR="00B534B0" w:rsidRPr="00B534B0">
        <w:t xml:space="preserve">May 2009, which is confirmed by the fact that </w:t>
      </w:r>
      <w:r w:rsidR="00B534B0">
        <w:t xml:space="preserve">he </w:t>
      </w:r>
      <w:r w:rsidR="00B534B0" w:rsidRPr="00B534B0">
        <w:t xml:space="preserve">could not mention any </w:t>
      </w:r>
      <w:r w:rsidR="00B534B0">
        <w:t xml:space="preserve">other </w:t>
      </w:r>
      <w:r w:rsidR="00F14C3C">
        <w:t>demonstrations</w:t>
      </w:r>
      <w:r w:rsidR="00B534B0">
        <w:t xml:space="preserve"> that took place </w:t>
      </w:r>
      <w:r w:rsidR="00B534B0" w:rsidRPr="00B534B0">
        <w:t xml:space="preserve">between his release and </w:t>
      </w:r>
      <w:r w:rsidR="00B534B0">
        <w:t xml:space="preserve">his </w:t>
      </w:r>
      <w:r w:rsidR="00B534B0" w:rsidRPr="00B534B0">
        <w:t>departure from the country.</w:t>
      </w:r>
    </w:p>
    <w:p w:rsidR="007159B8" w:rsidRDefault="00CB7907" w:rsidP="00B534B0">
      <w:pPr>
        <w:pStyle w:val="SingleTxtG"/>
      </w:pPr>
      <w:r>
        <w:t>4.10</w:t>
      </w:r>
      <w:r>
        <w:tab/>
      </w:r>
      <w:r w:rsidR="00612D5F">
        <w:t>The State party adds that d</w:t>
      </w:r>
      <w:r w:rsidR="00612D5F" w:rsidRPr="00612D5F">
        <w:t xml:space="preserve">uring the proceedings before the </w:t>
      </w:r>
      <w:r w:rsidR="00612D5F">
        <w:t>Federal Office for Migration</w:t>
      </w:r>
      <w:r w:rsidR="00612D5F" w:rsidRPr="00612D5F">
        <w:t xml:space="preserve">, the </w:t>
      </w:r>
      <w:r w:rsidR="00612D5F">
        <w:t>first complain</w:t>
      </w:r>
      <w:r w:rsidR="006A459F">
        <w:t>an</w:t>
      </w:r>
      <w:r w:rsidR="00612D5F">
        <w:t xml:space="preserve">t </w:t>
      </w:r>
      <w:r w:rsidR="00612D5F" w:rsidRPr="00612D5F">
        <w:t xml:space="preserve">has </w:t>
      </w:r>
      <w:r w:rsidR="00612D5F">
        <w:t xml:space="preserve">provided </w:t>
      </w:r>
      <w:r w:rsidR="00612D5F" w:rsidRPr="00612D5F">
        <w:t>a</w:t>
      </w:r>
      <w:r w:rsidR="00612D5F">
        <w:t xml:space="preserve">n attestation issued on </w:t>
      </w:r>
      <w:r w:rsidR="00612D5F" w:rsidRPr="00612D5F">
        <w:t>19 April 2010</w:t>
      </w:r>
      <w:r w:rsidR="00612D5F">
        <w:t xml:space="preserve"> by the </w:t>
      </w:r>
      <w:r w:rsidR="002C1ECF">
        <w:t xml:space="preserve">Southern Democratic Assembly in the </w:t>
      </w:r>
      <w:smartTag w:uri="urn:schemas-microsoft-com:office:smarttags" w:element="place">
        <w:smartTag w:uri="urn:schemas-microsoft-com:office:smarttags" w:element="country-region">
          <w:r w:rsidR="002C1ECF">
            <w:t>United Kingdom</w:t>
          </w:r>
        </w:smartTag>
      </w:smartTag>
      <w:r w:rsidR="00612D5F" w:rsidRPr="00612D5F">
        <w:t xml:space="preserve">. The author of this </w:t>
      </w:r>
      <w:r w:rsidR="007322DF">
        <w:t>attestation</w:t>
      </w:r>
      <w:r w:rsidR="00A365F6">
        <w:t>, A.N.,</w:t>
      </w:r>
      <w:r w:rsidR="007322DF">
        <w:t xml:space="preserve"> states that the first complainant is </w:t>
      </w:r>
      <w:r w:rsidR="00612D5F" w:rsidRPr="00612D5F">
        <w:t xml:space="preserve">a </w:t>
      </w:r>
      <w:r w:rsidR="007322DF">
        <w:t xml:space="preserve">national </w:t>
      </w:r>
      <w:r w:rsidR="00612D5F" w:rsidRPr="00612D5F">
        <w:t xml:space="preserve">of </w:t>
      </w:r>
      <w:smartTag w:uri="urn:schemas-microsoft-com:office:smarttags" w:element="place">
        <w:r w:rsidR="00612D5F" w:rsidRPr="00612D5F">
          <w:t>South Yemen</w:t>
        </w:r>
      </w:smartTag>
      <w:r w:rsidR="007322DF">
        <w:t xml:space="preserve"> who is </w:t>
      </w:r>
      <w:r w:rsidR="00612D5F" w:rsidRPr="00612D5F">
        <w:t>involved in the activities of the South</w:t>
      </w:r>
      <w:r w:rsidR="007322DF">
        <w:t xml:space="preserve">ern </w:t>
      </w:r>
      <w:r w:rsidR="00612D5F" w:rsidRPr="00612D5F">
        <w:t>Movement</w:t>
      </w:r>
      <w:r w:rsidR="007322DF">
        <w:t xml:space="preserve"> and who </w:t>
      </w:r>
      <w:r w:rsidR="00612D5F" w:rsidRPr="00612D5F">
        <w:t>was subjected to persecution, detention and torture</w:t>
      </w:r>
      <w:r w:rsidR="007322DF">
        <w:t xml:space="preserve">. </w:t>
      </w:r>
      <w:r w:rsidR="00A365F6">
        <w:t xml:space="preserve">A.N. </w:t>
      </w:r>
      <w:r w:rsidR="00612D5F" w:rsidRPr="00612D5F">
        <w:t xml:space="preserve">also describes the political situation in </w:t>
      </w:r>
      <w:smartTag w:uri="urn:schemas-microsoft-com:office:smarttags" w:element="place">
        <w:smartTag w:uri="urn:schemas-microsoft-com:office:smarttags" w:element="country-region">
          <w:r w:rsidR="00612D5F" w:rsidRPr="00612D5F">
            <w:t>Yemen</w:t>
          </w:r>
        </w:smartTag>
      </w:smartTag>
      <w:r w:rsidR="00612D5F" w:rsidRPr="00612D5F">
        <w:t xml:space="preserve"> over the past two years. </w:t>
      </w:r>
      <w:r w:rsidR="007322DF">
        <w:t xml:space="preserve">The State party’s </w:t>
      </w:r>
      <w:r w:rsidR="00612D5F" w:rsidRPr="00612D5F">
        <w:t xml:space="preserve">authorities have considered this </w:t>
      </w:r>
      <w:r w:rsidR="007322DF">
        <w:t xml:space="preserve">attestation </w:t>
      </w:r>
      <w:r w:rsidR="00612D5F" w:rsidRPr="00612D5F">
        <w:t xml:space="preserve">as a </w:t>
      </w:r>
      <w:r w:rsidR="007322DF">
        <w:t>“</w:t>
      </w:r>
      <w:r w:rsidR="008930B8">
        <w:t>complaisance</w:t>
      </w:r>
      <w:r w:rsidR="007322DF">
        <w:t xml:space="preserve">” </w:t>
      </w:r>
      <w:r w:rsidR="00612D5F" w:rsidRPr="00612D5F">
        <w:t xml:space="preserve">document without any probative value, given that it contained only general </w:t>
      </w:r>
      <w:r w:rsidR="007159B8">
        <w:t xml:space="preserve">information and did not correspond to the first complainant’s own statements as to his involvement in the activities of the Southern Movement. </w:t>
      </w:r>
    </w:p>
    <w:p w:rsidR="00A365F6" w:rsidRDefault="00560994" w:rsidP="008879E9">
      <w:pPr>
        <w:pStyle w:val="SingleTxtG"/>
      </w:pPr>
      <w:r>
        <w:t>4.11</w:t>
      </w:r>
      <w:r>
        <w:tab/>
      </w:r>
      <w:r w:rsidR="00827152">
        <w:t xml:space="preserve">According to the attestation issued on 22 January 2011 and provided by the first complainant to the Federal Administrative </w:t>
      </w:r>
      <w:r w:rsidR="00DC21AD">
        <w:t>Court</w:t>
      </w:r>
      <w:r w:rsidR="00827152">
        <w:t xml:space="preserve">, A.N. </w:t>
      </w:r>
      <w:r w:rsidR="006A459F">
        <w:t>states</w:t>
      </w:r>
      <w:r w:rsidR="00A365F6" w:rsidRPr="00A365F6">
        <w:t xml:space="preserve"> that </w:t>
      </w:r>
      <w:r w:rsidR="00791A2F">
        <w:t xml:space="preserve">his </w:t>
      </w:r>
      <w:r w:rsidR="00A365F6" w:rsidRPr="00A365F6">
        <w:t xml:space="preserve">own sources in Yemen have confirmed that the </w:t>
      </w:r>
      <w:r w:rsidR="00791A2F">
        <w:t xml:space="preserve">first complainant </w:t>
      </w:r>
      <w:r w:rsidR="00A365F6" w:rsidRPr="00A365F6">
        <w:t xml:space="preserve">was actively involved in the </w:t>
      </w:r>
      <w:r w:rsidR="00791A2F">
        <w:t xml:space="preserve">Southern </w:t>
      </w:r>
      <w:r w:rsidR="00A365F6" w:rsidRPr="00A365F6">
        <w:t xml:space="preserve">Movement and </w:t>
      </w:r>
      <w:r w:rsidR="00791A2F">
        <w:t xml:space="preserve">that </w:t>
      </w:r>
      <w:r w:rsidR="00A365F6" w:rsidRPr="00A365F6">
        <w:t>he was arrested and detained from 21 May</w:t>
      </w:r>
      <w:r w:rsidR="00AE35B2">
        <w:t xml:space="preserve"> 2009</w:t>
      </w:r>
      <w:r w:rsidR="00A365F6" w:rsidRPr="00A365F6">
        <w:t xml:space="preserve"> to 30 June 2009 due to his participation in a demonstration in Aden. In view of the arguments advanced by the </w:t>
      </w:r>
      <w:r w:rsidR="00791A2F">
        <w:t xml:space="preserve">State party’s asylum authorities with regard to the attestation issued by the Southern Democratic Assembly on 19 </w:t>
      </w:r>
      <w:r w:rsidR="00A365F6" w:rsidRPr="00A365F6">
        <w:t>April 2010</w:t>
      </w:r>
      <w:r w:rsidR="003415C2">
        <w:t>, which</w:t>
      </w:r>
      <w:r w:rsidR="00791A2F">
        <w:t xml:space="preserve"> led them </w:t>
      </w:r>
      <w:r w:rsidR="00A365F6" w:rsidRPr="00A365F6">
        <w:t xml:space="preserve">to conclude </w:t>
      </w:r>
      <w:r w:rsidR="00791A2F">
        <w:t xml:space="preserve">that </w:t>
      </w:r>
      <w:r w:rsidR="00A365F6" w:rsidRPr="00A365F6">
        <w:t>the facts alleged</w:t>
      </w:r>
      <w:r w:rsidR="00791A2F">
        <w:t xml:space="preserve"> by the first complainant were implausible, the State party submits that </w:t>
      </w:r>
      <w:r w:rsidR="00A365F6" w:rsidRPr="00A365F6">
        <w:t xml:space="preserve">the new </w:t>
      </w:r>
      <w:r w:rsidR="00791A2F">
        <w:t xml:space="preserve">attestation should also be </w:t>
      </w:r>
      <w:r w:rsidR="00A365F6" w:rsidRPr="00A365F6">
        <w:t>considered a</w:t>
      </w:r>
      <w:r w:rsidR="00791A2F">
        <w:t xml:space="preserve">s </w:t>
      </w:r>
      <w:r w:rsidR="008930B8">
        <w:t>written by complaisance</w:t>
      </w:r>
      <w:r w:rsidR="00791A2F">
        <w:t xml:space="preserve">, </w:t>
      </w:r>
      <w:r w:rsidR="00A365F6" w:rsidRPr="00A365F6">
        <w:t>because it reiterates</w:t>
      </w:r>
      <w:r w:rsidR="00791A2F">
        <w:t xml:space="preserve"> the earlier allegation that the first complainant was involved </w:t>
      </w:r>
      <w:r w:rsidR="00A365F6" w:rsidRPr="00A365F6">
        <w:t xml:space="preserve">in the activities of the </w:t>
      </w:r>
      <w:r w:rsidR="00791A2F">
        <w:t xml:space="preserve">Southern </w:t>
      </w:r>
      <w:r w:rsidR="00A365F6" w:rsidRPr="00A365F6">
        <w:lastRenderedPageBreak/>
        <w:t>Movement</w:t>
      </w:r>
      <w:r w:rsidR="00791A2F">
        <w:t xml:space="preserve">. The first complainant </w:t>
      </w:r>
      <w:r w:rsidR="00F23E16">
        <w:t xml:space="preserve">has </w:t>
      </w:r>
      <w:r w:rsidR="00791A2F">
        <w:t xml:space="preserve">stated, however, that </w:t>
      </w:r>
      <w:r w:rsidR="006A459F">
        <w:t xml:space="preserve">he </w:t>
      </w:r>
      <w:r w:rsidR="00791A2F">
        <w:t>ha</w:t>
      </w:r>
      <w:r w:rsidR="00FF36A2">
        <w:t>d</w:t>
      </w:r>
      <w:r w:rsidR="00791A2F">
        <w:t xml:space="preserve"> not actively </w:t>
      </w:r>
      <w:r w:rsidR="00A365F6" w:rsidRPr="00A365F6">
        <w:t xml:space="preserve">participated </w:t>
      </w:r>
      <w:r w:rsidR="005255C7">
        <w:t xml:space="preserve">in the </w:t>
      </w:r>
      <w:r w:rsidR="00A365F6" w:rsidRPr="00A365F6">
        <w:t xml:space="preserve">movements against the oppression of the South before his alleged arrest </w:t>
      </w:r>
      <w:r w:rsidR="005255C7">
        <w:t xml:space="preserve">on </w:t>
      </w:r>
      <w:r w:rsidR="00A365F6" w:rsidRPr="00A365F6">
        <w:t>21 May 2009.</w:t>
      </w:r>
    </w:p>
    <w:p w:rsidR="001B4A91" w:rsidRDefault="005255C7" w:rsidP="001B4A91">
      <w:pPr>
        <w:pStyle w:val="SingleTxtG"/>
      </w:pPr>
      <w:r>
        <w:t>4.12</w:t>
      </w:r>
      <w:r>
        <w:tab/>
      </w:r>
      <w:r w:rsidR="001B4A91">
        <w:t xml:space="preserve">The State party also notes the second complainant’s own assertion that she had left </w:t>
      </w:r>
      <w:smartTag w:uri="urn:schemas-microsoft-com:office:smarttags" w:element="place">
        <w:smartTag w:uri="urn:schemas-microsoft-com:office:smarttags" w:element="country-region">
          <w:r w:rsidR="001B4A91">
            <w:t>Yemen</w:t>
          </w:r>
        </w:smartTag>
      </w:smartTag>
      <w:r w:rsidR="001B4A91">
        <w:t xml:space="preserve"> </w:t>
      </w:r>
      <w:r w:rsidR="001B4A91" w:rsidRPr="001B4A91">
        <w:t xml:space="preserve">for the sole purpose of </w:t>
      </w:r>
      <w:r w:rsidR="001B4A91">
        <w:t xml:space="preserve">following </w:t>
      </w:r>
      <w:r w:rsidR="001B4A91" w:rsidRPr="001B4A91">
        <w:t xml:space="preserve">and </w:t>
      </w:r>
      <w:r w:rsidR="001B4A91">
        <w:t>accompanying</w:t>
      </w:r>
      <w:r w:rsidR="001B4A91" w:rsidRPr="001B4A91">
        <w:t xml:space="preserve"> her husband. As for herself, she</w:t>
      </w:r>
      <w:r w:rsidR="001B4A91">
        <w:t xml:space="preserve"> has </w:t>
      </w:r>
      <w:r w:rsidR="001B4A91" w:rsidRPr="001B4A91">
        <w:t xml:space="preserve">not experienced any problems with the Yemeni authorities, but was frightened when </w:t>
      </w:r>
      <w:r w:rsidR="001B4A91">
        <w:t>officers</w:t>
      </w:r>
      <w:r w:rsidR="001B4A91" w:rsidRPr="001B4A91">
        <w:t xml:space="preserve"> </w:t>
      </w:r>
      <w:r w:rsidR="001B4A91">
        <w:t xml:space="preserve">visited </w:t>
      </w:r>
      <w:r w:rsidR="001B4A91" w:rsidRPr="001B4A91">
        <w:t>the</w:t>
      </w:r>
      <w:r w:rsidR="001B4A91">
        <w:t>ir</w:t>
      </w:r>
      <w:r w:rsidR="001B4A91" w:rsidRPr="001B4A91">
        <w:t xml:space="preserve"> home se</w:t>
      </w:r>
      <w:r w:rsidR="001B4A91">
        <w:t xml:space="preserve">arching for </w:t>
      </w:r>
      <w:r w:rsidR="001B4A91" w:rsidRPr="001B4A91">
        <w:t>her husband. In addition, she has never been politically active.</w:t>
      </w:r>
    </w:p>
    <w:p w:rsidR="00FB2E26" w:rsidRDefault="00256B14" w:rsidP="00C60BD4">
      <w:pPr>
        <w:pStyle w:val="SingleTxtG"/>
      </w:pPr>
      <w:r>
        <w:t>4.13</w:t>
      </w:r>
      <w:r>
        <w:tab/>
        <w:t xml:space="preserve">As to the first complainant’s political activities in </w:t>
      </w:r>
      <w:smartTag w:uri="urn:schemas-microsoft-com:office:smarttags" w:element="country-region">
        <w:r>
          <w:t>Switzerland</w:t>
        </w:r>
      </w:smartTag>
      <w:r>
        <w:t xml:space="preserve">, the State party notes that he claims </w:t>
      </w:r>
      <w:r w:rsidR="00FB2E26">
        <w:t xml:space="preserve">in his complaint to the Committee </w:t>
      </w:r>
      <w:r>
        <w:t xml:space="preserve">to have actively supported the </w:t>
      </w:r>
      <w:r w:rsidR="00FB2E26" w:rsidRPr="00FB2E26">
        <w:t xml:space="preserve">cause of the South Yemeni community since his arrival in </w:t>
      </w:r>
      <w:smartTag w:uri="urn:schemas-microsoft-com:office:smarttags" w:element="place">
        <w:smartTag w:uri="urn:schemas-microsoft-com:office:smarttags" w:element="country-region">
          <w:r w:rsidR="00FB2E26" w:rsidRPr="00FB2E26">
            <w:t>Switzerland</w:t>
          </w:r>
        </w:smartTag>
      </w:smartTag>
      <w:r w:rsidR="00FB2E26" w:rsidRPr="00FB2E26">
        <w:t xml:space="preserve">. He claims to be a member of the </w:t>
      </w:r>
      <w:r w:rsidR="00FB2E26">
        <w:t>Southern Democratic Assembly</w:t>
      </w:r>
      <w:r w:rsidR="00C60BD4">
        <w:t xml:space="preserve"> and to be responsible for the organization’s public relations in the canton of Fribourg.</w:t>
      </w:r>
      <w:r w:rsidR="00FB2E26" w:rsidRPr="00FB2E26">
        <w:t xml:space="preserve"> As part of his political activities, he participated in several meetings of this organization as well as </w:t>
      </w:r>
      <w:r w:rsidR="00F14C3C">
        <w:t>demonstrations</w:t>
      </w:r>
      <w:r w:rsidR="00FB2E26" w:rsidRPr="00FB2E26">
        <w:t xml:space="preserve"> organized by it. In this regard, </w:t>
      </w:r>
      <w:r w:rsidR="00FB2E26">
        <w:t>t</w:t>
      </w:r>
      <w:r w:rsidR="00FB2E26" w:rsidRPr="00FB2E26">
        <w:t xml:space="preserve">he </w:t>
      </w:r>
      <w:r w:rsidR="00FB2E26">
        <w:t xml:space="preserve">first complainant provided </w:t>
      </w:r>
      <w:r w:rsidR="00FB2E26" w:rsidRPr="00FB2E26">
        <w:t>a</w:t>
      </w:r>
      <w:r w:rsidR="00FB2E26">
        <w:t xml:space="preserve">n attestation of affiliation issued on </w:t>
      </w:r>
      <w:r w:rsidR="00FB2E26" w:rsidRPr="00FB2E26">
        <w:t>22 January 2011</w:t>
      </w:r>
      <w:r w:rsidR="00FB2E26">
        <w:t xml:space="preserve"> by the Southern Democratic Assembly in the </w:t>
      </w:r>
      <w:smartTag w:uri="urn:schemas-microsoft-com:office:smarttags" w:element="place">
        <w:smartTag w:uri="urn:schemas-microsoft-com:office:smarttags" w:element="country-region">
          <w:r w:rsidR="00FB2E26">
            <w:t>United Kingdom</w:t>
          </w:r>
        </w:smartTag>
      </w:smartTag>
      <w:r w:rsidR="00FB2E26">
        <w:t xml:space="preserve">, </w:t>
      </w:r>
      <w:r w:rsidR="003415C2">
        <w:t xml:space="preserve">and </w:t>
      </w:r>
      <w:r w:rsidR="00FB2E26">
        <w:t xml:space="preserve">an </w:t>
      </w:r>
      <w:r w:rsidR="00FB2E26">
        <w:rPr>
          <w:bCs/>
        </w:rPr>
        <w:t xml:space="preserve">attestation issued on </w:t>
      </w:r>
      <w:r w:rsidR="00FB2E26" w:rsidRPr="00DC0143">
        <w:rPr>
          <w:bCs/>
        </w:rPr>
        <w:t xml:space="preserve">23 January 2011 </w:t>
      </w:r>
      <w:r w:rsidR="00FB2E26">
        <w:rPr>
          <w:bCs/>
        </w:rPr>
        <w:t xml:space="preserve">by the office of </w:t>
      </w:r>
      <w:r w:rsidR="00FB2E26" w:rsidRPr="00DC0143">
        <w:rPr>
          <w:bCs/>
        </w:rPr>
        <w:t xml:space="preserve">the former </w:t>
      </w:r>
      <w:r w:rsidR="002669E0">
        <w:t>P</w:t>
      </w:r>
      <w:r w:rsidR="00FB2E26">
        <w:t>resident of the Democratic Republic of Yemen</w:t>
      </w:r>
      <w:r w:rsidR="00C60BD4">
        <w:t xml:space="preserve">, </w:t>
      </w:r>
      <w:r w:rsidR="00FB2E26" w:rsidRPr="00FB2E26">
        <w:t>as well as photo</w:t>
      </w:r>
      <w:r w:rsidR="00C60BD4">
        <w:t>graphs</w:t>
      </w:r>
      <w:r w:rsidR="00FB2E26" w:rsidRPr="00FB2E26">
        <w:t xml:space="preserve"> and articles about </w:t>
      </w:r>
      <w:r w:rsidR="00F14C3C">
        <w:t>demonstrations</w:t>
      </w:r>
      <w:r w:rsidR="00C60BD4">
        <w:t xml:space="preserve"> attended by him</w:t>
      </w:r>
      <w:r w:rsidR="00FB2E26" w:rsidRPr="00FB2E26">
        <w:t xml:space="preserve">. </w:t>
      </w:r>
    </w:p>
    <w:p w:rsidR="00DA7C54" w:rsidRDefault="00C60BD4" w:rsidP="00C60BD4">
      <w:pPr>
        <w:pStyle w:val="SingleTxtG"/>
      </w:pPr>
      <w:r>
        <w:t>4.14</w:t>
      </w:r>
      <w:r>
        <w:tab/>
        <w:t xml:space="preserve">The State party’s asylum authorities </w:t>
      </w:r>
      <w:r w:rsidR="00DA7C54" w:rsidRPr="00DA7C54">
        <w:t xml:space="preserve">have found that the evidence </w:t>
      </w:r>
      <w:r w:rsidR="00624AAB">
        <w:t xml:space="preserve">submitted </w:t>
      </w:r>
      <w:r w:rsidR="00DA7C54" w:rsidRPr="00DA7C54">
        <w:t xml:space="preserve">by the </w:t>
      </w:r>
      <w:r w:rsidR="00DA7C54">
        <w:t>first complainant was</w:t>
      </w:r>
      <w:r w:rsidR="00DA7C54" w:rsidRPr="00DA7C54">
        <w:t xml:space="preserve"> </w:t>
      </w:r>
      <w:r w:rsidR="00DA7C54">
        <w:t xml:space="preserve">insufficient to </w:t>
      </w:r>
      <w:r w:rsidR="003E24F8">
        <w:t xml:space="preserve">render </w:t>
      </w:r>
      <w:r w:rsidR="00DA7C54">
        <w:t xml:space="preserve">credible his alleged </w:t>
      </w:r>
      <w:r w:rsidR="00DA7C54" w:rsidRPr="00DA7C54">
        <w:t xml:space="preserve">future risk of being subjected to ill-treatment. </w:t>
      </w:r>
      <w:r w:rsidR="00DA7C54">
        <w:t xml:space="preserve">It adds that both attestations issued by the </w:t>
      </w:r>
      <w:r w:rsidR="001B7E5A">
        <w:t xml:space="preserve">Southern Democratic Assembly in the </w:t>
      </w:r>
      <w:smartTag w:uri="urn:schemas-microsoft-com:office:smarttags" w:element="place">
        <w:smartTag w:uri="urn:schemas-microsoft-com:office:smarttags" w:element="country-region">
          <w:r w:rsidR="001B7E5A">
            <w:t>United Kingdom</w:t>
          </w:r>
        </w:smartTag>
      </w:smartTag>
      <w:r w:rsidR="001B7E5A" w:rsidRPr="00DA7C54">
        <w:t xml:space="preserve"> </w:t>
      </w:r>
      <w:r w:rsidR="00DA7C54" w:rsidRPr="00DA7C54">
        <w:t xml:space="preserve">should be considered as </w:t>
      </w:r>
      <w:r w:rsidR="008930B8">
        <w:t>written by complaisance</w:t>
      </w:r>
      <w:r w:rsidR="00DA7C54" w:rsidRPr="00DA7C54">
        <w:t>.</w:t>
      </w:r>
      <w:r w:rsidR="001B7E5A">
        <w:t xml:space="preserve"> Although the second attestation mentions that </w:t>
      </w:r>
      <w:r w:rsidR="00DA7C54" w:rsidRPr="00DA7C54">
        <w:t xml:space="preserve">the </w:t>
      </w:r>
      <w:r w:rsidR="001B7E5A">
        <w:t xml:space="preserve">first complainant </w:t>
      </w:r>
      <w:r w:rsidR="00DA7C54" w:rsidRPr="00DA7C54">
        <w:t xml:space="preserve">is indeed active in </w:t>
      </w:r>
      <w:r w:rsidR="001B7E5A">
        <w:t xml:space="preserve">this organization, it fails to specify either his </w:t>
      </w:r>
      <w:r w:rsidR="00DA7C54" w:rsidRPr="00DA7C54">
        <w:t xml:space="preserve">activities or </w:t>
      </w:r>
      <w:r w:rsidR="001B7E5A">
        <w:t xml:space="preserve">his </w:t>
      </w:r>
      <w:r w:rsidR="00DA7C54" w:rsidRPr="00DA7C54">
        <w:t xml:space="preserve">role. It </w:t>
      </w:r>
      <w:r w:rsidR="001B7E5A">
        <w:t>states</w:t>
      </w:r>
      <w:r w:rsidR="006A459F">
        <w:t xml:space="preserve"> simply</w:t>
      </w:r>
      <w:r w:rsidR="001B7E5A">
        <w:t xml:space="preserve"> that the return of the first complainant to </w:t>
      </w:r>
      <w:smartTag w:uri="urn:schemas-microsoft-com:office:smarttags" w:element="place">
        <w:smartTag w:uri="urn:schemas-microsoft-com:office:smarttags" w:element="country-region">
          <w:r w:rsidR="001B7E5A">
            <w:t>Yemen</w:t>
          </w:r>
        </w:smartTag>
      </w:smartTag>
      <w:r w:rsidR="001B7E5A">
        <w:t xml:space="preserve"> constitutes a high risk, without providing any substantiation in support of </w:t>
      </w:r>
      <w:r w:rsidR="00DA7C54" w:rsidRPr="00DA7C54">
        <w:t>this statement.</w:t>
      </w:r>
    </w:p>
    <w:p w:rsidR="00A279A8" w:rsidRDefault="0070435F" w:rsidP="00E66C81">
      <w:pPr>
        <w:pStyle w:val="SingleTxtG"/>
      </w:pPr>
      <w:r>
        <w:t>4.15</w:t>
      </w:r>
      <w:r w:rsidR="00C17472">
        <w:tab/>
      </w:r>
      <w:r w:rsidR="0089198F" w:rsidRPr="00624AAB">
        <w:t xml:space="preserve">According to the evidence submitted, the activities of the </w:t>
      </w:r>
      <w:r w:rsidR="00624AAB">
        <w:t xml:space="preserve">first complainant are </w:t>
      </w:r>
      <w:r w:rsidR="0089198F" w:rsidRPr="00624AAB">
        <w:t xml:space="preserve">mainly </w:t>
      </w:r>
      <w:r w:rsidR="00624AAB">
        <w:t xml:space="preserve">limited to his </w:t>
      </w:r>
      <w:r w:rsidR="0089198F" w:rsidRPr="00624AAB">
        <w:t xml:space="preserve">participation in five </w:t>
      </w:r>
      <w:r w:rsidR="00F14C3C">
        <w:t>demonstrations</w:t>
      </w:r>
      <w:r w:rsidR="00624AAB">
        <w:t xml:space="preserve"> </w:t>
      </w:r>
      <w:r w:rsidR="0089198F" w:rsidRPr="00624AAB">
        <w:t xml:space="preserve">organized by </w:t>
      </w:r>
      <w:r w:rsidR="00E66C81">
        <w:t xml:space="preserve">the </w:t>
      </w:r>
      <w:r w:rsidR="00624AAB">
        <w:t>Southern Democratic Assembly or other exiles originating from</w:t>
      </w:r>
      <w:r w:rsidR="0089198F" w:rsidRPr="00624AAB">
        <w:t xml:space="preserve"> </w:t>
      </w:r>
      <w:smartTag w:uri="urn:schemas-microsoft-com:office:smarttags" w:element="place">
        <w:r w:rsidR="0089198F" w:rsidRPr="00624AAB">
          <w:t>South Yemen</w:t>
        </w:r>
      </w:smartTag>
      <w:r w:rsidR="0089198F" w:rsidRPr="00624AAB">
        <w:t xml:space="preserve">. </w:t>
      </w:r>
      <w:r w:rsidR="00624AAB">
        <w:t>With reference to the judg</w:t>
      </w:r>
      <w:r w:rsidR="00284080">
        <w:t>e</w:t>
      </w:r>
      <w:r w:rsidR="00624AAB">
        <w:t xml:space="preserve">ment of the Federal Administrative </w:t>
      </w:r>
      <w:r w:rsidR="00DC21AD">
        <w:t>Court</w:t>
      </w:r>
      <w:r w:rsidR="00DC21AD" w:rsidDel="00DC21AD">
        <w:t xml:space="preserve"> </w:t>
      </w:r>
      <w:r w:rsidR="00624AAB">
        <w:t xml:space="preserve">of 27 May 2011, the State party submits that </w:t>
      </w:r>
      <w:r w:rsidR="0089198F" w:rsidRPr="00624AAB">
        <w:t xml:space="preserve">there is concrete evidence that the activities of the </w:t>
      </w:r>
      <w:r w:rsidR="00624AAB">
        <w:t xml:space="preserve">Southern Democratic Assembly </w:t>
      </w:r>
      <w:r w:rsidR="00E66C81">
        <w:t>have been closely</w:t>
      </w:r>
      <w:r w:rsidR="0089198F" w:rsidRPr="00624AAB">
        <w:t xml:space="preserve"> observed by the Yemeni authorities </w:t>
      </w:r>
      <w:r w:rsidR="00F14C3C">
        <w:t xml:space="preserve">in the past </w:t>
      </w:r>
      <w:r w:rsidR="0089198F" w:rsidRPr="00624AAB">
        <w:t xml:space="preserve">and </w:t>
      </w:r>
      <w:r w:rsidR="00F14C3C">
        <w:t xml:space="preserve">that </w:t>
      </w:r>
      <w:r w:rsidR="0089198F" w:rsidRPr="00624AAB">
        <w:t xml:space="preserve">some particularly active </w:t>
      </w:r>
      <w:r w:rsidR="00F14C3C">
        <w:t xml:space="preserve">persons </w:t>
      </w:r>
      <w:r w:rsidR="0089198F" w:rsidRPr="00624AAB">
        <w:t xml:space="preserve">or members of the governing structures of the </w:t>
      </w:r>
      <w:r w:rsidR="00F14C3C">
        <w:t>organization could</w:t>
      </w:r>
      <w:r w:rsidR="0089198F" w:rsidRPr="00624AAB">
        <w:t xml:space="preserve"> have been exposed to harm if returned to their country of origin. However, the </w:t>
      </w:r>
      <w:r w:rsidR="00F14C3C">
        <w:t xml:space="preserve">first complainant </w:t>
      </w:r>
      <w:r w:rsidR="0089198F" w:rsidRPr="00624AAB">
        <w:t>has not established that</w:t>
      </w:r>
      <w:r w:rsidR="00F14C3C">
        <w:t xml:space="preserve"> he played in this organization</w:t>
      </w:r>
      <w:r w:rsidR="0089198F" w:rsidRPr="00624AAB">
        <w:t xml:space="preserve"> a role likely to attract the attention of the authorities. </w:t>
      </w:r>
      <w:r w:rsidR="00F14C3C">
        <w:t>He appears to be</w:t>
      </w:r>
      <w:r w:rsidR="0089198F" w:rsidRPr="00624AAB">
        <w:t xml:space="preserve"> </w:t>
      </w:r>
      <w:r w:rsidR="00F14C3C">
        <w:t xml:space="preserve">a mere </w:t>
      </w:r>
      <w:r w:rsidR="0089198F" w:rsidRPr="00624AAB">
        <w:t>participa</w:t>
      </w:r>
      <w:r w:rsidR="00F14C3C">
        <w:t xml:space="preserve">nt of demonstrations </w:t>
      </w:r>
      <w:r w:rsidR="0089198F" w:rsidRPr="00624AAB">
        <w:t xml:space="preserve">organized by the Swiss branch of the </w:t>
      </w:r>
      <w:r w:rsidR="00F14C3C">
        <w:t xml:space="preserve">Southern Democratic Assembly. </w:t>
      </w:r>
      <w:r w:rsidR="0089198F" w:rsidRPr="00624AAB">
        <w:t xml:space="preserve">However, </w:t>
      </w:r>
      <w:r w:rsidR="00F14C3C">
        <w:t xml:space="preserve">such demonstrations being </w:t>
      </w:r>
      <w:r w:rsidR="0089198F" w:rsidRPr="00624AAB">
        <w:t>numerous</w:t>
      </w:r>
      <w:r w:rsidR="00F14C3C">
        <w:t xml:space="preserve"> not only in Switzerland</w:t>
      </w:r>
      <w:r w:rsidR="0089198F" w:rsidRPr="00624AAB">
        <w:t xml:space="preserve"> but </w:t>
      </w:r>
      <w:r w:rsidR="00F14C3C">
        <w:t xml:space="preserve">also </w:t>
      </w:r>
      <w:r w:rsidR="0089198F" w:rsidRPr="00624AAB">
        <w:t>in other countries</w:t>
      </w:r>
      <w:r w:rsidR="00F14C3C">
        <w:t>,</w:t>
      </w:r>
      <w:r w:rsidR="0089198F" w:rsidRPr="00624AAB">
        <w:t xml:space="preserve"> it is virtually impossible for</w:t>
      </w:r>
      <w:r w:rsidR="00A63781">
        <w:t xml:space="preserve"> the Yemeni</w:t>
      </w:r>
      <w:r w:rsidR="0089198F" w:rsidRPr="00624AAB">
        <w:t xml:space="preserve"> authorities to focus not only on persons deemed to be </w:t>
      </w:r>
      <w:r w:rsidR="00A63781">
        <w:t>op</w:t>
      </w:r>
      <w:r w:rsidR="0089198F" w:rsidRPr="00624AAB">
        <w:t xml:space="preserve">inion leaders, but </w:t>
      </w:r>
      <w:r w:rsidR="00A63781">
        <w:t xml:space="preserve">also on </w:t>
      </w:r>
      <w:r w:rsidR="0089198F" w:rsidRPr="00624AAB">
        <w:t xml:space="preserve">each </w:t>
      </w:r>
      <w:r w:rsidR="00A63781">
        <w:t xml:space="preserve">of the </w:t>
      </w:r>
      <w:r w:rsidR="0089198F" w:rsidRPr="00624AAB">
        <w:t xml:space="preserve">demonstrators appearing in </w:t>
      </w:r>
      <w:r w:rsidR="00A63781">
        <w:t xml:space="preserve">such </w:t>
      </w:r>
      <w:r w:rsidR="00A8077D">
        <w:t xml:space="preserve">a </w:t>
      </w:r>
      <w:r w:rsidR="00A63781">
        <w:t>context</w:t>
      </w:r>
      <w:r w:rsidR="0089198F" w:rsidRPr="00624AAB">
        <w:t>.</w:t>
      </w:r>
      <w:r w:rsidR="00A63781">
        <w:t xml:space="preserve"> The State party’s asylum authorities established </w:t>
      </w:r>
      <w:r w:rsidR="0089198F" w:rsidRPr="00624AAB">
        <w:t xml:space="preserve">that </w:t>
      </w:r>
      <w:r w:rsidR="00A63781">
        <w:t>his</w:t>
      </w:r>
      <w:r w:rsidR="0089198F" w:rsidRPr="00624AAB">
        <w:t xml:space="preserve"> political activities in </w:t>
      </w:r>
      <w:smartTag w:uri="urn:schemas-microsoft-com:office:smarttags" w:element="place">
        <w:smartTag w:uri="urn:schemas-microsoft-com:office:smarttags" w:element="country-region">
          <w:r w:rsidR="0089198F" w:rsidRPr="00624AAB">
            <w:t>Switzerland</w:t>
          </w:r>
        </w:smartTag>
      </w:smartTag>
      <w:r w:rsidR="0089198F" w:rsidRPr="00624AAB">
        <w:t xml:space="preserve"> were not of such </w:t>
      </w:r>
      <w:r w:rsidR="00E66C81">
        <w:t xml:space="preserve">significance </w:t>
      </w:r>
      <w:r w:rsidR="0089198F" w:rsidRPr="00624AAB">
        <w:t xml:space="preserve">that </w:t>
      </w:r>
      <w:r w:rsidR="00A279A8">
        <w:t xml:space="preserve">he could be </w:t>
      </w:r>
      <w:r w:rsidR="0089198F" w:rsidRPr="00624AAB">
        <w:t>identified by the Yemeni authorities as a</w:t>
      </w:r>
      <w:r w:rsidR="00A279A8">
        <w:t xml:space="preserve"> </w:t>
      </w:r>
      <w:r w:rsidR="00E66C81">
        <w:t xml:space="preserve">well-known </w:t>
      </w:r>
      <w:r w:rsidR="0089198F" w:rsidRPr="00624AAB">
        <w:t xml:space="preserve">opponent </w:t>
      </w:r>
      <w:r w:rsidR="00A279A8">
        <w:t xml:space="preserve">of the existing </w:t>
      </w:r>
      <w:r w:rsidR="0089198F" w:rsidRPr="00624AAB">
        <w:t xml:space="preserve">regime. </w:t>
      </w:r>
      <w:r w:rsidR="00A279A8">
        <w:t xml:space="preserve">Even the first complainant’s </w:t>
      </w:r>
      <w:r w:rsidR="00A8077D">
        <w:t>position</w:t>
      </w:r>
      <w:r w:rsidR="00A8077D" w:rsidRPr="00624AAB">
        <w:t xml:space="preserve"> </w:t>
      </w:r>
      <w:r w:rsidR="0089198F" w:rsidRPr="00624AAB">
        <w:t xml:space="preserve">as </w:t>
      </w:r>
      <w:r w:rsidR="00D24760">
        <w:t xml:space="preserve">head of </w:t>
      </w:r>
      <w:r w:rsidR="0089198F" w:rsidRPr="00624AAB">
        <w:t xml:space="preserve">public </w:t>
      </w:r>
      <w:r w:rsidR="00A279A8">
        <w:t xml:space="preserve">relations of the Southern Democratic Assembly </w:t>
      </w:r>
      <w:r w:rsidR="0089198F" w:rsidRPr="00624AAB">
        <w:t xml:space="preserve">in the canton of Fribourg is not </w:t>
      </w:r>
      <w:r w:rsidR="00A279A8">
        <w:t xml:space="preserve">of such </w:t>
      </w:r>
      <w:r w:rsidR="00E66C81">
        <w:t>significance</w:t>
      </w:r>
      <w:r w:rsidR="00A279A8">
        <w:t xml:space="preserve"> that </w:t>
      </w:r>
      <w:r w:rsidR="00D24760">
        <w:t xml:space="preserve">it </w:t>
      </w:r>
      <w:r w:rsidR="00A279A8">
        <w:t xml:space="preserve">would make him </w:t>
      </w:r>
      <w:r w:rsidR="0089198F" w:rsidRPr="00624AAB">
        <w:t>particularly vulnerable.</w:t>
      </w:r>
    </w:p>
    <w:p w:rsidR="00BD585D" w:rsidRDefault="00A279A8" w:rsidP="00BD585D">
      <w:pPr>
        <w:pStyle w:val="SingleTxtG"/>
      </w:pPr>
      <w:r w:rsidRPr="00A279A8">
        <w:t>4.16</w:t>
      </w:r>
      <w:r w:rsidRPr="00A279A8">
        <w:tab/>
      </w:r>
      <w:r>
        <w:t xml:space="preserve">Furthermore, </w:t>
      </w:r>
      <w:r w:rsidR="00C92C7C">
        <w:t xml:space="preserve">the State party adds that the </w:t>
      </w:r>
      <w:r>
        <w:t>p</w:t>
      </w:r>
      <w:r w:rsidR="0089198F" w:rsidRPr="00A279A8">
        <w:t>hoto</w:t>
      </w:r>
      <w:r>
        <w:t xml:space="preserve">graphs </w:t>
      </w:r>
      <w:r w:rsidR="0089198F" w:rsidRPr="00A279A8">
        <w:t xml:space="preserve">of </w:t>
      </w:r>
      <w:r>
        <w:t>demonstrations that are accessible on the I</w:t>
      </w:r>
      <w:r w:rsidR="0089198F" w:rsidRPr="00A279A8">
        <w:t xml:space="preserve">nternet </w:t>
      </w:r>
      <w:r>
        <w:t xml:space="preserve">do not allow </w:t>
      </w:r>
      <w:r w:rsidR="00D24760">
        <w:t xml:space="preserve">the conclusion </w:t>
      </w:r>
      <w:r w:rsidR="0089198F" w:rsidRPr="00A279A8">
        <w:t xml:space="preserve">that the Yemeni authorities have taken note of the </w:t>
      </w:r>
      <w:r>
        <w:t>first complainant’s</w:t>
      </w:r>
      <w:r w:rsidR="0089198F" w:rsidRPr="00A279A8">
        <w:t xml:space="preserve"> activities in </w:t>
      </w:r>
      <w:smartTag w:uri="urn:schemas-microsoft-com:office:smarttags" w:element="place">
        <w:smartTag w:uri="urn:schemas-microsoft-com:office:smarttags" w:element="country-region">
          <w:r w:rsidR="0089198F" w:rsidRPr="00A279A8">
            <w:t>Switzerland</w:t>
          </w:r>
        </w:smartTag>
      </w:smartTag>
      <w:r w:rsidR="0089198F" w:rsidRPr="00A279A8">
        <w:t xml:space="preserve">. The </w:t>
      </w:r>
      <w:r>
        <w:t xml:space="preserve">sole </w:t>
      </w:r>
      <w:r w:rsidR="0089198F" w:rsidRPr="00A279A8">
        <w:t xml:space="preserve">fact that he is identifiable </w:t>
      </w:r>
      <w:r>
        <w:t>o</w:t>
      </w:r>
      <w:r w:rsidR="0089198F" w:rsidRPr="00A279A8">
        <w:t xml:space="preserve">n </w:t>
      </w:r>
      <w:r>
        <w:t xml:space="preserve">the </w:t>
      </w:r>
      <w:r w:rsidR="0089198F" w:rsidRPr="00A279A8">
        <w:t>photographs is not enough to demonstrate a risk of ill-treatment i</w:t>
      </w:r>
      <w:r w:rsidR="00BD585D">
        <w:t xml:space="preserve">n case of </w:t>
      </w:r>
      <w:r w:rsidR="0089198F" w:rsidRPr="00A279A8">
        <w:t>return. It is also difficult</w:t>
      </w:r>
      <w:r w:rsidR="00BD585D">
        <w:t>,</w:t>
      </w:r>
      <w:r w:rsidR="0089198F" w:rsidRPr="00A279A8">
        <w:t xml:space="preserve"> for </w:t>
      </w:r>
      <w:r w:rsidR="00BD585D">
        <w:t xml:space="preserve">obvious </w:t>
      </w:r>
      <w:r w:rsidR="0089198F" w:rsidRPr="00A279A8">
        <w:t xml:space="preserve">practical reasons, to identify individual participants </w:t>
      </w:r>
      <w:r w:rsidR="0089198F" w:rsidRPr="00A279A8">
        <w:lastRenderedPageBreak/>
        <w:t xml:space="preserve">in a large </w:t>
      </w:r>
      <w:r w:rsidR="00BD585D">
        <w:t xml:space="preserve">demonstration </w:t>
      </w:r>
      <w:r w:rsidR="0089198F" w:rsidRPr="00A279A8">
        <w:t xml:space="preserve">if they </w:t>
      </w:r>
      <w:r w:rsidR="00BD585D">
        <w:t xml:space="preserve">are </w:t>
      </w:r>
      <w:r w:rsidR="0089198F" w:rsidRPr="00A279A8">
        <w:t xml:space="preserve">not </w:t>
      </w:r>
      <w:r w:rsidR="00BD585D">
        <w:t xml:space="preserve">previously </w:t>
      </w:r>
      <w:r w:rsidR="0089198F" w:rsidRPr="00A279A8">
        <w:t xml:space="preserve">known </w:t>
      </w:r>
      <w:r w:rsidR="00BD585D">
        <w:t>to the Yemeni authorities</w:t>
      </w:r>
      <w:r w:rsidR="006A459F">
        <w:t xml:space="preserve">, which does not appear to be </w:t>
      </w:r>
      <w:r w:rsidR="00BD585D">
        <w:t>the case</w:t>
      </w:r>
      <w:r w:rsidR="00F504F1">
        <w:t xml:space="preserve"> in the present complaint</w:t>
      </w:r>
      <w:r w:rsidR="00BD585D">
        <w:t xml:space="preserve">. </w:t>
      </w:r>
    </w:p>
    <w:p w:rsidR="002D67CC" w:rsidRDefault="00BD585D" w:rsidP="002D67CC">
      <w:pPr>
        <w:pStyle w:val="SingleTxtG"/>
      </w:pPr>
      <w:r>
        <w:t>4.17</w:t>
      </w:r>
      <w:r>
        <w:tab/>
        <w:t xml:space="preserve">The State party also points to a number of factual inconsistences in the first complainant’s </w:t>
      </w:r>
      <w:r w:rsidR="00C92C7C">
        <w:t>account</w:t>
      </w:r>
      <w:r w:rsidR="00926327">
        <w:t>,</w:t>
      </w:r>
      <w:r w:rsidR="00C92C7C">
        <w:t xml:space="preserve"> </w:t>
      </w:r>
      <w:r>
        <w:t>and</w:t>
      </w:r>
      <w:r w:rsidR="00F504F1">
        <w:t xml:space="preserve"> therefore </w:t>
      </w:r>
      <w:r>
        <w:t xml:space="preserve">questions his credibility. </w:t>
      </w:r>
      <w:r w:rsidR="00C92C7C">
        <w:t>It notes, in particular</w:t>
      </w:r>
      <w:r w:rsidR="00926327">
        <w:t>,</w:t>
      </w:r>
      <w:r w:rsidR="00C92C7C">
        <w:t xml:space="preserve"> that h</w:t>
      </w:r>
      <w:r w:rsidR="00C92C7C" w:rsidRPr="005E5057">
        <w:t xml:space="preserve">e left </w:t>
      </w:r>
      <w:smartTag w:uri="urn:schemas-microsoft-com:office:smarttags" w:element="place">
        <w:smartTag w:uri="urn:schemas-microsoft-com:office:smarttags" w:element="country-region">
          <w:r w:rsidR="00F504F1">
            <w:t>Yemen</w:t>
          </w:r>
        </w:smartTag>
      </w:smartTag>
      <w:r w:rsidR="00707F44" w:rsidRPr="00707F44">
        <w:t xml:space="preserve"> </w:t>
      </w:r>
      <w:r w:rsidR="00707F44">
        <w:t>lawfully</w:t>
      </w:r>
      <w:r w:rsidR="00F504F1">
        <w:t xml:space="preserve"> </w:t>
      </w:r>
      <w:r w:rsidR="00C92C7C">
        <w:t>by plane from the international airport</w:t>
      </w:r>
      <w:r w:rsidR="00F504F1">
        <w:t xml:space="preserve"> in the capital</w:t>
      </w:r>
      <w:r w:rsidR="00C92C7C" w:rsidRPr="005E5057">
        <w:t xml:space="preserve">, which would not have been possible had he actually been wanted by the </w:t>
      </w:r>
      <w:r w:rsidR="00F4210F">
        <w:t xml:space="preserve">Political Security </w:t>
      </w:r>
      <w:r w:rsidR="00C53D92">
        <w:t xml:space="preserve">Organization </w:t>
      </w:r>
      <w:r w:rsidR="00C92C7C">
        <w:t>or been under surveillance</w:t>
      </w:r>
      <w:r w:rsidR="00C92C7C" w:rsidRPr="005E5057">
        <w:t>.</w:t>
      </w:r>
      <w:r w:rsidR="002D67CC">
        <w:t xml:space="preserve"> Moreover, in light of his training and profession, the first complainant would not have </w:t>
      </w:r>
      <w:r w:rsidR="00F504F1">
        <w:t xml:space="preserve">recklessly </w:t>
      </w:r>
      <w:r w:rsidR="002D67CC">
        <w:t xml:space="preserve">taken </w:t>
      </w:r>
      <w:r w:rsidR="00707F44">
        <w:t xml:space="preserve">the </w:t>
      </w:r>
      <w:r w:rsidR="002D67CC">
        <w:t>risk of being questioned during the passenger checks on the internal and international flights</w:t>
      </w:r>
      <w:r w:rsidR="00926327">
        <w:t xml:space="preserve"> and would have instead left </w:t>
      </w:r>
      <w:r w:rsidR="000902B2">
        <w:t xml:space="preserve">Yemen by ground transport. </w:t>
      </w:r>
    </w:p>
    <w:p w:rsidR="00B407A6" w:rsidRDefault="00B407A6" w:rsidP="002D67CC">
      <w:pPr>
        <w:pStyle w:val="SingleTxtG"/>
      </w:pPr>
      <w:r>
        <w:t>4.18</w:t>
      </w:r>
      <w:r>
        <w:tab/>
        <w:t>The State party also submit</w:t>
      </w:r>
      <w:r w:rsidR="00F35946">
        <w:t>s that the first complainant could provide</w:t>
      </w:r>
      <w:r>
        <w:t xml:space="preserve"> </w:t>
      </w:r>
      <w:r w:rsidR="00F35946">
        <w:t xml:space="preserve">only </w:t>
      </w:r>
      <w:r>
        <w:t>limited information about the circumstances of his arrest on 21 May 2009, his detention</w:t>
      </w:r>
      <w:r w:rsidR="00AD7DC6">
        <w:t xml:space="preserve"> for 40 days at al-Mansoura prison </w:t>
      </w:r>
      <w:r w:rsidR="00926327">
        <w:t xml:space="preserve">and </w:t>
      </w:r>
      <w:r w:rsidR="00AD7DC6">
        <w:t xml:space="preserve">the questioning to which he was subjected, as well as about two subsequent </w:t>
      </w:r>
      <w:r w:rsidR="00926327">
        <w:t xml:space="preserve">24-hour </w:t>
      </w:r>
      <w:r w:rsidR="00AD7DC6">
        <w:t xml:space="preserve">detentions. </w:t>
      </w:r>
      <w:r w:rsidR="00AD4A25">
        <w:t xml:space="preserve">Furthermore, the summons issued by the Ministry of Interior, al-Brika Directorate, did not specify the reasons for summoning the first complainant. </w:t>
      </w:r>
      <w:r w:rsidR="004707B2">
        <w:t xml:space="preserve">Even assuming that this document is authentic, it is insufficient to establish an eventual risk of persecution, since the first complainant could have been summoned for any other reason and then released after a short detention. </w:t>
      </w:r>
    </w:p>
    <w:p w:rsidR="004707B2" w:rsidRDefault="004707B2" w:rsidP="004C79E2">
      <w:pPr>
        <w:pStyle w:val="SingleTxtG"/>
      </w:pPr>
      <w:r>
        <w:t>4.19</w:t>
      </w:r>
      <w:r>
        <w:tab/>
        <w:t xml:space="preserve">The State party also recalls that </w:t>
      </w:r>
      <w:r w:rsidR="00F35946">
        <w:t>the first complainant provided little information about the visit</w:t>
      </w:r>
      <w:r w:rsidR="00F35946" w:rsidRPr="00F35946">
        <w:t xml:space="preserve"> of a member of the </w:t>
      </w:r>
      <w:r w:rsidR="00AC7FB4">
        <w:t xml:space="preserve">organization whose pressure </w:t>
      </w:r>
      <w:r w:rsidR="00F35946" w:rsidRPr="00F35946">
        <w:t>led to his release</w:t>
      </w:r>
      <w:r w:rsidR="00F35946">
        <w:t xml:space="preserve"> and that he </w:t>
      </w:r>
      <w:r w:rsidR="00F35946" w:rsidRPr="005E5057">
        <w:t>had not been able to name th</w:t>
      </w:r>
      <w:r w:rsidR="00F35946">
        <w:t xml:space="preserve">is </w:t>
      </w:r>
      <w:r w:rsidR="00F35946" w:rsidRPr="005E5057">
        <w:t xml:space="preserve">organization </w:t>
      </w:r>
      <w:r w:rsidR="00F35946">
        <w:t>during the asylum interviews. Moreover, t</w:t>
      </w:r>
      <w:r w:rsidR="00F35946" w:rsidRPr="005E5057">
        <w:t xml:space="preserve">he </w:t>
      </w:r>
      <w:r w:rsidR="00F35946">
        <w:t xml:space="preserve">first complainant </w:t>
      </w:r>
      <w:r w:rsidR="00F35946" w:rsidRPr="005E5057">
        <w:t>had contacted this organization with the request to provide an attestation only after the first negative asylum decision by the Federal Office for Migration</w:t>
      </w:r>
      <w:r w:rsidR="00F35946">
        <w:t xml:space="preserve">, although the Office </w:t>
      </w:r>
      <w:r w:rsidR="00B53D6D">
        <w:t xml:space="preserve">had given </w:t>
      </w:r>
      <w:r w:rsidR="00F35946">
        <w:t xml:space="preserve">him a </w:t>
      </w:r>
      <w:r w:rsidR="004C79E2">
        <w:t xml:space="preserve">time limit </w:t>
      </w:r>
      <w:r w:rsidR="00F35946">
        <w:t>for submitting this document</w:t>
      </w:r>
      <w:r w:rsidR="00F35946" w:rsidRPr="005E5057">
        <w:t xml:space="preserve">. </w:t>
      </w:r>
      <w:r w:rsidR="00F35946">
        <w:t>Furt</w:t>
      </w:r>
      <w:r w:rsidR="004C79E2">
        <w:t>h</w:t>
      </w:r>
      <w:r w:rsidR="00F35946">
        <w:t>ermore</w:t>
      </w:r>
      <w:r w:rsidR="00F35946" w:rsidRPr="005E5057">
        <w:t>, two diverging, non-official translations of this attestation from the Arabic original had been submitted</w:t>
      </w:r>
      <w:r w:rsidR="004C79E2">
        <w:t>, with the second translation “correcting” the first translation on the basis of the observations made by the Federal Office for Migration</w:t>
      </w:r>
      <w:r w:rsidR="00F35946" w:rsidRPr="005E5057">
        <w:t>.</w:t>
      </w:r>
      <w:r w:rsidR="004C79E2" w:rsidRPr="004C79E2">
        <w:t xml:space="preserve"> </w:t>
      </w:r>
      <w:r w:rsidR="004C79E2">
        <w:t xml:space="preserve">The State party’s asylum authorities </w:t>
      </w:r>
      <w:r w:rsidR="004C79E2" w:rsidRPr="004C79E2">
        <w:t xml:space="preserve">noted that this </w:t>
      </w:r>
      <w:r w:rsidR="004C79E2">
        <w:t xml:space="preserve">attestation </w:t>
      </w:r>
      <w:r w:rsidR="004C79E2" w:rsidRPr="004C79E2">
        <w:t xml:space="preserve">did not mention </w:t>
      </w:r>
      <w:r w:rsidR="004C79E2">
        <w:t xml:space="preserve">either </w:t>
      </w:r>
      <w:r w:rsidR="004C79E2" w:rsidRPr="004C79E2">
        <w:t xml:space="preserve">the name of the </w:t>
      </w:r>
      <w:r w:rsidR="004C79E2">
        <w:t xml:space="preserve">first complainant </w:t>
      </w:r>
      <w:r w:rsidR="004C79E2" w:rsidRPr="004C79E2">
        <w:t>or the manner in which the information had been o</w:t>
      </w:r>
      <w:r w:rsidR="004C79E2">
        <w:t>b</w:t>
      </w:r>
      <w:r w:rsidR="00F9292C">
        <w:t>tained. In addition, its</w:t>
      </w:r>
      <w:r w:rsidR="004C79E2" w:rsidRPr="004C79E2">
        <w:t xml:space="preserve"> content</w:t>
      </w:r>
      <w:r w:rsidR="004C79E2">
        <w:t>s</w:t>
      </w:r>
      <w:r w:rsidR="004C79E2" w:rsidRPr="004C79E2">
        <w:t xml:space="preserve"> </w:t>
      </w:r>
      <w:r w:rsidR="004C79E2">
        <w:t xml:space="preserve">did not fully correspond to the first complainant’s statements, since </w:t>
      </w:r>
      <w:r w:rsidR="004C79E2" w:rsidRPr="004C79E2">
        <w:t xml:space="preserve">he </w:t>
      </w:r>
      <w:r w:rsidR="004C79E2">
        <w:t xml:space="preserve">had </w:t>
      </w:r>
      <w:r w:rsidR="004C79E2" w:rsidRPr="004C79E2">
        <w:t>never claimed to be a</w:t>
      </w:r>
      <w:r w:rsidR="004C79E2">
        <w:t xml:space="preserve"> human rights</w:t>
      </w:r>
      <w:r w:rsidR="004C79E2" w:rsidRPr="004C79E2">
        <w:t xml:space="preserve"> activist or a member of any political organization</w:t>
      </w:r>
      <w:r w:rsidR="00F35946" w:rsidRPr="005E5057">
        <w:t xml:space="preserve">. </w:t>
      </w:r>
    </w:p>
    <w:p w:rsidR="00F9292C" w:rsidRDefault="002E6409" w:rsidP="004C79E2">
      <w:pPr>
        <w:pStyle w:val="SingleTxtG"/>
      </w:pPr>
      <w:r>
        <w:t>4.20</w:t>
      </w:r>
      <w:r>
        <w:tab/>
        <w:t>The State party argues</w:t>
      </w:r>
      <w:r w:rsidR="00F9292C">
        <w:t xml:space="preserve"> that, in these circumstances, the asylum authorities</w:t>
      </w:r>
      <w:r>
        <w:t xml:space="preserve"> cannot be reproached for having determined that the first complainant’s claims were implausible and that his allegations on the key points were contrary to logic and general experience and, therefore, lacked credibility.  </w:t>
      </w:r>
      <w:r w:rsidR="00F9292C">
        <w:t xml:space="preserve"> </w:t>
      </w:r>
    </w:p>
    <w:p w:rsidR="008E75C7" w:rsidRDefault="008E75C7" w:rsidP="004C79E2">
      <w:pPr>
        <w:pStyle w:val="SingleTxtG"/>
      </w:pPr>
      <w:r>
        <w:t>4.21</w:t>
      </w:r>
      <w:r>
        <w:tab/>
      </w:r>
      <w:r w:rsidRPr="00D01B9B">
        <w:t>The S</w:t>
      </w:r>
      <w:r>
        <w:t xml:space="preserve">tate party submits that, in </w:t>
      </w:r>
      <w:r w:rsidRPr="00D01B9B">
        <w:t xml:space="preserve">light of the </w:t>
      </w:r>
      <w:r>
        <w:t>foregoing</w:t>
      </w:r>
      <w:r w:rsidRPr="00D01B9B">
        <w:t xml:space="preserve">, there are </w:t>
      </w:r>
      <w:r>
        <w:t xml:space="preserve">no </w:t>
      </w:r>
      <w:r w:rsidRPr="00D01B9B">
        <w:t xml:space="preserve">substantial grounds for fearing that the </w:t>
      </w:r>
      <w:r>
        <w:t xml:space="preserve">first </w:t>
      </w:r>
      <w:r w:rsidRPr="00D01B9B">
        <w:t>complainant</w:t>
      </w:r>
      <w:r>
        <w:t xml:space="preserve"> would be concretely and personally exposed to torture if returned to </w:t>
      </w:r>
      <w:smartTag w:uri="urn:schemas-microsoft-com:office:smarttags" w:element="place">
        <w:smartTag w:uri="urn:schemas-microsoft-com:office:smarttags" w:element="country-region">
          <w:r>
            <w:t>Yemen</w:t>
          </w:r>
        </w:smartTag>
      </w:smartTag>
      <w:r>
        <w:t xml:space="preserve">. His allegations and </w:t>
      </w:r>
      <w:r w:rsidR="00374DFB">
        <w:t xml:space="preserve">the </w:t>
      </w:r>
      <w:r>
        <w:t xml:space="preserve">evidence </w:t>
      </w:r>
      <w:r w:rsidR="00374DFB">
        <w:t xml:space="preserve">he </w:t>
      </w:r>
      <w:r>
        <w:t xml:space="preserve">provided do not allow </w:t>
      </w:r>
      <w:r w:rsidR="00374DFB">
        <w:t xml:space="preserve">the conclusion </w:t>
      </w:r>
      <w:r>
        <w:t>that his return w</w:t>
      </w:r>
      <w:r w:rsidRPr="00D01B9B">
        <w:t xml:space="preserve">ould expose </w:t>
      </w:r>
      <w:r>
        <w:t>him</w:t>
      </w:r>
      <w:r w:rsidRPr="00D01B9B">
        <w:t xml:space="preserve"> to a foreseeable, real and personal risk of torture</w:t>
      </w:r>
      <w:r w:rsidR="00FA627F">
        <w:t>. The State party</w:t>
      </w:r>
      <w:r w:rsidRPr="00D01B9B">
        <w:t xml:space="preserve">, </w:t>
      </w:r>
      <w:r w:rsidR="00FA627F">
        <w:t xml:space="preserve">therefore, </w:t>
      </w:r>
      <w:r w:rsidRPr="00D01B9B">
        <w:t xml:space="preserve">invites the Committee to find that the return of the </w:t>
      </w:r>
      <w:r w:rsidR="00FA627F">
        <w:t xml:space="preserve">first </w:t>
      </w:r>
      <w:r w:rsidRPr="00D01B9B">
        <w:t xml:space="preserve">complainant </w:t>
      </w:r>
      <w:r w:rsidR="00FA627F">
        <w:t xml:space="preserve">and his family </w:t>
      </w:r>
      <w:r w:rsidRPr="00D01B9B">
        <w:t xml:space="preserve">to </w:t>
      </w:r>
      <w:smartTag w:uri="urn:schemas-microsoft-com:office:smarttags" w:element="country-region">
        <w:r w:rsidR="00FA627F">
          <w:t>Yemen</w:t>
        </w:r>
      </w:smartTag>
      <w:r w:rsidR="00FA627F">
        <w:t xml:space="preserve"> </w:t>
      </w:r>
      <w:r w:rsidRPr="00D01B9B">
        <w:t xml:space="preserve">would not constitute a violation of the international obligations of </w:t>
      </w:r>
      <w:smartTag w:uri="urn:schemas-microsoft-com:office:smarttags" w:element="place">
        <w:smartTag w:uri="urn:schemas-microsoft-com:office:smarttags" w:element="country-region">
          <w:r w:rsidRPr="00D01B9B">
            <w:t>Switzerland</w:t>
          </w:r>
        </w:smartTag>
      </w:smartTag>
      <w:r w:rsidRPr="00D01B9B">
        <w:t xml:space="preserve"> under article 3 of the Convention.</w:t>
      </w:r>
    </w:p>
    <w:p w:rsidR="00116B35" w:rsidRPr="00116B35" w:rsidRDefault="004310B2" w:rsidP="004310B2">
      <w:pPr>
        <w:pStyle w:val="H23G"/>
      </w:pPr>
      <w:r w:rsidRPr="00D01B9B">
        <w:tab/>
      </w:r>
      <w:r w:rsidRPr="00D01B9B">
        <w:tab/>
      </w:r>
      <w:r w:rsidR="00FA627F">
        <w:t>The complainant</w:t>
      </w:r>
      <w:r w:rsidR="00116B35" w:rsidRPr="00D01B9B">
        <w:t>s</w:t>
      </w:r>
      <w:r w:rsidR="00FA627F">
        <w:t>’</w:t>
      </w:r>
      <w:r w:rsidR="00116B35" w:rsidRPr="00D01B9B">
        <w:t xml:space="preserve"> comments on the State party’s observations</w:t>
      </w:r>
    </w:p>
    <w:p w:rsidR="00FA627F" w:rsidRDefault="00864481" w:rsidP="00DE71A5">
      <w:pPr>
        <w:pStyle w:val="SingleTxtG"/>
      </w:pPr>
      <w:r>
        <w:t>5.</w:t>
      </w:r>
      <w:r w:rsidR="00DE71A5">
        <w:t>1</w:t>
      </w:r>
      <w:r w:rsidR="00FA627F">
        <w:tab/>
        <w:t>On 2 April 2012</w:t>
      </w:r>
      <w:r w:rsidR="00116B35" w:rsidRPr="00116B35">
        <w:t>, the complainant</w:t>
      </w:r>
      <w:r w:rsidR="00FA627F">
        <w:t>s</w:t>
      </w:r>
      <w:r w:rsidR="00116B35" w:rsidRPr="00116B35">
        <w:t xml:space="preserve"> </w:t>
      </w:r>
      <w:r w:rsidR="009B261E" w:rsidRPr="00D7468C">
        <w:t>commented on the State party’s observations</w:t>
      </w:r>
      <w:r w:rsidR="009B261E">
        <w:t>.</w:t>
      </w:r>
      <w:r w:rsidR="00FA627F">
        <w:t xml:space="preserve"> As to the State party’s argument</w:t>
      </w:r>
      <w:r w:rsidR="003F3860">
        <w:t>s</w:t>
      </w:r>
      <w:r w:rsidR="00FA627F">
        <w:t xml:space="preserve"> that there is no situation of </w:t>
      </w:r>
      <w:r w:rsidR="00FA627F" w:rsidRPr="005E5057">
        <w:t>generali</w:t>
      </w:r>
      <w:r w:rsidR="0049191E">
        <w:t>z</w:t>
      </w:r>
      <w:r w:rsidR="00FA627F" w:rsidRPr="005E5057">
        <w:t>ed violence</w:t>
      </w:r>
      <w:r w:rsidR="003F3860">
        <w:t xml:space="preserve"> and that there is no practice of systematic human rights violations in </w:t>
      </w:r>
      <w:smartTag w:uri="urn:schemas-microsoft-com:office:smarttags" w:element="country-region">
        <w:smartTag w:uri="urn:schemas-microsoft-com:office:smarttags" w:element="place">
          <w:r w:rsidR="003F3860">
            <w:t>Yemen</w:t>
          </w:r>
        </w:smartTag>
      </w:smartTag>
      <w:r w:rsidR="003F3860">
        <w:t>, the complainants recall their initial submission of 24 June 2011</w:t>
      </w:r>
      <w:r w:rsidR="0049191E">
        <w:t>, which</w:t>
      </w:r>
      <w:r w:rsidR="003F3860">
        <w:t xml:space="preserve"> referred to various sources that suggested </w:t>
      </w:r>
      <w:r w:rsidR="003F3860">
        <w:lastRenderedPageBreak/>
        <w:t>the opposite. In addition, they refer to a number of recent reports</w:t>
      </w:r>
      <w:r w:rsidR="003F3860">
        <w:rPr>
          <w:rStyle w:val="FootnoteReference"/>
        </w:rPr>
        <w:footnoteReference w:id="11"/>
      </w:r>
      <w:r w:rsidR="003F3860">
        <w:t xml:space="preserve"> indicating that torture and other ill-treatment are widespread practices in </w:t>
      </w:r>
      <w:smartTag w:uri="urn:schemas-microsoft-com:office:smarttags" w:element="place">
        <w:smartTag w:uri="urn:schemas-microsoft-com:office:smarttags" w:element="country-region">
          <w:r w:rsidR="003F3860">
            <w:t>Yemen</w:t>
          </w:r>
        </w:smartTag>
      </w:smartTag>
      <w:r w:rsidR="003F3860">
        <w:t xml:space="preserve"> and that they are committed, generally with impunity, against detainees held in connection with politically motivated acts, peaceful demonstrations or ordinary criminal offences.  </w:t>
      </w:r>
    </w:p>
    <w:p w:rsidR="0073504D" w:rsidRDefault="00737D9D" w:rsidP="008930B8">
      <w:pPr>
        <w:pStyle w:val="SingleTxtG"/>
      </w:pPr>
      <w:r>
        <w:t>5.2</w:t>
      </w:r>
      <w:r w:rsidR="00530159">
        <w:tab/>
        <w:t>With regard to the State party’s argument</w:t>
      </w:r>
      <w:r w:rsidR="008930B8">
        <w:t>s</w:t>
      </w:r>
      <w:r w:rsidR="00530159">
        <w:t xml:space="preserve"> </w:t>
      </w:r>
      <w:r w:rsidR="008930B8">
        <w:t xml:space="preserve">that the first complainant has not been able to prove that he </w:t>
      </w:r>
      <w:r w:rsidR="00AB1E5A">
        <w:t>would face</w:t>
      </w:r>
      <w:r w:rsidR="008930B8">
        <w:t xml:space="preserve"> a foreseeable, personal and real risk of being subjected to torture if returned to Yemen, and that the attestations provided by him to the asylum authorities have been written by complaisance, the </w:t>
      </w:r>
      <w:r w:rsidR="00AB1E5A">
        <w:t>first complainant</w:t>
      </w:r>
      <w:r w:rsidR="008930B8">
        <w:t xml:space="preserve"> recall</w:t>
      </w:r>
      <w:r w:rsidR="00AB1E5A">
        <w:t>s</w:t>
      </w:r>
      <w:r w:rsidR="008930B8">
        <w:t xml:space="preserve"> that he handed in several official documents in support of his allegations</w:t>
      </w:r>
      <w:r w:rsidR="00E44507">
        <w:t xml:space="preserve"> and that these allegations find confirmation in independent reports</w:t>
      </w:r>
      <w:r w:rsidR="008930B8">
        <w:t xml:space="preserve">. The State party, however, has not </w:t>
      </w:r>
      <w:r w:rsidR="00AB1E5A">
        <w:t xml:space="preserve">substantiated </w:t>
      </w:r>
      <w:r w:rsidR="008930B8">
        <w:t xml:space="preserve">its claim that these documents may be </w:t>
      </w:r>
      <w:r w:rsidR="00DB7BB1">
        <w:t>in</w:t>
      </w:r>
      <w:r w:rsidR="008930B8">
        <w:t xml:space="preserve">authentic. </w:t>
      </w:r>
      <w:r w:rsidR="00E44507">
        <w:t xml:space="preserve">In particular, there are no specific indications of falsification. </w:t>
      </w:r>
      <w:r w:rsidR="0073504D">
        <w:t xml:space="preserve">As to the </w:t>
      </w:r>
      <w:r w:rsidR="00E44507">
        <w:t>State party</w:t>
      </w:r>
      <w:r w:rsidR="0073504D">
        <w:t xml:space="preserve">’s </w:t>
      </w:r>
      <w:r w:rsidR="00E44507">
        <w:t>criticis</w:t>
      </w:r>
      <w:r w:rsidR="0073504D">
        <w:t xml:space="preserve">m </w:t>
      </w:r>
      <w:r w:rsidR="00E44507">
        <w:t>that the attestations do not indicate the source of the information that they contain</w:t>
      </w:r>
      <w:r w:rsidR="0073504D">
        <w:t>, the complainants argue that s</w:t>
      </w:r>
      <w:r w:rsidR="00E44507">
        <w:t>ince it is impossible for the</w:t>
      </w:r>
      <w:r w:rsidR="0073504D">
        <w:t xml:space="preserve">m </w:t>
      </w:r>
      <w:r w:rsidR="00E44507">
        <w:t>to prove the authenticity</w:t>
      </w:r>
      <w:r w:rsidR="0073504D">
        <w:t xml:space="preserve"> of these documents</w:t>
      </w:r>
      <w:r w:rsidR="00E44507">
        <w:t>,</w:t>
      </w:r>
      <w:r w:rsidR="0073504D">
        <w:t xml:space="preserve"> they must be accepted as evidence until proven</w:t>
      </w:r>
      <w:r w:rsidR="0049191E">
        <w:t xml:space="preserve"> inauthentic</w:t>
      </w:r>
      <w:r w:rsidR="0073504D">
        <w:t xml:space="preserve">. </w:t>
      </w:r>
    </w:p>
    <w:p w:rsidR="00CB255E" w:rsidRDefault="00737D9D" w:rsidP="008930B8">
      <w:pPr>
        <w:pStyle w:val="SingleTxtG"/>
      </w:pPr>
      <w:r>
        <w:t>5.3</w:t>
      </w:r>
      <w:r w:rsidR="0073504D">
        <w:tab/>
        <w:t xml:space="preserve">In relation to the State party’s assertion that the first complainant did not take part in significant political activity before his departure from </w:t>
      </w:r>
      <w:smartTag w:uri="urn:schemas-microsoft-com:office:smarttags" w:element="country-region">
        <w:r w:rsidR="0073504D">
          <w:t>Yemen</w:t>
        </w:r>
      </w:smartTag>
      <w:r w:rsidR="0073504D">
        <w:t xml:space="preserve">, except for the demonstration that led to his arrest, the first complainant recalls that he was a member of the Yemeni Socialist Party before the unification of </w:t>
      </w:r>
      <w:smartTag w:uri="urn:schemas-microsoft-com:office:smarttags" w:element="place">
        <w:smartTag w:uri="urn:schemas-microsoft-com:office:smarttags" w:element="country-region">
          <w:r w:rsidR="0073504D">
            <w:t>Yemen</w:t>
          </w:r>
        </w:smartTag>
      </w:smartTag>
      <w:r w:rsidR="0073504D">
        <w:t>. H</w:t>
      </w:r>
      <w:r w:rsidR="000C4CCB">
        <w:t>e adds that, while</w:t>
      </w:r>
      <w:r w:rsidR="0073504D">
        <w:t xml:space="preserve"> his statement that he was a member in order to obtain certain privileges clearly implies that he did not agree with the views of the Yemeni Socialist Party</w:t>
      </w:r>
      <w:r w:rsidR="00F87E8A">
        <w:t>, he also stated during the asylum interviews that he always had a certain “internal anger”</w:t>
      </w:r>
      <w:r w:rsidR="00234595">
        <w:t>,</w:t>
      </w:r>
      <w:r w:rsidR="00F87E8A">
        <w:t xml:space="preserve"> meaning that he was unhappy with the political situation and wanted things to change. The first complainant submits that the demonstration in the course of which he had been beaten and arrested together with his earlier membership in the Yemeni Socialist Party were apparently enough to make him a target of the Yemeni authorities. Moreover, irrespective of his previous political motivation, it does not take much to </w:t>
      </w:r>
      <w:r w:rsidR="00D5524A">
        <w:t>trigger</w:t>
      </w:r>
      <w:r w:rsidR="00F87E8A">
        <w:t xml:space="preserve"> the suspicion of the Yemeni authorities and to consequently face torture or other ill-treatment. </w:t>
      </w:r>
    </w:p>
    <w:p w:rsidR="00D5524A" w:rsidRDefault="00CB255E" w:rsidP="008930B8">
      <w:pPr>
        <w:pStyle w:val="SingleTxtG"/>
      </w:pPr>
      <w:r>
        <w:t>5.</w:t>
      </w:r>
      <w:r w:rsidR="00737D9D">
        <w:t>4</w:t>
      </w:r>
      <w:r>
        <w:tab/>
        <w:t>The first complainant further submit</w:t>
      </w:r>
      <w:r w:rsidR="000C4CCB">
        <w:t>s</w:t>
      </w:r>
      <w:r>
        <w:t xml:space="preserve"> that </w:t>
      </w:r>
      <w:r w:rsidR="00DE4113">
        <w:t xml:space="preserve">the attestation issued on 22 January 2011 by the Southern Democratic Assembly in the United Kingdom states, </w:t>
      </w:r>
      <w:r w:rsidR="00DE4113" w:rsidRPr="00234595">
        <w:t>inter alia</w:t>
      </w:r>
      <w:r w:rsidR="00DE4113">
        <w:t xml:space="preserve">, that his previous political activities and his membership in the Southern Democratic Assembly has made him a target of the Yemeni security service. </w:t>
      </w:r>
    </w:p>
    <w:p w:rsidR="00C521BD" w:rsidRDefault="00D5524A" w:rsidP="008930B8">
      <w:pPr>
        <w:pStyle w:val="SingleTxtG"/>
      </w:pPr>
      <w:r>
        <w:t>5.</w:t>
      </w:r>
      <w:r w:rsidR="00737D9D">
        <w:t>5</w:t>
      </w:r>
      <w:r>
        <w:tab/>
        <w:t>As to the State party’s arguments summari</w:t>
      </w:r>
      <w:r w:rsidR="00234595">
        <w:t>z</w:t>
      </w:r>
      <w:r>
        <w:t xml:space="preserve">ed in paragraphs 4.15 and 4.16 above, the first complainant submits that he holds an important </w:t>
      </w:r>
      <w:r w:rsidR="00A8077D">
        <w:t xml:space="preserve">position </w:t>
      </w:r>
      <w:r>
        <w:t>in the Southern Democratic Assembly in the canton of Fribourg and adds that there are reasons to believe that he will be apprehended upon his return to Yemen due to his past experiences in that country. Moreover, a s</w:t>
      </w:r>
      <w:r w:rsidR="00AE2198">
        <w:t>imple search on the Internet could</w:t>
      </w:r>
      <w:r>
        <w:t xml:space="preserve"> reveal his political activities in exile. The first complainant recalls his initial claims that he comes from a politically active family and that his family name alone is sufficient to trigger the suspicion of the Yemeni authorities (see paragraph 3.4 above). Furthermore, due to his detention in </w:t>
      </w:r>
      <w:smartTag w:uri="urn:schemas-microsoft-com:office:smarttags" w:element="place">
        <w:smartTag w:uri="urn:schemas-microsoft-com:office:smarttags" w:element="country-region">
          <w:r>
            <w:t>Yemen</w:t>
          </w:r>
        </w:smartTag>
      </w:smartTag>
      <w:r>
        <w:t xml:space="preserve"> after the demonstration of 21 May 2009, it is very likely that he is known to the Yemeni authorities and </w:t>
      </w:r>
      <w:r w:rsidR="004C4B81">
        <w:t>will therefore be identified by them upon arrival.</w:t>
      </w:r>
    </w:p>
    <w:p w:rsidR="00530159" w:rsidRDefault="00C521BD" w:rsidP="008930B8">
      <w:pPr>
        <w:pStyle w:val="SingleTxtG"/>
      </w:pPr>
      <w:r>
        <w:t>5.</w:t>
      </w:r>
      <w:r w:rsidR="00737D9D">
        <w:t>6</w:t>
      </w:r>
      <w:r>
        <w:tab/>
        <w:t xml:space="preserve">Concerning the credibility of the explanations given by the first complainant as to how he left </w:t>
      </w:r>
      <w:smartTag w:uri="urn:schemas-microsoft-com:office:smarttags" w:element="place">
        <w:smartTag w:uri="urn:schemas-microsoft-com:office:smarttags" w:element="country-region">
          <w:r>
            <w:t>Yemen</w:t>
          </w:r>
        </w:smartTag>
      </w:smartTag>
      <w:r>
        <w:t>, he submits that the friend who helped him organi</w:t>
      </w:r>
      <w:r w:rsidR="00626BF4">
        <w:t>z</w:t>
      </w:r>
      <w:r>
        <w:t xml:space="preserve">e the departure put himself at a risk. The </w:t>
      </w:r>
      <w:r w:rsidR="00737D9D">
        <w:t xml:space="preserve">first complainant adds that there is no reason why this should not be </w:t>
      </w:r>
      <w:r w:rsidR="00737D9D">
        <w:lastRenderedPageBreak/>
        <w:t xml:space="preserve">compatible with the reality in </w:t>
      </w:r>
      <w:smartTag w:uri="urn:schemas-microsoft-com:office:smarttags" w:element="place">
        <w:smartTag w:uri="urn:schemas-microsoft-com:office:smarttags" w:element="country-region">
          <w:r w:rsidR="00737D9D">
            <w:t>Yemen</w:t>
          </w:r>
        </w:smartTag>
      </w:smartTag>
      <w:r w:rsidR="00737D9D">
        <w:t>, as claimed by the State party. Furthermore, his accounts were detailed, substantiated and credible. The first complainant recalls that he never claimed to have been a high</w:t>
      </w:r>
      <w:r w:rsidR="00626BF4">
        <w:t>-</w:t>
      </w:r>
      <w:r w:rsidR="00737D9D">
        <w:t xml:space="preserve">ranking </w:t>
      </w:r>
      <w:r w:rsidR="00737D9D" w:rsidRPr="005E5057">
        <w:t xml:space="preserve">member of the Southern Movement. Nevertheless, he was perceived as a critic </w:t>
      </w:r>
      <w:r w:rsidR="00C41106">
        <w:t>of the G</w:t>
      </w:r>
      <w:r w:rsidR="00C41106" w:rsidRPr="005E5057">
        <w:t xml:space="preserve">overnment </w:t>
      </w:r>
      <w:r w:rsidR="00737D9D" w:rsidRPr="005E5057">
        <w:t xml:space="preserve">by the Yemeni authorities and put under intense pressure. His departure from </w:t>
      </w:r>
      <w:smartTag w:uri="urn:schemas-microsoft-com:office:smarttags" w:element="place">
        <w:smartTag w:uri="urn:schemas-microsoft-com:office:smarttags" w:element="country-region">
          <w:r w:rsidR="00737D9D" w:rsidRPr="005E5057">
            <w:t>Yemen</w:t>
          </w:r>
        </w:smartTag>
      </w:smartTag>
      <w:r w:rsidR="00737D9D" w:rsidRPr="005E5057">
        <w:t xml:space="preserve"> in January 2010 was </w:t>
      </w:r>
      <w:r w:rsidR="00737D9D">
        <w:t>only possible with the help of the</w:t>
      </w:r>
      <w:r w:rsidR="00737D9D" w:rsidRPr="005E5057">
        <w:t xml:space="preserve"> friend</w:t>
      </w:r>
      <w:r w:rsidR="00563DC2">
        <w:t xml:space="preserve"> and</w:t>
      </w:r>
      <w:r w:rsidR="00737D9D" w:rsidRPr="005E5057">
        <w:t xml:space="preserve"> significant financial investments</w:t>
      </w:r>
      <w:r w:rsidR="00563DC2">
        <w:t>,</w:t>
      </w:r>
      <w:r w:rsidR="00737D9D" w:rsidRPr="005E5057">
        <w:t xml:space="preserve"> and due to his low profile. </w:t>
      </w:r>
      <w:r w:rsidR="00737D9D">
        <w:t xml:space="preserve">  </w:t>
      </w:r>
    </w:p>
    <w:p w:rsidR="00BA4B1C" w:rsidRDefault="00737D9D" w:rsidP="003E482A">
      <w:pPr>
        <w:pStyle w:val="SingleTxtG"/>
      </w:pPr>
      <w:r>
        <w:t>5.7</w:t>
      </w:r>
      <w:r>
        <w:tab/>
      </w:r>
      <w:r w:rsidR="008B148D">
        <w:t xml:space="preserve">The </w:t>
      </w:r>
      <w:r>
        <w:t>first complainant argues</w:t>
      </w:r>
      <w:r w:rsidR="008B148D">
        <w:t xml:space="preserve"> that there is a real and imminent risk that he would </w:t>
      </w:r>
      <w:r>
        <w:t xml:space="preserve">be subjected to </w:t>
      </w:r>
      <w:r w:rsidR="008B148D">
        <w:t xml:space="preserve">torture or other inhuman and degrading treatment if he were forcibly returned to </w:t>
      </w:r>
      <w:smartTag w:uri="urn:schemas-microsoft-com:office:smarttags" w:element="place">
        <w:smartTag w:uri="urn:schemas-microsoft-com:office:smarttags" w:element="country-region">
          <w:r>
            <w:t>Yemen</w:t>
          </w:r>
        </w:smartTag>
      </w:smartTag>
      <w:r>
        <w:t xml:space="preserve">. He adds that by expelling him and his family to that country, </w:t>
      </w:r>
      <w:smartTag w:uri="urn:schemas-microsoft-com:office:smarttags" w:element="place">
        <w:smartTag w:uri="urn:schemas-microsoft-com:office:smarttags" w:element="country-region">
          <w:r>
            <w:t>Switzerland</w:t>
          </w:r>
        </w:smartTag>
      </w:smartTag>
      <w:r>
        <w:t xml:space="preserve"> would violate its obligations under article 3 of the Convention. </w:t>
      </w:r>
    </w:p>
    <w:p w:rsidR="00116B35" w:rsidRPr="00116B35" w:rsidRDefault="00116B35" w:rsidP="004310B2">
      <w:pPr>
        <w:pStyle w:val="H23G"/>
      </w:pPr>
      <w:r w:rsidRPr="00116B35">
        <w:tab/>
      </w:r>
      <w:r w:rsidRPr="00116B35">
        <w:tab/>
        <w:t>Issues and proceedings before the Committee</w:t>
      </w:r>
    </w:p>
    <w:p w:rsidR="00116B35" w:rsidRPr="00116B35" w:rsidRDefault="00116B35" w:rsidP="004310B2">
      <w:pPr>
        <w:pStyle w:val="H4G"/>
      </w:pPr>
      <w:r w:rsidRPr="00116B35">
        <w:tab/>
      </w:r>
      <w:r w:rsidRPr="00116B35">
        <w:tab/>
        <w:t>Consideration of admissibility</w:t>
      </w:r>
    </w:p>
    <w:p w:rsidR="0056743A" w:rsidRPr="006A459F" w:rsidRDefault="0056743A" w:rsidP="0056743A">
      <w:pPr>
        <w:pStyle w:val="SingleTxtG"/>
      </w:pPr>
      <w:r>
        <w:t>6</w:t>
      </w:r>
      <w:r w:rsidRPr="00661B7F">
        <w:t>.1</w:t>
      </w:r>
      <w:r w:rsidRPr="00661B7F">
        <w:tab/>
        <w:t xml:space="preserve">Before considering a claim contained in </w:t>
      </w:r>
      <w:r w:rsidRPr="006A459F">
        <w:t>a communication, the Committee must decide whether it is admissible under article 22 of the Convention. The Committee has ascertained, as it is required to do under article 22, paragraph 5(a), of the Convention, that the same matter has not been and is not being examined under another procedure of international investigation or settlement.</w:t>
      </w:r>
    </w:p>
    <w:p w:rsidR="00116B35" w:rsidRPr="006A459F" w:rsidRDefault="0056743A" w:rsidP="0056743A">
      <w:pPr>
        <w:pStyle w:val="SingleTxtG"/>
      </w:pPr>
      <w:r w:rsidRPr="006A459F">
        <w:t>6.2</w:t>
      </w:r>
      <w:r w:rsidRPr="006A459F">
        <w:tab/>
        <w:t>The Committee recalls that, in accordance with article 22, paragraph 5(b), of the Convention, it shall not consider any commu</w:t>
      </w:r>
      <w:r w:rsidR="00F4210F" w:rsidRPr="006A459F">
        <w:t>nication</w:t>
      </w:r>
      <w:r w:rsidRPr="006A459F">
        <w:t xml:space="preserve"> from an individual unless it has ascertained that the individual has exhausted all available domestic remedies. The Committee notes that in the instant case the State party has recognized that the complainant</w:t>
      </w:r>
      <w:r w:rsidR="00401169" w:rsidRPr="006A459F">
        <w:t>s have</w:t>
      </w:r>
      <w:r w:rsidRPr="006A459F">
        <w:t xml:space="preserve"> exhausted all available domestic remedies. As the Committee finds no further obstacles to admissibility, it declares the communication admissible.</w:t>
      </w:r>
    </w:p>
    <w:p w:rsidR="00116B35" w:rsidRPr="006A459F" w:rsidRDefault="00116B35" w:rsidP="004310B2">
      <w:pPr>
        <w:pStyle w:val="H4G"/>
      </w:pPr>
      <w:r w:rsidRPr="006A459F">
        <w:tab/>
      </w:r>
      <w:r w:rsidRPr="006A459F">
        <w:tab/>
        <w:t>Consideration of the merits</w:t>
      </w:r>
    </w:p>
    <w:p w:rsidR="00116B35" w:rsidRPr="00116B35" w:rsidRDefault="00116B35" w:rsidP="00116B35">
      <w:pPr>
        <w:pStyle w:val="SingleTxtG"/>
      </w:pPr>
      <w:r w:rsidRPr="006A459F">
        <w:t>7</w:t>
      </w:r>
      <w:r w:rsidRPr="006A459F">
        <w:rPr>
          <w:lang w:val="en-US"/>
        </w:rPr>
        <w:t>.1</w:t>
      </w:r>
      <w:r w:rsidRPr="006A459F">
        <w:rPr>
          <w:lang w:val="en-US"/>
        </w:rPr>
        <w:tab/>
      </w:r>
      <w:r w:rsidRPr="006A459F">
        <w:t>In accordance with article 22, paragraph 4, of the Convention, the Committee has considered the present communication in the light of all information</w:t>
      </w:r>
      <w:r w:rsidRPr="00116B35">
        <w:t xml:space="preserve"> made available to it by the parties concerned.</w:t>
      </w:r>
    </w:p>
    <w:p w:rsidR="005120DF" w:rsidRPr="00116B35" w:rsidRDefault="00116B35" w:rsidP="005120DF">
      <w:pPr>
        <w:pStyle w:val="SingleTxtG"/>
        <w:rPr>
          <w:lang w:val="en-US"/>
        </w:rPr>
      </w:pPr>
      <w:r w:rsidRPr="00116B35">
        <w:rPr>
          <w:lang w:val="en-US"/>
        </w:rPr>
        <w:t>7.2</w:t>
      </w:r>
      <w:r w:rsidRPr="00116B35">
        <w:rPr>
          <w:lang w:val="en-US"/>
        </w:rPr>
        <w:tab/>
        <w:t xml:space="preserve">The issue before the Committee is whether the removal of the </w:t>
      </w:r>
      <w:r w:rsidR="00AE2198">
        <w:rPr>
          <w:lang w:val="en-US"/>
        </w:rPr>
        <w:t xml:space="preserve">first </w:t>
      </w:r>
      <w:r w:rsidRPr="00116B35">
        <w:rPr>
          <w:lang w:val="en-US"/>
        </w:rPr>
        <w:t xml:space="preserve">complainant </w:t>
      </w:r>
      <w:r w:rsidR="00AE2198">
        <w:rPr>
          <w:lang w:val="en-US"/>
        </w:rPr>
        <w:t xml:space="preserve">and his family </w:t>
      </w:r>
      <w:r w:rsidRPr="00116B35">
        <w:rPr>
          <w:lang w:val="en-US"/>
        </w:rPr>
        <w:t xml:space="preserve">to </w:t>
      </w:r>
      <w:r w:rsidR="00AE2198">
        <w:rPr>
          <w:lang w:val="en-US"/>
        </w:rPr>
        <w:t xml:space="preserve">Yemen </w:t>
      </w:r>
      <w:r w:rsidR="005120DF">
        <w:rPr>
          <w:lang w:val="en-US"/>
        </w:rPr>
        <w:t>would violate the State party’</w:t>
      </w:r>
      <w:r w:rsidRPr="00116B35">
        <w:rPr>
          <w:lang w:val="en-US"/>
        </w:rPr>
        <w:t xml:space="preserve">s obligation under article 3 of the Convention not to expel or to return </w:t>
      </w:r>
      <w:r w:rsidRPr="00116B35">
        <w:t>(</w:t>
      </w:r>
      <w:r w:rsidRPr="00116B35">
        <w:rPr>
          <w:i/>
          <w:iCs/>
        </w:rPr>
        <w:t>refouler</w:t>
      </w:r>
      <w:r w:rsidRPr="00116B35">
        <w:t xml:space="preserve">) </w:t>
      </w:r>
      <w:r w:rsidRPr="00116B35">
        <w:rPr>
          <w:lang w:val="en-US"/>
        </w:rPr>
        <w:t xml:space="preserve">a person to another State where there are substantial grounds for believing </w:t>
      </w:r>
      <w:r w:rsidR="005120DF" w:rsidRPr="00116B35">
        <w:rPr>
          <w:lang w:val="en-US"/>
        </w:rPr>
        <w:t xml:space="preserve">that he or she would be in danger of being subjected to torture. The Committee must evaluate whether there are substantial grounds for believing that the </w:t>
      </w:r>
      <w:r w:rsidR="005120DF">
        <w:rPr>
          <w:lang w:val="en-US"/>
        </w:rPr>
        <w:t xml:space="preserve">first </w:t>
      </w:r>
      <w:r w:rsidR="005120DF" w:rsidRPr="00116B35">
        <w:rPr>
          <w:lang w:val="en-US"/>
        </w:rPr>
        <w:t xml:space="preserve">complainant would be personally in danger of being subjected to torture upon return to </w:t>
      </w:r>
      <w:smartTag w:uri="urn:schemas-microsoft-com:office:smarttags" w:element="place">
        <w:smartTag w:uri="urn:schemas-microsoft-com:office:smarttags" w:element="country-region">
          <w:r w:rsidR="005120DF">
            <w:rPr>
              <w:lang w:val="en-US"/>
            </w:rPr>
            <w:t>Yemen</w:t>
          </w:r>
        </w:smartTag>
      </w:smartTag>
      <w:r w:rsidR="005120DF" w:rsidRPr="00116B35">
        <w:rPr>
          <w:lang w:val="en-US"/>
        </w:rPr>
        <w:t xml:space="preserve">. In assessing this risk, the Committee must take into account all relevant considerations, pursuant to article 3, paragraph 2, of the Convention, including the existence of a consistent pattern of gross, flagrant or mass violations of human rights. However, the Committee recalls that the aim of such </w:t>
      </w:r>
      <w:r w:rsidR="00AE7E43">
        <w:rPr>
          <w:lang w:val="en-US"/>
        </w:rPr>
        <w:t xml:space="preserve">a </w:t>
      </w:r>
      <w:r w:rsidR="005120DF" w:rsidRPr="00116B35">
        <w:rPr>
          <w:lang w:val="en-US"/>
        </w:rPr>
        <w:t xml:space="preserve">determination is to establish whether the individual concerned would be personally at a foreseeable and real risk of being subjected to torture in the country to which he or she would return. </w:t>
      </w:r>
    </w:p>
    <w:p w:rsidR="005120DF" w:rsidRDefault="005120DF" w:rsidP="005120DF">
      <w:pPr>
        <w:pStyle w:val="SingleTxtG"/>
      </w:pPr>
      <w:r w:rsidRPr="00116B35">
        <w:t>7.3</w:t>
      </w:r>
      <w:r w:rsidRPr="00116B35">
        <w:tab/>
      </w:r>
      <w:r w:rsidRPr="00975DC0">
        <w:t xml:space="preserve">The Committee recalls its </w:t>
      </w:r>
      <w:r w:rsidR="00774F05">
        <w:t>G</w:t>
      </w:r>
      <w:r w:rsidRPr="00975DC0">
        <w:t xml:space="preserve">eneral </w:t>
      </w:r>
      <w:r w:rsidR="00774F05">
        <w:t>C</w:t>
      </w:r>
      <w:r w:rsidRPr="00975DC0">
        <w:t>omment No. 1, according to which the risk of torture must be assessed on grounds that go beyond mere theory or suspicion. While the risk does not have to meet the test of being “highly probable”</w:t>
      </w:r>
      <w:r>
        <w:t xml:space="preserve"> (para. 6)</w:t>
      </w:r>
      <w:r w:rsidRPr="00975DC0">
        <w:t>,</w:t>
      </w:r>
      <w:r w:rsidRPr="00E21CF8">
        <w:rPr>
          <w:spacing w:val="-2"/>
        </w:rPr>
        <w:t xml:space="preserve"> </w:t>
      </w:r>
      <w:r w:rsidRPr="00975DC0">
        <w:t xml:space="preserve">the Committee </w:t>
      </w:r>
      <w:r>
        <w:t xml:space="preserve">notes </w:t>
      </w:r>
      <w:r w:rsidRPr="00975DC0">
        <w:t xml:space="preserve">that the burden of proof generally falls on the complainant, who must present an </w:t>
      </w:r>
      <w:r w:rsidRPr="00975DC0">
        <w:lastRenderedPageBreak/>
        <w:t xml:space="preserve">arguable case that he </w:t>
      </w:r>
      <w:r>
        <w:t xml:space="preserve">or she </w:t>
      </w:r>
      <w:r w:rsidRPr="00975DC0">
        <w:t>faces a “foreseeable, real and personal” risk.</w:t>
      </w:r>
      <w:r w:rsidRPr="00975DC0">
        <w:rPr>
          <w:rStyle w:val="FootnoteReference"/>
        </w:rPr>
        <w:footnoteReference w:id="12"/>
      </w:r>
      <w:r w:rsidRPr="00975DC0">
        <w:t xml:space="preserve"> </w:t>
      </w:r>
      <w:r w:rsidRPr="004D4DD9">
        <w:t xml:space="preserve">The Committee </w:t>
      </w:r>
      <w:r>
        <w:t xml:space="preserve">further </w:t>
      </w:r>
      <w:r w:rsidRPr="004D4DD9">
        <w:t xml:space="preserve">recalls that </w:t>
      </w:r>
      <w:r>
        <w:t xml:space="preserve">in accordance with its </w:t>
      </w:r>
      <w:r w:rsidR="009564D2">
        <w:t>G</w:t>
      </w:r>
      <w:r w:rsidRPr="004D4DD9">
        <w:t xml:space="preserve">eneral </w:t>
      </w:r>
      <w:r w:rsidR="009564D2">
        <w:t>C</w:t>
      </w:r>
      <w:r w:rsidRPr="004D4DD9">
        <w:t>omment No</w:t>
      </w:r>
      <w:r>
        <w:t xml:space="preserve">. </w:t>
      </w:r>
      <w:r w:rsidRPr="004D4DD9">
        <w:t>1, it gives considerable weight to findings of fact that are made by organs of the State party concerned,</w:t>
      </w:r>
      <w:r w:rsidRPr="00120F06">
        <w:rPr>
          <w:vertAlign w:val="superscript"/>
        </w:rPr>
        <w:footnoteReference w:id="13"/>
      </w:r>
      <w:r w:rsidRPr="004D4DD9">
        <w:t xml:space="preserve"> while at the same time it is not bound by such findings and instead has the power, provided by article 22, paragraph 4, of the Convention, </w:t>
      </w:r>
      <w:r w:rsidR="00147AB0">
        <w:t>to</w:t>
      </w:r>
      <w:r w:rsidR="00147AB0" w:rsidRPr="004D4DD9">
        <w:t xml:space="preserve"> </w:t>
      </w:r>
      <w:r w:rsidRPr="004D4DD9">
        <w:t>free</w:t>
      </w:r>
      <w:r w:rsidR="00147AB0">
        <w:t>ly</w:t>
      </w:r>
      <w:r w:rsidRPr="004D4DD9">
        <w:t xml:space="preserve"> assess the facts based upon the full set of circumstances in</w:t>
      </w:r>
      <w:r w:rsidRPr="00C5404A">
        <w:t xml:space="preserve"> </w:t>
      </w:r>
      <w:r>
        <w:t xml:space="preserve">every case. </w:t>
      </w:r>
    </w:p>
    <w:p w:rsidR="00FD531B" w:rsidRDefault="00FD531B" w:rsidP="005120DF">
      <w:pPr>
        <w:pStyle w:val="SingleTxtG"/>
      </w:pPr>
      <w:r>
        <w:t>7.4</w:t>
      </w:r>
      <w:r>
        <w:tab/>
        <w:t>The Committee notes that the State party has drawn its attention to perceived factual inconsistences in the first complainant’s account. The Committee also takes note of the information furnished by</w:t>
      </w:r>
      <w:r w:rsidR="006A459F">
        <w:t xml:space="preserve"> the first complainant</w:t>
      </w:r>
      <w:r>
        <w:t xml:space="preserve"> on the points raised by the State party. It considers, </w:t>
      </w:r>
      <w:r>
        <w:rPr>
          <w:bCs/>
        </w:rPr>
        <w:t xml:space="preserve">however, that these inconsistences in the first complainant’s account do not constitute an obstacle for the Committee’s assessment of the risk of torture in case of his expulsion to </w:t>
      </w:r>
      <w:smartTag w:uri="urn:schemas-microsoft-com:office:smarttags" w:element="place">
        <w:smartTag w:uri="urn:schemas-microsoft-com:office:smarttags" w:element="country-region">
          <w:r>
            <w:rPr>
              <w:bCs/>
            </w:rPr>
            <w:t>Yemen</w:t>
          </w:r>
        </w:smartTag>
      </w:smartTag>
      <w:r>
        <w:rPr>
          <w:bCs/>
        </w:rPr>
        <w:t>.</w:t>
      </w:r>
    </w:p>
    <w:p w:rsidR="005120DF" w:rsidRPr="00F21F8C" w:rsidRDefault="00FD531B" w:rsidP="00D708E3">
      <w:pPr>
        <w:pStyle w:val="SingleTxtG"/>
        <w:rPr>
          <w:lang w:val="en-US"/>
        </w:rPr>
      </w:pPr>
      <w:r>
        <w:t>7.5</w:t>
      </w:r>
      <w:r w:rsidR="005120DF">
        <w:tab/>
      </w:r>
      <w:r w:rsidR="005120DF" w:rsidRPr="00E21CF8">
        <w:rPr>
          <w:spacing w:val="-2"/>
        </w:rPr>
        <w:t xml:space="preserve">In assessing the risk of torture in the present case, the Committee notes the </w:t>
      </w:r>
      <w:r w:rsidR="00D847A4">
        <w:rPr>
          <w:spacing w:val="-2"/>
        </w:rPr>
        <w:t xml:space="preserve">first complainant’s claims that between May 2009 and January 2010 </w:t>
      </w:r>
      <w:r w:rsidR="005120DF" w:rsidRPr="00E21CF8">
        <w:rPr>
          <w:spacing w:val="-2"/>
        </w:rPr>
        <w:t xml:space="preserve">he had been </w:t>
      </w:r>
      <w:r w:rsidR="00D847A4">
        <w:rPr>
          <w:spacing w:val="-2"/>
        </w:rPr>
        <w:t xml:space="preserve">arrested and detained by the Yemeni authorities on three separate occasions and that in the course of these detentions he had been subjected to beatings and threats. </w:t>
      </w:r>
      <w:r w:rsidR="005120DF" w:rsidRPr="00E21CF8">
        <w:rPr>
          <w:spacing w:val="-2"/>
        </w:rPr>
        <w:t>It further notes the State party’s argument</w:t>
      </w:r>
      <w:r w:rsidR="00D847A4">
        <w:rPr>
          <w:spacing w:val="-2"/>
        </w:rPr>
        <w:t xml:space="preserve"> that the</w:t>
      </w:r>
      <w:r w:rsidR="005120DF" w:rsidRPr="00E21CF8">
        <w:rPr>
          <w:spacing w:val="-2"/>
        </w:rPr>
        <w:t>s</w:t>
      </w:r>
      <w:r w:rsidR="00D847A4">
        <w:rPr>
          <w:spacing w:val="-2"/>
        </w:rPr>
        <w:t>e</w:t>
      </w:r>
      <w:r w:rsidR="005120DF" w:rsidRPr="00E21CF8">
        <w:rPr>
          <w:spacing w:val="-2"/>
        </w:rPr>
        <w:t xml:space="preserve"> allegation</w:t>
      </w:r>
      <w:r w:rsidR="00D847A4">
        <w:rPr>
          <w:spacing w:val="-2"/>
        </w:rPr>
        <w:t>s</w:t>
      </w:r>
      <w:r w:rsidR="005120DF" w:rsidRPr="00E21CF8">
        <w:rPr>
          <w:spacing w:val="-2"/>
        </w:rPr>
        <w:t xml:space="preserve"> </w:t>
      </w:r>
      <w:r w:rsidR="00D847A4">
        <w:rPr>
          <w:spacing w:val="-2"/>
        </w:rPr>
        <w:t>were</w:t>
      </w:r>
      <w:r w:rsidR="005120DF" w:rsidRPr="00E21CF8">
        <w:rPr>
          <w:spacing w:val="-2"/>
        </w:rPr>
        <w:t xml:space="preserve"> not substantiated by the </w:t>
      </w:r>
      <w:r w:rsidR="00D847A4">
        <w:rPr>
          <w:spacing w:val="-2"/>
        </w:rPr>
        <w:t xml:space="preserve">first </w:t>
      </w:r>
      <w:r w:rsidR="005120DF" w:rsidRPr="00E21CF8">
        <w:rPr>
          <w:spacing w:val="-2"/>
        </w:rPr>
        <w:t xml:space="preserve">complainant before </w:t>
      </w:r>
      <w:r w:rsidR="00C74073">
        <w:rPr>
          <w:spacing w:val="-2"/>
        </w:rPr>
        <w:t>the</w:t>
      </w:r>
      <w:r w:rsidR="005120DF" w:rsidRPr="00E21CF8">
        <w:rPr>
          <w:spacing w:val="-2"/>
        </w:rPr>
        <w:t xml:space="preserve"> </w:t>
      </w:r>
      <w:r w:rsidR="00C74073">
        <w:rPr>
          <w:spacing w:val="-2"/>
        </w:rPr>
        <w:t xml:space="preserve">State party’s </w:t>
      </w:r>
      <w:r w:rsidR="005120DF" w:rsidRPr="00E21CF8">
        <w:rPr>
          <w:spacing w:val="-2"/>
        </w:rPr>
        <w:t xml:space="preserve">asylum authorities during </w:t>
      </w:r>
      <w:r w:rsidR="00F16F43">
        <w:rPr>
          <w:spacing w:val="-2"/>
        </w:rPr>
        <w:t xml:space="preserve">the </w:t>
      </w:r>
      <w:r w:rsidR="00C74073">
        <w:rPr>
          <w:spacing w:val="-2"/>
        </w:rPr>
        <w:t xml:space="preserve">ordinary </w:t>
      </w:r>
      <w:r w:rsidR="005120DF" w:rsidRPr="00E21CF8">
        <w:rPr>
          <w:spacing w:val="-2"/>
        </w:rPr>
        <w:t>asylum proce</w:t>
      </w:r>
      <w:r w:rsidR="00C74073">
        <w:rPr>
          <w:spacing w:val="-2"/>
        </w:rPr>
        <w:t>e</w:t>
      </w:r>
      <w:r w:rsidR="005120DF" w:rsidRPr="00E21CF8">
        <w:rPr>
          <w:spacing w:val="-2"/>
        </w:rPr>
        <w:t>d</w:t>
      </w:r>
      <w:r w:rsidR="00C74073">
        <w:rPr>
          <w:spacing w:val="-2"/>
        </w:rPr>
        <w:t>ing</w:t>
      </w:r>
      <w:r w:rsidR="006A459F">
        <w:rPr>
          <w:spacing w:val="-2"/>
        </w:rPr>
        <w:t>s</w:t>
      </w:r>
      <w:r w:rsidR="00C74073">
        <w:rPr>
          <w:spacing w:val="-2"/>
        </w:rPr>
        <w:t xml:space="preserve"> </w:t>
      </w:r>
      <w:r w:rsidR="005120DF" w:rsidRPr="00E21CF8">
        <w:rPr>
          <w:spacing w:val="-2"/>
        </w:rPr>
        <w:t xml:space="preserve">and that </w:t>
      </w:r>
      <w:r w:rsidR="00C74073">
        <w:rPr>
          <w:spacing w:val="-2"/>
        </w:rPr>
        <w:t xml:space="preserve">the evidence provided by him </w:t>
      </w:r>
      <w:r w:rsidR="00D708E3">
        <w:rPr>
          <w:spacing w:val="-2"/>
        </w:rPr>
        <w:t>did</w:t>
      </w:r>
      <w:r w:rsidR="00C74073">
        <w:rPr>
          <w:spacing w:val="-2"/>
        </w:rPr>
        <w:t xml:space="preserve"> not specify the reasons for any of these detentions. </w:t>
      </w:r>
      <w:r w:rsidR="005120DF" w:rsidRPr="00E21CF8">
        <w:rPr>
          <w:spacing w:val="-2"/>
        </w:rPr>
        <w:t xml:space="preserve">The Committee also notes that the State </w:t>
      </w:r>
      <w:r w:rsidR="00C74073">
        <w:rPr>
          <w:spacing w:val="-2"/>
        </w:rPr>
        <w:t xml:space="preserve">party </w:t>
      </w:r>
      <w:r w:rsidR="005120DF" w:rsidRPr="00E21CF8">
        <w:rPr>
          <w:spacing w:val="-2"/>
        </w:rPr>
        <w:t xml:space="preserve">questions the authenticity of the </w:t>
      </w:r>
      <w:r w:rsidR="00C74073">
        <w:rPr>
          <w:spacing w:val="-2"/>
        </w:rPr>
        <w:t xml:space="preserve">attestations issued by </w:t>
      </w:r>
      <w:r w:rsidR="00143046">
        <w:rPr>
          <w:spacing w:val="-2"/>
        </w:rPr>
        <w:t xml:space="preserve">the </w:t>
      </w:r>
      <w:r w:rsidR="00C74073">
        <w:rPr>
          <w:spacing w:val="-2"/>
        </w:rPr>
        <w:t>al-Mansoura prison authorities, al-Mauna, the Southern Democratic Assembly based in the United Kingdom and the office of</w:t>
      </w:r>
      <w:r w:rsidR="002669E0">
        <w:rPr>
          <w:spacing w:val="-2"/>
        </w:rPr>
        <w:t xml:space="preserve"> the former P</w:t>
      </w:r>
      <w:r w:rsidR="00C74073">
        <w:rPr>
          <w:spacing w:val="-2"/>
        </w:rPr>
        <w:t>resident of the Democratic Republic of Yemen</w:t>
      </w:r>
      <w:r w:rsidR="00D708E3">
        <w:rPr>
          <w:spacing w:val="-2"/>
        </w:rPr>
        <w:t xml:space="preserve">, because, </w:t>
      </w:r>
      <w:r w:rsidR="00D708E3" w:rsidRPr="00143046">
        <w:rPr>
          <w:spacing w:val="-2"/>
        </w:rPr>
        <w:t>inter alia,</w:t>
      </w:r>
      <w:r w:rsidR="00D708E3">
        <w:rPr>
          <w:spacing w:val="-2"/>
        </w:rPr>
        <w:t xml:space="preserve"> they did not </w:t>
      </w:r>
      <w:r w:rsidR="00D708E3">
        <w:t>indicate the source of the information that they contained and</w:t>
      </w:r>
      <w:r w:rsidR="00D708E3" w:rsidRPr="00D708E3">
        <w:t xml:space="preserve"> </w:t>
      </w:r>
      <w:r w:rsidR="00D708E3">
        <w:t xml:space="preserve">did not fully correspond to the first complainant’s own accounts. </w:t>
      </w:r>
      <w:r w:rsidR="005120DF" w:rsidRPr="00E21CF8">
        <w:rPr>
          <w:spacing w:val="-2"/>
        </w:rPr>
        <w:t xml:space="preserve">The Committee also takes note of the information furnished by </w:t>
      </w:r>
      <w:r w:rsidR="00D708E3">
        <w:rPr>
          <w:spacing w:val="-2"/>
        </w:rPr>
        <w:t>him</w:t>
      </w:r>
      <w:r w:rsidR="005120DF" w:rsidRPr="00E21CF8">
        <w:rPr>
          <w:spacing w:val="-2"/>
        </w:rPr>
        <w:t xml:space="preserve"> on these points. It observes in this regard that </w:t>
      </w:r>
      <w:r w:rsidR="00D708E3">
        <w:rPr>
          <w:spacing w:val="-2"/>
        </w:rPr>
        <w:t>the first complainant</w:t>
      </w:r>
      <w:r w:rsidR="005120DF" w:rsidRPr="00E21CF8">
        <w:rPr>
          <w:spacing w:val="-2"/>
        </w:rPr>
        <w:t xml:space="preserve"> has not submi</w:t>
      </w:r>
      <w:r w:rsidR="00D708E3">
        <w:rPr>
          <w:spacing w:val="-2"/>
        </w:rPr>
        <w:t>tted any evidence supporting his</w:t>
      </w:r>
      <w:r w:rsidR="005120DF" w:rsidRPr="00E21CF8">
        <w:rPr>
          <w:spacing w:val="-2"/>
        </w:rPr>
        <w:t xml:space="preserve"> claims of having been </w:t>
      </w:r>
      <w:r w:rsidR="00D708E3">
        <w:rPr>
          <w:spacing w:val="-2"/>
        </w:rPr>
        <w:t>subjected to i</w:t>
      </w:r>
      <w:r w:rsidR="005120DF" w:rsidRPr="00E21CF8">
        <w:rPr>
          <w:spacing w:val="-2"/>
        </w:rPr>
        <w:t>ll-treat</w:t>
      </w:r>
      <w:r w:rsidR="00D708E3">
        <w:rPr>
          <w:spacing w:val="-2"/>
        </w:rPr>
        <w:t xml:space="preserve">ment </w:t>
      </w:r>
      <w:r w:rsidR="005120DF" w:rsidRPr="00E21CF8">
        <w:rPr>
          <w:spacing w:val="-2"/>
        </w:rPr>
        <w:t xml:space="preserve">by the </w:t>
      </w:r>
      <w:r w:rsidR="00D708E3">
        <w:rPr>
          <w:spacing w:val="-2"/>
        </w:rPr>
        <w:t>Yemeni authorities prior to his</w:t>
      </w:r>
      <w:r w:rsidR="005120DF" w:rsidRPr="00E21CF8">
        <w:rPr>
          <w:spacing w:val="-2"/>
        </w:rPr>
        <w:t xml:space="preserve"> arrival in Switzerland</w:t>
      </w:r>
      <w:r w:rsidR="0058733B">
        <w:rPr>
          <w:spacing w:val="-2"/>
        </w:rPr>
        <w:t xml:space="preserve">, including medical reports attesting that </w:t>
      </w:r>
      <w:r w:rsidR="00297523">
        <w:rPr>
          <w:spacing w:val="-2"/>
        </w:rPr>
        <w:t xml:space="preserve">he was injured as a result of receiving a truncheon blow </w:t>
      </w:r>
      <w:r w:rsidR="00143046">
        <w:rPr>
          <w:spacing w:val="-2"/>
        </w:rPr>
        <w:t xml:space="preserve">to </w:t>
      </w:r>
      <w:r w:rsidR="00297523">
        <w:rPr>
          <w:spacing w:val="-2"/>
        </w:rPr>
        <w:t>his nose,</w:t>
      </w:r>
      <w:r w:rsidR="005120DF" w:rsidRPr="00E21CF8">
        <w:rPr>
          <w:spacing w:val="-2"/>
        </w:rPr>
        <w:t xml:space="preserve"> or suggesting that the </w:t>
      </w:r>
      <w:r w:rsidR="00D708E3">
        <w:rPr>
          <w:spacing w:val="-2"/>
        </w:rPr>
        <w:t xml:space="preserve">Political Security </w:t>
      </w:r>
      <w:r w:rsidR="00C53D92">
        <w:t>Organization</w:t>
      </w:r>
      <w:r w:rsidR="00C53D92" w:rsidDel="00C53D92">
        <w:rPr>
          <w:spacing w:val="-2"/>
        </w:rPr>
        <w:t xml:space="preserve"> </w:t>
      </w:r>
      <w:r w:rsidR="005120DF" w:rsidRPr="00E21CF8">
        <w:rPr>
          <w:spacing w:val="-2"/>
        </w:rPr>
        <w:t xml:space="preserve">or other authorities in </w:t>
      </w:r>
      <w:r w:rsidR="00D708E3">
        <w:rPr>
          <w:spacing w:val="-2"/>
        </w:rPr>
        <w:t xml:space="preserve">Yemen </w:t>
      </w:r>
      <w:r w:rsidR="005120DF" w:rsidRPr="00E21CF8">
        <w:rPr>
          <w:spacing w:val="-2"/>
        </w:rPr>
        <w:t>have</w:t>
      </w:r>
      <w:r w:rsidR="00D708E3">
        <w:rPr>
          <w:spacing w:val="-2"/>
        </w:rPr>
        <w:t xml:space="preserve"> been looking for him</w:t>
      </w:r>
      <w:r w:rsidR="005120DF" w:rsidRPr="00E21CF8">
        <w:rPr>
          <w:spacing w:val="-2"/>
        </w:rPr>
        <w:t xml:space="preserve"> since. </w:t>
      </w:r>
    </w:p>
    <w:p w:rsidR="005120DF" w:rsidRPr="00FD531B" w:rsidRDefault="00FD531B" w:rsidP="00FD531B">
      <w:pPr>
        <w:pStyle w:val="SingleTxtG"/>
        <w:rPr>
          <w:spacing w:val="-2"/>
          <w:lang w:val="en-US"/>
        </w:rPr>
      </w:pPr>
      <w:r>
        <w:t>7.6</w:t>
      </w:r>
      <w:r w:rsidR="005120DF">
        <w:tab/>
      </w:r>
      <w:r w:rsidR="005120DF" w:rsidRPr="00E21CF8">
        <w:rPr>
          <w:spacing w:val="-2"/>
        </w:rPr>
        <w:t>T</w:t>
      </w:r>
      <w:r w:rsidR="005120DF" w:rsidRPr="00E21CF8">
        <w:rPr>
          <w:spacing w:val="-2"/>
          <w:lang w:val="en-US"/>
        </w:rPr>
        <w:t xml:space="preserve">he Committee further notes the </w:t>
      </w:r>
      <w:r w:rsidR="00D708E3">
        <w:rPr>
          <w:spacing w:val="-2"/>
          <w:lang w:val="en-US"/>
        </w:rPr>
        <w:t xml:space="preserve">first </w:t>
      </w:r>
      <w:r w:rsidR="005120DF" w:rsidRPr="00E21CF8">
        <w:rPr>
          <w:spacing w:val="-2"/>
          <w:lang w:val="en-US"/>
        </w:rPr>
        <w:t xml:space="preserve">complainant’s </w:t>
      </w:r>
      <w:r w:rsidR="00D708E3">
        <w:rPr>
          <w:spacing w:val="-2"/>
          <w:lang w:val="en-US"/>
        </w:rPr>
        <w:t>allegations about his</w:t>
      </w:r>
      <w:r w:rsidR="005120DF" w:rsidRPr="00E21CF8">
        <w:rPr>
          <w:spacing w:val="-2"/>
          <w:lang w:val="en-US"/>
        </w:rPr>
        <w:t xml:space="preserve"> involvement in the activities of </w:t>
      </w:r>
      <w:r w:rsidR="00D708E3">
        <w:rPr>
          <w:spacing w:val="-2"/>
          <w:lang w:val="en-US"/>
        </w:rPr>
        <w:t>the Southern Democratic Assembly</w:t>
      </w:r>
      <w:r w:rsidR="005120DF" w:rsidRPr="00E21CF8">
        <w:rPr>
          <w:spacing w:val="-2"/>
        </w:rPr>
        <w:t xml:space="preserve">. </w:t>
      </w:r>
      <w:r w:rsidR="005120DF" w:rsidRPr="00E21CF8">
        <w:rPr>
          <w:spacing w:val="-2"/>
          <w:lang w:val="en-US"/>
        </w:rPr>
        <w:t xml:space="preserve">It notes, in particular, </w:t>
      </w:r>
      <w:r w:rsidR="00C01FC4">
        <w:rPr>
          <w:spacing w:val="-2"/>
          <w:lang w:val="en-US"/>
        </w:rPr>
        <w:t xml:space="preserve">that </w:t>
      </w:r>
      <w:r w:rsidR="005120DF" w:rsidRPr="00E21CF8">
        <w:rPr>
          <w:spacing w:val="-2"/>
          <w:lang w:val="en-US"/>
        </w:rPr>
        <w:t xml:space="preserve">he </w:t>
      </w:r>
      <w:r w:rsidR="005120DF" w:rsidRPr="00E21CF8">
        <w:rPr>
          <w:spacing w:val="-2"/>
        </w:rPr>
        <w:t xml:space="preserve">claims to </w:t>
      </w:r>
      <w:r w:rsidR="00C01FC4">
        <w:rPr>
          <w:spacing w:val="-2"/>
        </w:rPr>
        <w:t xml:space="preserve">hold an </w:t>
      </w:r>
      <w:r w:rsidR="00C01FC4">
        <w:t xml:space="preserve">important </w:t>
      </w:r>
      <w:r w:rsidR="0027197C">
        <w:t xml:space="preserve">position </w:t>
      </w:r>
      <w:r w:rsidR="00C01FC4">
        <w:t xml:space="preserve">in the Southern Democratic Assembly in the canton of Fribourg, with his name and photographs being linked to this organization and published on the Internet. </w:t>
      </w:r>
      <w:r w:rsidR="005120DF" w:rsidRPr="00E21CF8">
        <w:rPr>
          <w:spacing w:val="-2"/>
          <w:lang w:val="en-US"/>
        </w:rPr>
        <w:t xml:space="preserve">The Committee further notes the </w:t>
      </w:r>
      <w:r w:rsidR="00C01FC4">
        <w:rPr>
          <w:spacing w:val="-2"/>
          <w:lang w:val="en-US"/>
        </w:rPr>
        <w:t xml:space="preserve">first </w:t>
      </w:r>
      <w:r w:rsidR="005120DF" w:rsidRPr="00E21CF8">
        <w:rPr>
          <w:spacing w:val="-2"/>
          <w:lang w:val="en-US"/>
        </w:rPr>
        <w:t xml:space="preserve">complainant’s claim that </w:t>
      </w:r>
      <w:r w:rsidR="00C01FC4">
        <w:t xml:space="preserve">he comes from a politically active family and that his family name alone is sufficient to trigger the suspicion of the Yemeni authorities, </w:t>
      </w:r>
      <w:r w:rsidR="00C01FC4">
        <w:rPr>
          <w:spacing w:val="-2"/>
          <w:lang w:val="en-US"/>
        </w:rPr>
        <w:t xml:space="preserve">but observes that </w:t>
      </w:r>
      <w:r w:rsidR="005120DF" w:rsidRPr="00E21CF8">
        <w:rPr>
          <w:spacing w:val="-2"/>
          <w:lang w:val="en-US"/>
        </w:rPr>
        <w:t xml:space="preserve">he has not elaborated on this claim or presented any evidence to support it. In the Committee’s view, the </w:t>
      </w:r>
      <w:r w:rsidR="00C01FC4">
        <w:rPr>
          <w:spacing w:val="-2"/>
          <w:lang w:val="en-US"/>
        </w:rPr>
        <w:t xml:space="preserve">first </w:t>
      </w:r>
      <w:r w:rsidR="005120DF" w:rsidRPr="00E21CF8">
        <w:rPr>
          <w:spacing w:val="-2"/>
          <w:lang w:val="en-US"/>
        </w:rPr>
        <w:t xml:space="preserve">complainant has failed to adduce sufficient evidence about the conduct of any political activity </w:t>
      </w:r>
      <w:r>
        <w:rPr>
          <w:spacing w:val="-2"/>
          <w:lang w:val="en-US"/>
        </w:rPr>
        <w:t xml:space="preserve">in Switzerland </w:t>
      </w:r>
      <w:r w:rsidR="005120DF" w:rsidRPr="00E21CF8">
        <w:rPr>
          <w:spacing w:val="-2"/>
          <w:lang w:val="en-US"/>
        </w:rPr>
        <w:t xml:space="preserve">of such significance that would attract the interest of the </w:t>
      </w:r>
      <w:r>
        <w:rPr>
          <w:spacing w:val="-2"/>
          <w:lang w:val="en-US"/>
        </w:rPr>
        <w:t xml:space="preserve">Yemeni authorities, nor has </w:t>
      </w:r>
      <w:r w:rsidR="005120DF" w:rsidRPr="00E21CF8">
        <w:rPr>
          <w:spacing w:val="-2"/>
          <w:lang w:val="en-US"/>
        </w:rPr>
        <w:t>he submitted any other evidence to demonst</w:t>
      </w:r>
      <w:r>
        <w:rPr>
          <w:spacing w:val="-2"/>
          <w:lang w:val="en-US"/>
        </w:rPr>
        <w:t>rate that the authorities in his</w:t>
      </w:r>
      <w:r w:rsidR="005120DF" w:rsidRPr="00E21CF8">
        <w:rPr>
          <w:spacing w:val="-2"/>
          <w:lang w:val="en-US"/>
        </w:rPr>
        <w:t xml:space="preserve"> </w:t>
      </w:r>
      <w:r>
        <w:rPr>
          <w:spacing w:val="-2"/>
          <w:lang w:val="en-US"/>
        </w:rPr>
        <w:t>home country are looking for him</w:t>
      </w:r>
      <w:r w:rsidR="005120DF" w:rsidRPr="00E21CF8">
        <w:rPr>
          <w:spacing w:val="-2"/>
          <w:lang w:val="en-US"/>
        </w:rPr>
        <w:t xml:space="preserve"> or that he would face a personal risk of being tortured if returned to </w:t>
      </w:r>
      <w:r>
        <w:rPr>
          <w:spacing w:val="-2"/>
          <w:lang w:val="en-US"/>
        </w:rPr>
        <w:t>Yemen</w:t>
      </w:r>
      <w:r w:rsidR="005120DF" w:rsidRPr="00E21CF8">
        <w:rPr>
          <w:spacing w:val="-2"/>
          <w:lang w:val="en-US"/>
        </w:rPr>
        <w:t xml:space="preserve">. </w:t>
      </w:r>
    </w:p>
    <w:p w:rsidR="005120DF" w:rsidRDefault="00FD531B" w:rsidP="005120DF">
      <w:pPr>
        <w:pStyle w:val="SingleTxtG"/>
      </w:pPr>
      <w:r>
        <w:rPr>
          <w:lang w:val="en-US"/>
        </w:rPr>
        <w:t>7.7</w:t>
      </w:r>
      <w:r w:rsidR="005120DF" w:rsidRPr="00116B35">
        <w:rPr>
          <w:lang w:val="en-US"/>
        </w:rPr>
        <w:tab/>
        <w:t xml:space="preserve">The Committee </w:t>
      </w:r>
      <w:r w:rsidR="005120DF">
        <w:rPr>
          <w:lang w:val="en-US"/>
        </w:rPr>
        <w:t xml:space="preserve">concludes </w:t>
      </w:r>
      <w:r w:rsidR="005120DF" w:rsidRPr="00116B35">
        <w:rPr>
          <w:lang w:val="en-US"/>
        </w:rPr>
        <w:t xml:space="preserve">accordingly that the information submitted by the </w:t>
      </w:r>
      <w:r>
        <w:rPr>
          <w:lang w:val="en-US"/>
        </w:rPr>
        <w:t xml:space="preserve">first </w:t>
      </w:r>
      <w:r w:rsidR="005120DF" w:rsidRPr="00116B35">
        <w:rPr>
          <w:lang w:val="en-US"/>
        </w:rPr>
        <w:t xml:space="preserve">complainant, including </w:t>
      </w:r>
      <w:r w:rsidR="005120DF">
        <w:rPr>
          <w:lang w:val="en-US"/>
        </w:rPr>
        <w:t xml:space="preserve">the </w:t>
      </w:r>
      <w:r>
        <w:rPr>
          <w:lang w:val="en-US"/>
        </w:rPr>
        <w:t>unclear nature of his</w:t>
      </w:r>
      <w:r w:rsidR="005120DF">
        <w:rPr>
          <w:lang w:val="en-US"/>
        </w:rPr>
        <w:t xml:space="preserve"> political activities in </w:t>
      </w:r>
      <w:r>
        <w:rPr>
          <w:lang w:val="en-US"/>
        </w:rPr>
        <w:t xml:space="preserve">Yemen </w:t>
      </w:r>
      <w:r w:rsidR="005120DF">
        <w:rPr>
          <w:lang w:val="en-US"/>
        </w:rPr>
        <w:t>prior to h</w:t>
      </w:r>
      <w:r>
        <w:rPr>
          <w:lang w:val="en-US"/>
        </w:rPr>
        <w:t>is</w:t>
      </w:r>
      <w:r w:rsidR="005120DF">
        <w:rPr>
          <w:lang w:val="en-US"/>
        </w:rPr>
        <w:t xml:space="preserve"> departure from that country </w:t>
      </w:r>
      <w:r w:rsidR="005120DF" w:rsidRPr="00116B35">
        <w:rPr>
          <w:lang w:val="en-US"/>
        </w:rPr>
        <w:t>and the low-</w:t>
      </w:r>
      <w:r>
        <w:rPr>
          <w:lang w:val="en-US"/>
        </w:rPr>
        <w:t>level nature of his</w:t>
      </w:r>
      <w:r w:rsidR="005120DF" w:rsidRPr="00116B35">
        <w:rPr>
          <w:lang w:val="en-US"/>
        </w:rPr>
        <w:t xml:space="preserve"> political activities</w:t>
      </w:r>
      <w:r w:rsidR="0027197C">
        <w:rPr>
          <w:lang w:val="en-US"/>
        </w:rPr>
        <w:t xml:space="preserve"> in</w:t>
      </w:r>
      <w:r w:rsidR="005120DF" w:rsidRPr="00116B35">
        <w:rPr>
          <w:lang w:val="en-US"/>
        </w:rPr>
        <w:t xml:space="preserve"> Switzerland, is insufficient to </w:t>
      </w:r>
      <w:r w:rsidR="005120DF">
        <w:rPr>
          <w:lang w:val="en-US"/>
        </w:rPr>
        <w:t xml:space="preserve">show </w:t>
      </w:r>
      <w:r>
        <w:rPr>
          <w:lang w:val="en-US"/>
        </w:rPr>
        <w:t xml:space="preserve">that </w:t>
      </w:r>
      <w:r w:rsidR="005120DF" w:rsidRPr="00116B35">
        <w:rPr>
          <w:lang w:val="en-US"/>
        </w:rPr>
        <w:t xml:space="preserve">he would personally be exposed to a risk of being subjected to torture if returned to </w:t>
      </w:r>
      <w:r>
        <w:rPr>
          <w:lang w:val="en-US"/>
        </w:rPr>
        <w:t>Yemen</w:t>
      </w:r>
      <w:r w:rsidR="005120DF" w:rsidRPr="00116B35">
        <w:rPr>
          <w:lang w:val="en-US"/>
        </w:rPr>
        <w:t xml:space="preserve">. </w:t>
      </w:r>
      <w:r w:rsidR="005120DF" w:rsidRPr="00116B35">
        <w:t>The Committee is concerned at the many reports of human rights violations, including the use of torture</w:t>
      </w:r>
      <w:r w:rsidR="009D05A8">
        <w:t>,</w:t>
      </w:r>
      <w:r w:rsidR="005120DF" w:rsidRPr="00116B35">
        <w:t xml:space="preserve"> in </w:t>
      </w:r>
      <w:smartTag w:uri="urn:schemas-microsoft-com:office:smarttags" w:element="place">
        <w:smartTag w:uri="urn:schemas-microsoft-com:office:smarttags" w:element="country-region">
          <w:r>
            <w:t>Yemen</w:t>
          </w:r>
        </w:smartTag>
      </w:smartTag>
      <w:r w:rsidR="005120DF" w:rsidRPr="00116B35">
        <w:t>,</w:t>
      </w:r>
      <w:r w:rsidR="005120DF" w:rsidRPr="00116B35">
        <w:rPr>
          <w:vertAlign w:val="superscript"/>
        </w:rPr>
        <w:footnoteReference w:id="14"/>
      </w:r>
      <w:r w:rsidR="005120DF" w:rsidRPr="00116B35">
        <w:t xml:space="preserve"> but recalls that for the purposes of article 3 of the Convention the individual concerned must face a foreseeable, real and personal risk of being tortured in the country to which he or she is returned. In the light of the foregoing, the Committee deems that such a risk has not been established.</w:t>
      </w:r>
    </w:p>
    <w:p w:rsidR="00595929" w:rsidRDefault="00595929" w:rsidP="005120DF">
      <w:pPr>
        <w:pStyle w:val="SingleTxtG"/>
      </w:pPr>
      <w:r>
        <w:rPr>
          <w:bCs/>
        </w:rPr>
        <w:t>7.8</w:t>
      </w:r>
      <w:r>
        <w:rPr>
          <w:bCs/>
        </w:rPr>
        <w:tab/>
      </w:r>
      <w:r w:rsidRPr="00120F06">
        <w:rPr>
          <w:bCs/>
        </w:rPr>
        <w:t xml:space="preserve">As the cases </w:t>
      </w:r>
      <w:r>
        <w:rPr>
          <w:bCs/>
        </w:rPr>
        <w:t xml:space="preserve">the first complainant’s wife and their son </w:t>
      </w:r>
      <w:r w:rsidRPr="00120F06">
        <w:rPr>
          <w:bCs/>
        </w:rPr>
        <w:t>are dependent upon his case, the Committee does not find it necessary to consider these cases separately.</w:t>
      </w:r>
    </w:p>
    <w:p w:rsidR="005120DF" w:rsidRPr="00116B35" w:rsidRDefault="005120DF" w:rsidP="005120DF">
      <w:pPr>
        <w:pStyle w:val="SingleTxtG"/>
        <w:rPr>
          <w:lang w:val="en-US"/>
        </w:rPr>
      </w:pPr>
      <w:r w:rsidRPr="00116B35">
        <w:rPr>
          <w:lang w:val="en-US"/>
        </w:rPr>
        <w:t>8.</w:t>
      </w:r>
      <w:r w:rsidRPr="00116B35">
        <w:rPr>
          <w:lang w:val="en-US"/>
        </w:rPr>
        <w:tab/>
        <w:t>In the light of the above, the Committee against Torture, acting under article 22, paragraph 7</w:t>
      </w:r>
      <w:r>
        <w:rPr>
          <w:lang w:val="en-US"/>
        </w:rPr>
        <w:t>,</w:t>
      </w:r>
      <w:r w:rsidRPr="00116B35">
        <w:rPr>
          <w:lang w:val="en-US"/>
        </w:rPr>
        <w:t xml:space="preserve"> of the Convention against Torture and Other Cruel, Inhuman or Degrading Treatment or Punishment, concludes that the decision of the State party to </w:t>
      </w:r>
      <w:r w:rsidR="00595929">
        <w:rPr>
          <w:lang w:val="en-US"/>
        </w:rPr>
        <w:t xml:space="preserve">expel </w:t>
      </w:r>
      <w:r w:rsidRPr="00116B35">
        <w:rPr>
          <w:lang w:val="en-US"/>
        </w:rPr>
        <w:t>the complainant</w:t>
      </w:r>
      <w:r w:rsidR="00595929">
        <w:rPr>
          <w:lang w:val="en-US"/>
        </w:rPr>
        <w:t>s</w:t>
      </w:r>
      <w:r w:rsidRPr="00116B35">
        <w:rPr>
          <w:lang w:val="en-US"/>
        </w:rPr>
        <w:t xml:space="preserve"> to </w:t>
      </w:r>
      <w:r w:rsidR="00595929">
        <w:rPr>
          <w:lang w:val="en-US"/>
        </w:rPr>
        <w:t xml:space="preserve">Yemen </w:t>
      </w:r>
      <w:r w:rsidRPr="00116B35">
        <w:rPr>
          <w:lang w:val="en-US"/>
        </w:rPr>
        <w:t xml:space="preserve">would not constitute a </w:t>
      </w:r>
      <w:r>
        <w:rPr>
          <w:lang w:val="en-US"/>
        </w:rPr>
        <w:t xml:space="preserve">violation </w:t>
      </w:r>
      <w:r w:rsidRPr="00116B35">
        <w:rPr>
          <w:lang w:val="en-US"/>
        </w:rPr>
        <w:t xml:space="preserve">of article 3 of the Convention. </w:t>
      </w:r>
    </w:p>
    <w:p w:rsidR="005120DF" w:rsidRDefault="005120DF" w:rsidP="005120DF">
      <w:pPr>
        <w:pStyle w:val="SingleTxtG"/>
      </w:pPr>
      <w:r w:rsidRPr="00116B35">
        <w:t xml:space="preserve">[Adopted in English, French and Spanish, the English text being the original version. Subsequently to be issued also in Arabic, </w:t>
      </w:r>
      <w:r>
        <w:t xml:space="preserve">Chinese and </w:t>
      </w:r>
      <w:r w:rsidRPr="00116B35">
        <w:t>Russian as part of the Committee’s annual report to the General Assembly.]</w:t>
      </w:r>
    </w:p>
    <w:p w:rsidR="00116B35" w:rsidRDefault="00116B35" w:rsidP="00116B35">
      <w:pPr>
        <w:pStyle w:val="SingleTxtG"/>
        <w:rPr>
          <w:u w:val="single"/>
        </w:rPr>
      </w:pPr>
    </w:p>
    <w:p w:rsidR="00116B35" w:rsidRDefault="00116B35" w:rsidP="00116B35">
      <w:pPr>
        <w:pStyle w:val="SingleTxtG"/>
        <w:jc w:val="center"/>
        <w:rPr>
          <w:u w:val="single"/>
        </w:rPr>
      </w:pPr>
      <w:r w:rsidRPr="00661B7F">
        <w:rPr>
          <w:u w:val="single"/>
        </w:rPr>
        <w:tab/>
      </w:r>
      <w:r w:rsidRPr="00661B7F">
        <w:rPr>
          <w:u w:val="single"/>
        </w:rPr>
        <w:tab/>
      </w:r>
      <w:r w:rsidRPr="00661B7F">
        <w:rPr>
          <w:u w:val="single"/>
        </w:rPr>
        <w:tab/>
      </w:r>
    </w:p>
    <w:sectPr w:rsidR="00116B35" w:rsidSect="00116B35">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8D" w:rsidRDefault="00A1678D"/>
  </w:endnote>
  <w:endnote w:type="continuationSeparator" w:id="0">
    <w:p w:rsidR="00A1678D" w:rsidRDefault="00A1678D"/>
  </w:endnote>
  <w:endnote w:type="continuationNotice" w:id="1">
    <w:p w:rsidR="00A1678D" w:rsidRDefault="00A16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CF" w:rsidRPr="00116B35" w:rsidRDefault="00E53ACF" w:rsidP="00116B35">
    <w:pPr>
      <w:pStyle w:val="Footer"/>
      <w:tabs>
        <w:tab w:val="right" w:pos="9638"/>
      </w:tabs>
    </w:pPr>
    <w:r w:rsidRPr="00116B35">
      <w:rPr>
        <w:b/>
        <w:sz w:val="18"/>
      </w:rPr>
      <w:fldChar w:fldCharType="begin"/>
    </w:r>
    <w:r w:rsidRPr="00116B35">
      <w:rPr>
        <w:b/>
        <w:sz w:val="18"/>
      </w:rPr>
      <w:instrText xml:space="preserve"> PAGE  \* MERGEFORMAT </w:instrText>
    </w:r>
    <w:r w:rsidRPr="00116B35">
      <w:rPr>
        <w:b/>
        <w:sz w:val="18"/>
      </w:rPr>
      <w:fldChar w:fldCharType="separate"/>
    </w:r>
    <w:r w:rsidR="00270CCF">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CF" w:rsidRPr="00116B35" w:rsidRDefault="00E53ACF" w:rsidP="00116B35">
    <w:pPr>
      <w:pStyle w:val="Footer"/>
      <w:tabs>
        <w:tab w:val="right" w:pos="9638"/>
      </w:tabs>
      <w:rPr>
        <w:b/>
        <w:sz w:val="18"/>
      </w:rPr>
    </w:pPr>
    <w:r>
      <w:tab/>
    </w:r>
    <w:r w:rsidRPr="00116B35">
      <w:rPr>
        <w:b/>
        <w:sz w:val="18"/>
      </w:rPr>
      <w:fldChar w:fldCharType="begin"/>
    </w:r>
    <w:r w:rsidRPr="00116B35">
      <w:rPr>
        <w:b/>
        <w:sz w:val="18"/>
      </w:rPr>
      <w:instrText xml:space="preserve"> PAGE  \* MERGEFORMAT </w:instrText>
    </w:r>
    <w:r w:rsidRPr="00116B35">
      <w:rPr>
        <w:b/>
        <w:sz w:val="18"/>
      </w:rPr>
      <w:fldChar w:fldCharType="separate"/>
    </w:r>
    <w:r w:rsidR="00270CCF">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CF" w:rsidRPr="00116B35" w:rsidRDefault="00A1678D">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E53ACF">
      <w:t>GE.13</w:t>
    </w:r>
    <w:r w:rsidR="00A85AD1">
      <w:t>-</w:t>
    </w:r>
    <w:r w:rsidR="00E722C6">
      <w:t>45479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8D" w:rsidRPr="000B175B" w:rsidRDefault="00A1678D" w:rsidP="000B175B">
      <w:pPr>
        <w:tabs>
          <w:tab w:val="right" w:pos="2155"/>
        </w:tabs>
        <w:spacing w:after="80"/>
        <w:ind w:left="680"/>
        <w:rPr>
          <w:u w:val="single"/>
        </w:rPr>
      </w:pPr>
      <w:r>
        <w:rPr>
          <w:u w:val="single"/>
        </w:rPr>
        <w:tab/>
      </w:r>
    </w:p>
  </w:footnote>
  <w:footnote w:type="continuationSeparator" w:id="0">
    <w:p w:rsidR="00A1678D" w:rsidRPr="00FC68B7" w:rsidRDefault="00A1678D" w:rsidP="00FC68B7">
      <w:pPr>
        <w:tabs>
          <w:tab w:val="left" w:pos="2155"/>
        </w:tabs>
        <w:spacing w:after="80"/>
        <w:ind w:left="680"/>
        <w:rPr>
          <w:u w:val="single"/>
        </w:rPr>
      </w:pPr>
      <w:r>
        <w:rPr>
          <w:u w:val="single"/>
        </w:rPr>
        <w:tab/>
      </w:r>
    </w:p>
  </w:footnote>
  <w:footnote w:type="continuationNotice" w:id="1">
    <w:p w:rsidR="00A1678D" w:rsidRDefault="00A1678D"/>
  </w:footnote>
  <w:footnote w:id="2">
    <w:p w:rsidR="00E53ACF" w:rsidRPr="00674100" w:rsidRDefault="00E53ACF" w:rsidP="008213FE">
      <w:pPr>
        <w:pStyle w:val="FootnoteText"/>
        <w:jc w:val="both"/>
        <w:rPr>
          <w:lang w:val="en-US"/>
        </w:rPr>
      </w:pPr>
      <w:r>
        <w:tab/>
      </w:r>
      <w:r>
        <w:rPr>
          <w:rStyle w:val="FootnoteReference"/>
        </w:rPr>
        <w:footnoteRef/>
      </w:r>
      <w:r>
        <w:tab/>
        <w:t xml:space="preserve">The asylum application of S.A.Q. is based in its entirety on the alleged persecution of her husband by the Yemeni authorities. </w:t>
      </w:r>
    </w:p>
  </w:footnote>
  <w:footnote w:id="3">
    <w:p w:rsidR="00E53ACF" w:rsidRPr="003D56D3" w:rsidRDefault="00E53ACF" w:rsidP="003D56D3">
      <w:pPr>
        <w:pStyle w:val="FootnoteText"/>
        <w:jc w:val="both"/>
        <w:rPr>
          <w:lang w:val="en-US"/>
        </w:rPr>
      </w:pPr>
      <w:r>
        <w:tab/>
      </w:r>
      <w:r>
        <w:rPr>
          <w:rStyle w:val="FootnoteReference"/>
        </w:rPr>
        <w:footnoteRef/>
      </w:r>
      <w:r>
        <w:tab/>
        <w:t xml:space="preserve">The complainants did not establish, </w:t>
      </w:r>
      <w:r w:rsidRPr="00522DDC">
        <w:t>inter alia</w:t>
      </w:r>
      <w:r>
        <w:t>, that it was impossible for them to provide this information in the course of the ordinary asylum proceedings and before the decision of the Federal Administrative Court</w:t>
      </w:r>
      <w:r w:rsidDel="00DC21AD">
        <w:t xml:space="preserve"> </w:t>
      </w:r>
      <w:r>
        <w:t xml:space="preserve">of Switzerland on their appeal of 7 June 2010.  </w:t>
      </w:r>
    </w:p>
  </w:footnote>
  <w:footnote w:id="4">
    <w:p w:rsidR="00E53ACF" w:rsidRPr="000E1FA0" w:rsidRDefault="00E53ACF" w:rsidP="000E1FA0">
      <w:pPr>
        <w:pStyle w:val="FootnoteText"/>
        <w:jc w:val="both"/>
      </w:pPr>
      <w:r>
        <w:tab/>
      </w:r>
      <w:r>
        <w:rPr>
          <w:rStyle w:val="FootnoteReference"/>
        </w:rPr>
        <w:footnoteRef/>
      </w:r>
      <w:r>
        <w:tab/>
        <w:t>See</w:t>
      </w:r>
      <w:r w:rsidRPr="00DA7E69">
        <w:t xml:space="preserve"> Amnesty International, </w:t>
      </w:r>
      <w:smartTag w:uri="urn:schemas-microsoft-com:office:smarttags" w:element="country-region">
        <w:r w:rsidRPr="00E1614B">
          <w:rPr>
            <w:i/>
          </w:rPr>
          <w:t>Yemen</w:t>
        </w:r>
      </w:smartTag>
      <w:r w:rsidRPr="00E1614B">
        <w:rPr>
          <w:i/>
        </w:rPr>
        <w:t>: Cracking Down Under Pressure</w:t>
      </w:r>
      <w:r w:rsidRPr="00DA7E69">
        <w:t xml:space="preserve">, </w:t>
      </w:r>
      <w:smartTag w:uri="urn:schemas-microsoft-com:office:smarttags" w:element="City">
        <w:r>
          <w:t>London</w:t>
        </w:r>
      </w:smartTag>
      <w:r>
        <w:t xml:space="preserve">, </w:t>
      </w:r>
      <w:r w:rsidRPr="00DA7E69">
        <w:t>2010, p. 67, and BBC</w:t>
      </w:r>
      <w:r>
        <w:t>,</w:t>
      </w:r>
      <w:r w:rsidRPr="00DA7E69">
        <w:t xml:space="preserve"> </w:t>
      </w:r>
      <w:r>
        <w:t>“</w:t>
      </w:r>
      <w:r w:rsidRPr="00DA7E69">
        <w:t xml:space="preserve">Civil </w:t>
      </w:r>
      <w:r>
        <w:t>w</w:t>
      </w:r>
      <w:r w:rsidRPr="00DA7E69">
        <w:t xml:space="preserve">ar </w:t>
      </w:r>
      <w:r>
        <w:t>f</w:t>
      </w:r>
      <w:r w:rsidRPr="00DA7E69">
        <w:t xml:space="preserve">ears as </w:t>
      </w:r>
      <w:smartTag w:uri="urn:schemas-microsoft-com:office:smarttags" w:element="place">
        <w:smartTag w:uri="urn:schemas-microsoft-com:office:smarttags" w:element="country-region">
          <w:r w:rsidRPr="00DA7E69">
            <w:t>Yemen</w:t>
          </w:r>
        </w:smartTag>
      </w:smartTag>
      <w:r w:rsidRPr="00DA7E69">
        <w:t xml:space="preserve"> </w:t>
      </w:r>
      <w:r>
        <w:t>c</w:t>
      </w:r>
      <w:r w:rsidRPr="00DA7E69">
        <w:t xml:space="preserve">elebrates </w:t>
      </w:r>
      <w:r>
        <w:t>u</w:t>
      </w:r>
      <w:r w:rsidRPr="00DA7E69">
        <w:t>nity</w:t>
      </w:r>
      <w:r>
        <w:t xml:space="preserve">”, </w:t>
      </w:r>
      <w:r w:rsidRPr="00DA7E69">
        <w:t>21 May 2009</w:t>
      </w:r>
      <w:r>
        <w:t xml:space="preserve">, available at </w:t>
      </w:r>
      <w:hyperlink r:id="rId1" w:history="1">
        <w:r w:rsidRPr="00DA7E69">
          <w:rPr>
            <w:rStyle w:val="Hyperlink"/>
          </w:rPr>
          <w:t>http://news.bbc.co.uk/2/hi/middle_east/country_profiles/8062225.stm</w:t>
        </w:r>
      </w:hyperlink>
      <w:r w:rsidRPr="00DA7E69">
        <w:t>.</w:t>
      </w:r>
      <w:r>
        <w:t xml:space="preserve"> </w:t>
      </w:r>
    </w:p>
  </w:footnote>
  <w:footnote w:id="5">
    <w:p w:rsidR="00E53ACF" w:rsidRPr="00252200" w:rsidRDefault="00E53ACF" w:rsidP="00DA7E69">
      <w:pPr>
        <w:pStyle w:val="FootnoteText"/>
        <w:jc w:val="both"/>
      </w:pPr>
      <w:r>
        <w:tab/>
      </w:r>
      <w:r>
        <w:rPr>
          <w:rStyle w:val="FootnoteReference"/>
        </w:rPr>
        <w:footnoteRef/>
      </w:r>
      <w:r>
        <w:tab/>
        <w:t>See Amnesty International, “</w:t>
      </w:r>
      <w:smartTag w:uri="urn:schemas-microsoft-com:office:smarttags" w:element="place">
        <w:smartTag w:uri="urn:schemas-microsoft-com:office:smarttags" w:element="country-region">
          <w:r w:rsidRPr="001B01B5">
            <w:t>Yemen</w:t>
          </w:r>
        </w:smartTag>
      </w:smartTag>
      <w:r w:rsidRPr="001B01B5">
        <w:t xml:space="preserve"> – Amnesty International Report 2010</w:t>
      </w:r>
      <w:r>
        <w:t xml:space="preserve">”, available at </w:t>
      </w:r>
      <w:hyperlink r:id="rId2" w:history="1">
        <w:r w:rsidRPr="00252200">
          <w:rPr>
            <w:rStyle w:val="Hyperlink"/>
          </w:rPr>
          <w:t>http://www.amnesty.org/en/region/yemen/report-2010#</w:t>
        </w:r>
      </w:hyperlink>
      <w:r w:rsidRPr="00252200">
        <w:t xml:space="preserve">.  </w:t>
      </w:r>
    </w:p>
  </w:footnote>
  <w:footnote w:id="6">
    <w:p w:rsidR="00E53ACF" w:rsidRPr="006E6061" w:rsidRDefault="00E53ACF" w:rsidP="006E6061">
      <w:pPr>
        <w:pStyle w:val="FootnoteText"/>
        <w:jc w:val="both"/>
      </w:pPr>
      <w:r w:rsidRPr="00252200">
        <w:tab/>
      </w:r>
      <w:r w:rsidRPr="00252200">
        <w:rPr>
          <w:rStyle w:val="FootnoteReference"/>
        </w:rPr>
        <w:footnoteRef/>
      </w:r>
      <w:r w:rsidRPr="00252200">
        <w:tab/>
      </w:r>
      <w:r>
        <w:t>See</w:t>
      </w:r>
      <w:r w:rsidRPr="00252200">
        <w:t xml:space="preserve"> the United States Department of State, </w:t>
      </w:r>
      <w:r>
        <w:t>“</w:t>
      </w:r>
      <w:r w:rsidRPr="00252200">
        <w:t xml:space="preserve">2009 Human Rights </w:t>
      </w:r>
      <w:r>
        <w:t>Report:</w:t>
      </w:r>
      <w:r w:rsidRPr="00252200">
        <w:t xml:space="preserve"> </w:t>
      </w:r>
      <w:smartTag w:uri="urn:schemas-microsoft-com:office:smarttags" w:element="place">
        <w:smartTag w:uri="urn:schemas-microsoft-com:office:smarttags" w:element="country-region">
          <w:r w:rsidRPr="00252200">
            <w:t>Yemen</w:t>
          </w:r>
        </w:smartTag>
      </w:smartTag>
      <w:r>
        <w:t>”</w:t>
      </w:r>
      <w:r w:rsidRPr="00252200">
        <w:t>, 11 March 2010</w:t>
      </w:r>
      <w:r>
        <w:t xml:space="preserve">, available at </w:t>
      </w:r>
      <w:r w:rsidRPr="00F41433">
        <w:t>http://www.state.gov/j/drl/rls/hrrpt/2009/nea/136083.htm</w:t>
      </w:r>
      <w:r w:rsidRPr="00252200">
        <w:t>.</w:t>
      </w:r>
      <w:r>
        <w:t xml:space="preserve"> </w:t>
      </w:r>
    </w:p>
  </w:footnote>
  <w:footnote w:id="7">
    <w:p w:rsidR="00E53ACF" w:rsidRPr="0017718B" w:rsidRDefault="00E53ACF">
      <w:pPr>
        <w:pStyle w:val="FootnoteText"/>
      </w:pPr>
      <w:r>
        <w:tab/>
      </w:r>
      <w:r w:rsidRPr="00252200">
        <w:rPr>
          <w:rStyle w:val="FootnoteReference"/>
        </w:rPr>
        <w:footnoteRef/>
      </w:r>
      <w:r w:rsidRPr="00252200">
        <w:tab/>
      </w:r>
      <w:r>
        <w:t>See</w:t>
      </w:r>
      <w:r w:rsidRPr="00252200">
        <w:t xml:space="preserve"> Human Rights Watch</w:t>
      </w:r>
      <w:r>
        <w:t>,</w:t>
      </w:r>
      <w:r w:rsidRPr="00252200">
        <w:t xml:space="preserve"> </w:t>
      </w:r>
      <w:r>
        <w:t>“</w:t>
      </w:r>
      <w:r w:rsidRPr="00252200">
        <w:t xml:space="preserve">Days of </w:t>
      </w:r>
      <w:r>
        <w:t>b</w:t>
      </w:r>
      <w:r w:rsidRPr="00252200">
        <w:t xml:space="preserve">loodshed in </w:t>
      </w:r>
      <w:smartTag w:uri="urn:schemas-microsoft-com:office:smarttags" w:element="place">
        <w:smartTag w:uri="urn:schemas-microsoft-com:office:smarttags" w:element="City">
          <w:r w:rsidRPr="00252200">
            <w:t>Aden</w:t>
          </w:r>
        </w:smartTag>
      </w:smartTag>
      <w:r>
        <w:t>”</w:t>
      </w:r>
      <w:r w:rsidRPr="00252200">
        <w:t>, 9 March 2011</w:t>
      </w:r>
      <w:r>
        <w:t xml:space="preserve">, available at </w:t>
      </w:r>
      <w:r w:rsidRPr="00CC29ED">
        <w:t>http://www.hrw.org/reports/2011/03/09/days-bloodshed-aden-0</w:t>
      </w:r>
      <w:r w:rsidRPr="00252200">
        <w:t>.</w:t>
      </w:r>
      <w:r>
        <w:t xml:space="preserve"> </w:t>
      </w:r>
    </w:p>
  </w:footnote>
  <w:footnote w:id="8">
    <w:p w:rsidR="00E53ACF" w:rsidRPr="009F22F1" w:rsidRDefault="00E53ACF" w:rsidP="009F22F1">
      <w:pPr>
        <w:pStyle w:val="FootnoteText"/>
        <w:jc w:val="both"/>
      </w:pPr>
      <w:r>
        <w:tab/>
      </w:r>
      <w:r>
        <w:rPr>
          <w:rStyle w:val="FootnoteReference"/>
        </w:rPr>
        <w:footnoteRef/>
      </w:r>
      <w:r>
        <w:tab/>
        <w:t>See</w:t>
      </w:r>
      <w:r w:rsidRPr="009F22F1">
        <w:t xml:space="preserve"> the Jamestown Foundation, </w:t>
      </w:r>
      <w:r>
        <w:t>“</w:t>
      </w:r>
      <w:r w:rsidRPr="009F22F1">
        <w:t xml:space="preserve">Filling the </w:t>
      </w:r>
      <w:r>
        <w:t>v</w:t>
      </w:r>
      <w:r w:rsidRPr="009F22F1">
        <w:t xml:space="preserve">oid: </w:t>
      </w:r>
      <w:r>
        <w:t>t</w:t>
      </w:r>
      <w:r w:rsidRPr="009F22F1">
        <w:t xml:space="preserve">he Southern Mobility Movement in </w:t>
      </w:r>
      <w:smartTag w:uri="urn:schemas-microsoft-com:office:smarttags" w:element="place">
        <w:r w:rsidRPr="009F22F1">
          <w:t>South Yemen</w:t>
        </w:r>
      </w:smartTag>
      <w:r>
        <w:t xml:space="preserve">”, 25 April 2011, available at </w:t>
      </w:r>
    </w:p>
    <w:p w:rsidR="00E53ACF" w:rsidRPr="00711334" w:rsidRDefault="00E53ACF" w:rsidP="009F22F1">
      <w:pPr>
        <w:pStyle w:val="FootnoteText"/>
        <w:jc w:val="both"/>
      </w:pPr>
      <w:r w:rsidRPr="009F22F1">
        <w:tab/>
      </w:r>
      <w:r w:rsidRPr="009F22F1">
        <w:tab/>
        <w:t>http://www.jamestown.org/single/?no_cache=1&amp;tx_ttnews%5Btt_news%5D=37845.</w:t>
      </w:r>
      <w:r>
        <w:t xml:space="preserve">  </w:t>
      </w:r>
    </w:p>
  </w:footnote>
  <w:footnote w:id="9">
    <w:p w:rsidR="00E53ACF" w:rsidRPr="0064185E" w:rsidRDefault="00E53ACF" w:rsidP="00B0379B">
      <w:pPr>
        <w:pStyle w:val="FootnoteText"/>
        <w:jc w:val="both"/>
        <w:rPr>
          <w:lang w:val="en-US"/>
        </w:rPr>
      </w:pPr>
      <w:r>
        <w:tab/>
      </w:r>
      <w:r>
        <w:rPr>
          <w:rStyle w:val="FootnoteReference"/>
        </w:rPr>
        <w:footnoteRef/>
      </w:r>
      <w:r>
        <w:tab/>
      </w:r>
      <w:r w:rsidRPr="00C9027E">
        <w:rPr>
          <w:szCs w:val="18"/>
        </w:rPr>
        <w:t xml:space="preserve">The </w:t>
      </w:r>
      <w:r>
        <w:rPr>
          <w:szCs w:val="18"/>
        </w:rPr>
        <w:t>State party refers to the Committee’s General Comment No. 1 (1997) on the implementation of article 3 of the Convention in the context of article 22 (</w:t>
      </w:r>
      <w:r>
        <w:rPr>
          <w:i/>
          <w:szCs w:val="18"/>
        </w:rPr>
        <w:t xml:space="preserve">Official Records of the General Assembly, Fifty-third Session, Supplement No. 44 </w:t>
      </w:r>
      <w:r>
        <w:rPr>
          <w:szCs w:val="18"/>
        </w:rPr>
        <w:t>(A/53/44), annex IX), paras. 6 and 8;</w:t>
      </w:r>
      <w:r w:rsidRPr="000722FC">
        <w:rPr>
          <w:color w:val="000000"/>
          <w:szCs w:val="18"/>
        </w:rPr>
        <w:t xml:space="preserve"> and</w:t>
      </w:r>
      <w:r>
        <w:rPr>
          <w:color w:val="000000"/>
          <w:szCs w:val="18"/>
        </w:rPr>
        <w:t xml:space="preserve"> to</w:t>
      </w:r>
      <w:r w:rsidRPr="000722FC">
        <w:rPr>
          <w:color w:val="000000"/>
          <w:szCs w:val="18"/>
        </w:rPr>
        <w:t xml:space="preserve"> the Committee’s jurisprudence in </w:t>
      </w:r>
      <w:r>
        <w:rPr>
          <w:color w:val="000000"/>
          <w:szCs w:val="18"/>
        </w:rPr>
        <w:t>C</w:t>
      </w:r>
      <w:r w:rsidRPr="000722FC">
        <w:rPr>
          <w:color w:val="000000"/>
          <w:szCs w:val="18"/>
        </w:rPr>
        <w:t xml:space="preserve">ommunication No. 94/1997, </w:t>
      </w:r>
      <w:r w:rsidRPr="000722FC">
        <w:rPr>
          <w:i/>
          <w:color w:val="000000"/>
          <w:szCs w:val="18"/>
        </w:rPr>
        <w:t>K.N.</w:t>
      </w:r>
      <w:r w:rsidRPr="001E79D3">
        <w:rPr>
          <w:color w:val="000000"/>
          <w:szCs w:val="18"/>
        </w:rPr>
        <w:t xml:space="preserve"> v. </w:t>
      </w:r>
      <w:smartTag w:uri="urn:schemas-microsoft-com:office:smarttags" w:element="place">
        <w:smartTag w:uri="urn:schemas-microsoft-com:office:smarttags" w:element="country-region">
          <w:r w:rsidRPr="000722FC">
            <w:rPr>
              <w:i/>
              <w:color w:val="000000"/>
              <w:szCs w:val="18"/>
            </w:rPr>
            <w:t>Switzerland</w:t>
          </w:r>
        </w:smartTag>
      </w:smartTag>
      <w:r w:rsidRPr="000722FC">
        <w:rPr>
          <w:color w:val="000000"/>
          <w:szCs w:val="18"/>
        </w:rPr>
        <w:t xml:space="preserve">, </w:t>
      </w:r>
      <w:r>
        <w:rPr>
          <w:color w:val="000000"/>
          <w:szCs w:val="18"/>
        </w:rPr>
        <w:t xml:space="preserve">Views adopted on 19 May 1998, </w:t>
      </w:r>
      <w:r w:rsidRPr="000722FC">
        <w:rPr>
          <w:color w:val="000000"/>
          <w:szCs w:val="18"/>
        </w:rPr>
        <w:t>para</w:t>
      </w:r>
      <w:r>
        <w:rPr>
          <w:color w:val="000000"/>
          <w:szCs w:val="18"/>
        </w:rPr>
        <w:t>.</w:t>
      </w:r>
      <w:r w:rsidRPr="000722FC">
        <w:rPr>
          <w:color w:val="000000"/>
          <w:szCs w:val="18"/>
        </w:rPr>
        <w:t xml:space="preserve"> 10.2</w:t>
      </w:r>
      <w:r>
        <w:rPr>
          <w:color w:val="000000"/>
          <w:szCs w:val="18"/>
        </w:rPr>
        <w:t>,</w:t>
      </w:r>
      <w:r w:rsidRPr="000722FC">
        <w:rPr>
          <w:color w:val="000000"/>
          <w:szCs w:val="18"/>
        </w:rPr>
        <w:t xml:space="preserve"> and </w:t>
      </w:r>
      <w:r>
        <w:rPr>
          <w:color w:val="000000"/>
          <w:szCs w:val="18"/>
        </w:rPr>
        <w:t xml:space="preserve">Communication </w:t>
      </w:r>
      <w:r w:rsidRPr="000722FC">
        <w:rPr>
          <w:color w:val="000000"/>
          <w:szCs w:val="18"/>
        </w:rPr>
        <w:t xml:space="preserve">No. 100/1997, </w:t>
      </w:r>
      <w:r w:rsidRPr="000722FC">
        <w:rPr>
          <w:i/>
          <w:color w:val="000000"/>
          <w:szCs w:val="18"/>
        </w:rPr>
        <w:t xml:space="preserve">J.U.A. </w:t>
      </w:r>
      <w:r w:rsidRPr="001E79D3">
        <w:rPr>
          <w:color w:val="000000"/>
          <w:szCs w:val="18"/>
        </w:rPr>
        <w:t xml:space="preserve">v. </w:t>
      </w:r>
      <w:smartTag w:uri="urn:schemas-microsoft-com:office:smarttags" w:element="place">
        <w:smartTag w:uri="urn:schemas-microsoft-com:office:smarttags" w:element="country-region">
          <w:r w:rsidRPr="000722FC">
            <w:rPr>
              <w:i/>
              <w:color w:val="000000"/>
              <w:szCs w:val="18"/>
            </w:rPr>
            <w:t>Switzerland</w:t>
          </w:r>
        </w:smartTag>
      </w:smartTag>
      <w:r w:rsidRPr="000722FC">
        <w:rPr>
          <w:color w:val="000000"/>
          <w:szCs w:val="18"/>
        </w:rPr>
        <w:t xml:space="preserve">, </w:t>
      </w:r>
      <w:r>
        <w:rPr>
          <w:color w:val="000000"/>
          <w:szCs w:val="18"/>
        </w:rPr>
        <w:t xml:space="preserve">Views adopted on 10 November 1998, </w:t>
      </w:r>
      <w:r w:rsidRPr="0064185E">
        <w:rPr>
          <w:color w:val="000000"/>
          <w:szCs w:val="18"/>
        </w:rPr>
        <w:t>paras. 6.3 and 6.5.</w:t>
      </w:r>
    </w:p>
  </w:footnote>
  <w:footnote w:id="10">
    <w:p w:rsidR="00E53ACF" w:rsidRPr="007A7D86" w:rsidRDefault="00E53ACF" w:rsidP="0064185E">
      <w:pPr>
        <w:pStyle w:val="FootnoteText"/>
        <w:jc w:val="both"/>
        <w:rPr>
          <w:lang w:val="en-US"/>
        </w:rPr>
      </w:pPr>
      <w:r w:rsidRPr="0064185E">
        <w:tab/>
      </w:r>
      <w:r w:rsidRPr="0064185E">
        <w:rPr>
          <w:rStyle w:val="FootnoteReference"/>
        </w:rPr>
        <w:footnoteRef/>
      </w:r>
      <w:r w:rsidRPr="0064185E">
        <w:tab/>
      </w:r>
      <w:r>
        <w:t>See Amnesty International,</w:t>
      </w:r>
      <w:r w:rsidRPr="0064185E">
        <w:t xml:space="preserve"> “</w:t>
      </w:r>
      <w:r w:rsidRPr="00252200">
        <w:t>Yemen – Amnesty International Report 200</w:t>
      </w:r>
      <w:r>
        <w:t>8</w:t>
      </w:r>
      <w:r w:rsidRPr="00252200">
        <w:t>”</w:t>
      </w:r>
      <w:r>
        <w:t xml:space="preserve">, available at </w:t>
      </w:r>
      <w:r w:rsidRPr="00B90D74">
        <w:t>http://www.amnesty.org/en/region/yemen/report-2008</w:t>
      </w:r>
      <w:r>
        <w:t xml:space="preserve">, and </w:t>
      </w:r>
      <w:r w:rsidRPr="00252200">
        <w:t xml:space="preserve">United </w:t>
      </w:r>
      <w:r>
        <w:t>States Department of State, “2007</w:t>
      </w:r>
      <w:r w:rsidRPr="00252200">
        <w:t xml:space="preserve"> Country Reports on Human Rights Practices – Yemen</w:t>
      </w:r>
      <w:r>
        <w:t>”</w:t>
      </w:r>
      <w:r w:rsidRPr="00252200">
        <w:t>, 11 March 200</w:t>
      </w:r>
      <w:r>
        <w:t xml:space="preserve">8, available at </w:t>
      </w:r>
      <w:r w:rsidRPr="00EA1DF1">
        <w:t>http://www.state.gov/j/drl/rls/hrrpt/2007/100610.htm</w:t>
      </w:r>
      <w:r w:rsidRPr="00252200">
        <w:t>.</w:t>
      </w:r>
    </w:p>
  </w:footnote>
  <w:footnote w:id="11">
    <w:p w:rsidR="00E53ACF" w:rsidRPr="00BA66A7" w:rsidRDefault="00E53ACF" w:rsidP="00BA66A7">
      <w:pPr>
        <w:pStyle w:val="FootnoteText"/>
        <w:jc w:val="both"/>
      </w:pPr>
      <w:r>
        <w:tab/>
      </w:r>
      <w:r>
        <w:rPr>
          <w:rStyle w:val="FootnoteReference"/>
        </w:rPr>
        <w:footnoteRef/>
      </w:r>
      <w:r>
        <w:tab/>
        <w:t xml:space="preserve">See UN News Centre, “New outbreak of violence displaces thousands more in </w:t>
      </w:r>
      <w:smartTag w:uri="urn:schemas-microsoft-com:office:smarttags" w:element="country-region">
        <w:r>
          <w:t>Yemen</w:t>
        </w:r>
      </w:smartTag>
      <w:r>
        <w:t xml:space="preserve"> – UN refugee agency”, 9 March 2012, available at </w:t>
      </w:r>
      <w:hyperlink r:id="rId3" w:history="1">
        <w:r w:rsidRPr="008C27B4">
          <w:rPr>
            <w:rStyle w:val="Hyperlink"/>
          </w:rPr>
          <w:t>http://www.un.org/apps/news/story.asp?NewsID=41500</w:t>
        </w:r>
      </w:hyperlink>
      <w:r>
        <w:t xml:space="preserve">; and Amnesty International, </w:t>
      </w:r>
      <w:smartTag w:uri="urn:schemas-microsoft-com:office:smarttags" w:element="country-region">
        <w:r>
          <w:t>Y</w:t>
        </w:r>
        <w:r w:rsidRPr="002A59B8">
          <w:rPr>
            <w:i/>
          </w:rPr>
          <w:t>emen</w:t>
        </w:r>
      </w:smartTag>
      <w:r w:rsidRPr="002A59B8">
        <w:rPr>
          <w:i/>
        </w:rPr>
        <w:t>: Submission to the UN Human Rights Committee, 104th session of the Human Rights Committee, 12–30 March 2012</w:t>
      </w:r>
      <w:r>
        <w:t xml:space="preserve">, </w:t>
      </w:r>
      <w:smartTag w:uri="urn:schemas-microsoft-com:office:smarttags" w:element="place">
        <w:smartTag w:uri="urn:schemas-microsoft-com:office:smarttags" w:element="City">
          <w:r>
            <w:t>London</w:t>
          </w:r>
        </w:smartTag>
      </w:smartTag>
      <w:r>
        <w:t xml:space="preserve">, 2012.   </w:t>
      </w:r>
    </w:p>
  </w:footnote>
  <w:footnote w:id="12">
    <w:p w:rsidR="00E53ACF" w:rsidRPr="006E4C6B" w:rsidRDefault="00E53ACF" w:rsidP="005120DF">
      <w:pPr>
        <w:pStyle w:val="FootnoteText"/>
        <w:jc w:val="both"/>
      </w:pPr>
      <w:r>
        <w:tab/>
      </w:r>
      <w:r>
        <w:rPr>
          <w:rStyle w:val="FootnoteReference"/>
        </w:rPr>
        <w:footnoteRef/>
      </w:r>
      <w:r>
        <w:tab/>
        <w:t>See, inter alia, C</w:t>
      </w:r>
      <w:r w:rsidRPr="006E4C6B">
        <w:t xml:space="preserve">ommunication No. 203/2002, </w:t>
      </w:r>
      <w:r>
        <w:rPr>
          <w:i/>
        </w:rPr>
        <w:t xml:space="preserve">Mr. </w:t>
      </w:r>
      <w:r w:rsidRPr="006E4C6B">
        <w:rPr>
          <w:i/>
          <w:iCs/>
        </w:rPr>
        <w:t>A.R.</w:t>
      </w:r>
      <w:r w:rsidRPr="006E4C6B">
        <w:t xml:space="preserve"> v. </w:t>
      </w:r>
      <w:r>
        <w:rPr>
          <w:i/>
        </w:rPr>
        <w:t xml:space="preserve">The </w:t>
      </w:r>
      <w:r w:rsidRPr="006E4C6B">
        <w:rPr>
          <w:i/>
          <w:iCs/>
        </w:rPr>
        <w:t>Netherlands</w:t>
      </w:r>
      <w:r w:rsidRPr="006E4C6B">
        <w:t xml:space="preserve">, </w:t>
      </w:r>
      <w:r>
        <w:t xml:space="preserve">decision </w:t>
      </w:r>
      <w:r w:rsidRPr="006E4C6B">
        <w:t>adopted on 1</w:t>
      </w:r>
      <w:r>
        <w:t>4</w:t>
      </w:r>
      <w:r w:rsidRPr="006E4C6B">
        <w:t xml:space="preserve"> November 2003</w:t>
      </w:r>
      <w:r>
        <w:t xml:space="preserve">; and Communication </w:t>
      </w:r>
      <w:r w:rsidRPr="00116B35">
        <w:rPr>
          <w:rStyle w:val="FootnoteReference"/>
          <w:szCs w:val="18"/>
          <w:vertAlign w:val="baseline"/>
        </w:rPr>
        <w:t xml:space="preserve">No. 258/2004, </w:t>
      </w:r>
      <w:r>
        <w:rPr>
          <w:i/>
          <w:szCs w:val="18"/>
        </w:rPr>
        <w:t xml:space="preserve">Mostafa </w:t>
      </w:r>
      <w:r w:rsidRPr="006611AE">
        <w:rPr>
          <w:rStyle w:val="FootnoteReference"/>
          <w:i/>
          <w:szCs w:val="18"/>
          <w:vertAlign w:val="baseline"/>
        </w:rPr>
        <w:t>Dadar</w:t>
      </w:r>
      <w:r w:rsidRPr="00116B35">
        <w:rPr>
          <w:rStyle w:val="FootnoteReference"/>
          <w:szCs w:val="18"/>
          <w:vertAlign w:val="baseline"/>
        </w:rPr>
        <w:t xml:space="preserve"> v</w:t>
      </w:r>
      <w:r w:rsidRPr="006611AE">
        <w:rPr>
          <w:rStyle w:val="FootnoteReference"/>
          <w:i/>
          <w:szCs w:val="18"/>
          <w:vertAlign w:val="baseline"/>
        </w:rPr>
        <w:t>. Canada</w:t>
      </w:r>
      <w:r w:rsidRPr="00116B35">
        <w:rPr>
          <w:rStyle w:val="FootnoteReference"/>
          <w:szCs w:val="18"/>
          <w:vertAlign w:val="baseline"/>
        </w:rPr>
        <w:t>, decision adopted on 23 November 2005</w:t>
      </w:r>
      <w:r>
        <w:rPr>
          <w:szCs w:val="18"/>
        </w:rPr>
        <w:t>.</w:t>
      </w:r>
      <w:r>
        <w:t xml:space="preserve"> </w:t>
      </w:r>
    </w:p>
  </w:footnote>
  <w:footnote w:id="13">
    <w:p w:rsidR="00E53ACF" w:rsidRPr="00E722C6" w:rsidRDefault="00E53ACF" w:rsidP="005120DF">
      <w:pPr>
        <w:pStyle w:val="FootnoteText"/>
        <w:jc w:val="both"/>
        <w:rPr>
          <w:rStyle w:val="FootnoteReference"/>
          <w:szCs w:val="18"/>
          <w:vertAlign w:val="baseline"/>
          <w:lang w:val="fr-FR"/>
        </w:rPr>
      </w:pPr>
      <w:r>
        <w:tab/>
      </w:r>
      <w:r w:rsidRPr="004310B2">
        <w:rPr>
          <w:rStyle w:val="FootnoteReference"/>
          <w:szCs w:val="18"/>
        </w:rPr>
        <w:footnoteRef/>
      </w:r>
      <w:r w:rsidRPr="00E722C6">
        <w:rPr>
          <w:lang w:val="fr-FR"/>
        </w:rPr>
        <w:tab/>
      </w:r>
      <w:r w:rsidRPr="00E722C6">
        <w:rPr>
          <w:rStyle w:val="FootnoteReference"/>
          <w:szCs w:val="18"/>
          <w:vertAlign w:val="baseline"/>
          <w:lang w:val="fr-FR"/>
        </w:rPr>
        <w:t xml:space="preserve">See, </w:t>
      </w:r>
      <w:r w:rsidRPr="00E722C6">
        <w:rPr>
          <w:rStyle w:val="FootnoteReference"/>
          <w:iCs/>
          <w:szCs w:val="18"/>
          <w:vertAlign w:val="baseline"/>
          <w:lang w:val="fr-FR"/>
        </w:rPr>
        <w:t>inter alia</w:t>
      </w:r>
      <w:r w:rsidRPr="00E722C6">
        <w:rPr>
          <w:rStyle w:val="FootnoteReference"/>
          <w:szCs w:val="18"/>
          <w:vertAlign w:val="baseline"/>
          <w:lang w:val="fr-FR"/>
        </w:rPr>
        <w:t xml:space="preserve">, </w:t>
      </w:r>
      <w:r w:rsidRPr="00E722C6">
        <w:rPr>
          <w:szCs w:val="18"/>
          <w:lang w:val="fr-FR"/>
        </w:rPr>
        <w:t>C</w:t>
      </w:r>
      <w:r w:rsidRPr="00E722C6">
        <w:rPr>
          <w:rStyle w:val="FootnoteReference"/>
          <w:szCs w:val="18"/>
          <w:vertAlign w:val="baseline"/>
          <w:lang w:val="fr-FR"/>
        </w:rPr>
        <w:t xml:space="preserve">ommunication No. 356/2008, </w:t>
      </w:r>
      <w:r w:rsidRPr="00E722C6">
        <w:rPr>
          <w:rStyle w:val="FootnoteReference"/>
          <w:i/>
          <w:szCs w:val="18"/>
          <w:vertAlign w:val="baseline"/>
          <w:lang w:val="fr-FR"/>
        </w:rPr>
        <w:t>N.S</w:t>
      </w:r>
      <w:r w:rsidRPr="00E722C6">
        <w:rPr>
          <w:rStyle w:val="FootnoteReference"/>
          <w:szCs w:val="18"/>
          <w:vertAlign w:val="baseline"/>
          <w:lang w:val="fr-FR"/>
        </w:rPr>
        <w:t xml:space="preserve">. v. </w:t>
      </w:r>
      <w:r w:rsidRPr="00E722C6">
        <w:rPr>
          <w:rStyle w:val="FootnoteReference"/>
          <w:i/>
          <w:szCs w:val="18"/>
          <w:vertAlign w:val="baseline"/>
          <w:lang w:val="fr-FR"/>
        </w:rPr>
        <w:t>Switzerland</w:t>
      </w:r>
      <w:r w:rsidRPr="00E722C6">
        <w:rPr>
          <w:rStyle w:val="FootnoteReference"/>
          <w:szCs w:val="18"/>
          <w:vertAlign w:val="baseline"/>
          <w:lang w:val="fr-FR"/>
        </w:rPr>
        <w:t xml:space="preserve">, </w:t>
      </w:r>
      <w:r w:rsidRPr="00E722C6">
        <w:rPr>
          <w:lang w:val="fr-FR"/>
        </w:rPr>
        <w:t>d</w:t>
      </w:r>
      <w:r w:rsidRPr="00E722C6">
        <w:rPr>
          <w:rStyle w:val="FootnoteReference"/>
          <w:szCs w:val="18"/>
          <w:vertAlign w:val="baseline"/>
          <w:lang w:val="fr-FR"/>
        </w:rPr>
        <w:t xml:space="preserve">ecision adopted on 6 May 2010, </w:t>
      </w:r>
      <w:r w:rsidRPr="00E722C6">
        <w:rPr>
          <w:lang w:val="fr-FR"/>
        </w:rPr>
        <w:t>paragraph 7.3.</w:t>
      </w:r>
    </w:p>
  </w:footnote>
  <w:footnote w:id="14">
    <w:p w:rsidR="00E53ACF" w:rsidRPr="00116B35" w:rsidRDefault="00E53ACF" w:rsidP="005120DF">
      <w:pPr>
        <w:pStyle w:val="FootnoteText"/>
        <w:rPr>
          <w:rStyle w:val="FootnoteReference"/>
          <w:szCs w:val="18"/>
          <w:vertAlign w:val="baseline"/>
        </w:rPr>
      </w:pPr>
      <w:r w:rsidRPr="005120DF">
        <w:rPr>
          <w:lang w:val="fr-CH"/>
        </w:rPr>
        <w:tab/>
      </w:r>
      <w:r w:rsidRPr="004310B2">
        <w:rPr>
          <w:rStyle w:val="FootnoteReference"/>
          <w:szCs w:val="18"/>
        </w:rPr>
        <w:footnoteRef/>
      </w:r>
      <w:r>
        <w:tab/>
      </w:r>
      <w:r w:rsidRPr="00116B35">
        <w:rPr>
          <w:rStyle w:val="FootnoteReference"/>
          <w:szCs w:val="18"/>
          <w:vertAlign w:val="baseline"/>
        </w:rPr>
        <w:t xml:space="preserve">The Committee notes that </w:t>
      </w:r>
      <w:r>
        <w:rPr>
          <w:rStyle w:val="FootnoteReference"/>
          <w:szCs w:val="18"/>
          <w:vertAlign w:val="baseline"/>
        </w:rPr>
        <w:t>Y</w:t>
      </w:r>
      <w:r>
        <w:rPr>
          <w:szCs w:val="18"/>
        </w:rPr>
        <w:t>emen</w:t>
      </w:r>
      <w:r w:rsidRPr="00116B35">
        <w:rPr>
          <w:rStyle w:val="FootnoteReference"/>
          <w:szCs w:val="18"/>
          <w:vertAlign w:val="baseline"/>
        </w:rPr>
        <w:t xml:space="preserve"> is also a State party to the Convention against Torture and Other Cruel, Inhuman or Degrading Treatment or Punishment</w:t>
      </w:r>
      <w:r>
        <w:t>,</w:t>
      </w:r>
      <w:r>
        <w:rPr>
          <w:rStyle w:val="FootnoteReference"/>
          <w:szCs w:val="18"/>
          <w:vertAlign w:val="baseline"/>
        </w:rPr>
        <w:t xml:space="preserve"> and recalls its 2010</w:t>
      </w:r>
      <w:r>
        <w:t xml:space="preserve"> c</w:t>
      </w:r>
      <w:r w:rsidRPr="00116B35">
        <w:rPr>
          <w:rStyle w:val="FootnoteReference"/>
          <w:szCs w:val="18"/>
          <w:vertAlign w:val="baseline"/>
        </w:rPr>
        <w:t xml:space="preserve">oncluding </w:t>
      </w:r>
      <w:r>
        <w:t>o</w:t>
      </w:r>
      <w:r w:rsidRPr="00116B35">
        <w:rPr>
          <w:rStyle w:val="FootnoteReference"/>
          <w:szCs w:val="18"/>
          <w:vertAlign w:val="baseline"/>
        </w:rPr>
        <w:t>bservations (</w:t>
      </w:r>
      <w:r>
        <w:t>CAT/C/YEM/CO/2/Rev.1)</w:t>
      </w:r>
      <w:r w:rsidRPr="00116B35">
        <w:rPr>
          <w:rStyle w:val="FootnoteReference"/>
          <w:szCs w:val="18"/>
          <w:vertAlign w:val="baseline"/>
        </w:rPr>
        <w:t>, paras</w:t>
      </w:r>
      <w:r>
        <w:t>.</w:t>
      </w:r>
      <w:r>
        <w:rPr>
          <w:rStyle w:val="FootnoteReference"/>
          <w:szCs w:val="18"/>
          <w:vertAlign w:val="baseline"/>
        </w:rPr>
        <w:t xml:space="preserve"> 8, 12 and 13</w:t>
      </w:r>
      <w:r w:rsidRPr="00116B35">
        <w:rPr>
          <w:rStyle w:val="FootnoteReference"/>
          <w:szCs w:val="18"/>
          <w:vertAlign w:val="baseli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CF" w:rsidRPr="00116B35" w:rsidRDefault="00E53ACF">
    <w:pPr>
      <w:pStyle w:val="Header"/>
    </w:pPr>
    <w:r>
      <w:t>CAT/C/50/D/467/2011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CF" w:rsidRPr="00116B35" w:rsidRDefault="00E53ACF" w:rsidP="00116B35">
    <w:pPr>
      <w:pStyle w:val="Header"/>
      <w:jc w:val="right"/>
    </w:pPr>
    <w:r>
      <w:t>CAT/C/50/D/467/2011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EC4EEF"/>
    <w:multiLevelType w:val="multilevel"/>
    <w:tmpl w:val="BA6AF7E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es-E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248A"/>
    <w:rsid w:val="00007EAA"/>
    <w:rsid w:val="00012B87"/>
    <w:rsid w:val="00013CDE"/>
    <w:rsid w:val="00014F5D"/>
    <w:rsid w:val="00023219"/>
    <w:rsid w:val="00024D2C"/>
    <w:rsid w:val="000348CA"/>
    <w:rsid w:val="00036238"/>
    <w:rsid w:val="000421F3"/>
    <w:rsid w:val="00050F6B"/>
    <w:rsid w:val="00056522"/>
    <w:rsid w:val="00057E97"/>
    <w:rsid w:val="000624FD"/>
    <w:rsid w:val="00065884"/>
    <w:rsid w:val="00072C8C"/>
    <w:rsid w:val="00072E5D"/>
    <w:rsid w:val="000733B5"/>
    <w:rsid w:val="00077A88"/>
    <w:rsid w:val="00080F50"/>
    <w:rsid w:val="00081815"/>
    <w:rsid w:val="00082DF8"/>
    <w:rsid w:val="0008612D"/>
    <w:rsid w:val="000902B2"/>
    <w:rsid w:val="000931C0"/>
    <w:rsid w:val="00094B47"/>
    <w:rsid w:val="000A55E7"/>
    <w:rsid w:val="000B175B"/>
    <w:rsid w:val="000B2038"/>
    <w:rsid w:val="000B36B2"/>
    <w:rsid w:val="000B3A0F"/>
    <w:rsid w:val="000B433A"/>
    <w:rsid w:val="000B4EF7"/>
    <w:rsid w:val="000B74ED"/>
    <w:rsid w:val="000C2C03"/>
    <w:rsid w:val="000C2D2E"/>
    <w:rsid w:val="000C4219"/>
    <w:rsid w:val="000C4CCB"/>
    <w:rsid w:val="000D0448"/>
    <w:rsid w:val="000D4731"/>
    <w:rsid w:val="000D6404"/>
    <w:rsid w:val="000E0415"/>
    <w:rsid w:val="000E1FA0"/>
    <w:rsid w:val="000E7550"/>
    <w:rsid w:val="00102DE9"/>
    <w:rsid w:val="00105264"/>
    <w:rsid w:val="001103AA"/>
    <w:rsid w:val="00112313"/>
    <w:rsid w:val="001129B3"/>
    <w:rsid w:val="00116B35"/>
    <w:rsid w:val="00120BCB"/>
    <w:rsid w:val="001359F2"/>
    <w:rsid w:val="00140889"/>
    <w:rsid w:val="00143046"/>
    <w:rsid w:val="001450BD"/>
    <w:rsid w:val="00147AB0"/>
    <w:rsid w:val="00153179"/>
    <w:rsid w:val="00160239"/>
    <w:rsid w:val="00165F3A"/>
    <w:rsid w:val="00171B05"/>
    <w:rsid w:val="0017718B"/>
    <w:rsid w:val="00177977"/>
    <w:rsid w:val="00182FFB"/>
    <w:rsid w:val="00183227"/>
    <w:rsid w:val="00184ACD"/>
    <w:rsid w:val="001862E8"/>
    <w:rsid w:val="00187842"/>
    <w:rsid w:val="00191BD7"/>
    <w:rsid w:val="00192FE6"/>
    <w:rsid w:val="00194A5D"/>
    <w:rsid w:val="001969D4"/>
    <w:rsid w:val="00197B02"/>
    <w:rsid w:val="001A3763"/>
    <w:rsid w:val="001B01B5"/>
    <w:rsid w:val="001B1FE3"/>
    <w:rsid w:val="001B4A91"/>
    <w:rsid w:val="001B4B04"/>
    <w:rsid w:val="001B7E5A"/>
    <w:rsid w:val="001C0E5B"/>
    <w:rsid w:val="001C2858"/>
    <w:rsid w:val="001C6663"/>
    <w:rsid w:val="001C7895"/>
    <w:rsid w:val="001C7EC9"/>
    <w:rsid w:val="001D0C8C"/>
    <w:rsid w:val="001D14DC"/>
    <w:rsid w:val="001D26DF"/>
    <w:rsid w:val="001D3A03"/>
    <w:rsid w:val="001E05CD"/>
    <w:rsid w:val="001E44C7"/>
    <w:rsid w:val="001E79D3"/>
    <w:rsid w:val="001F4BA2"/>
    <w:rsid w:val="00202DA8"/>
    <w:rsid w:val="002071F7"/>
    <w:rsid w:val="00211E0B"/>
    <w:rsid w:val="002129DC"/>
    <w:rsid w:val="00234595"/>
    <w:rsid w:val="00234E21"/>
    <w:rsid w:val="0023522E"/>
    <w:rsid w:val="00241BAE"/>
    <w:rsid w:val="00252200"/>
    <w:rsid w:val="00254B9D"/>
    <w:rsid w:val="00256B14"/>
    <w:rsid w:val="00257E61"/>
    <w:rsid w:val="002669E0"/>
    <w:rsid w:val="00267CF0"/>
    <w:rsid w:val="00267F5F"/>
    <w:rsid w:val="00270CCF"/>
    <w:rsid w:val="0027197C"/>
    <w:rsid w:val="0027259B"/>
    <w:rsid w:val="00275D1E"/>
    <w:rsid w:val="002834B6"/>
    <w:rsid w:val="00284080"/>
    <w:rsid w:val="00286B4D"/>
    <w:rsid w:val="002955D6"/>
    <w:rsid w:val="002956E0"/>
    <w:rsid w:val="00297523"/>
    <w:rsid w:val="00297799"/>
    <w:rsid w:val="00297A9D"/>
    <w:rsid w:val="00297B60"/>
    <w:rsid w:val="002A522B"/>
    <w:rsid w:val="002A549F"/>
    <w:rsid w:val="002A59B8"/>
    <w:rsid w:val="002B3C39"/>
    <w:rsid w:val="002B466B"/>
    <w:rsid w:val="002C1ECF"/>
    <w:rsid w:val="002C3437"/>
    <w:rsid w:val="002C4E73"/>
    <w:rsid w:val="002D67CC"/>
    <w:rsid w:val="002E3D1D"/>
    <w:rsid w:val="002E6409"/>
    <w:rsid w:val="002E66CC"/>
    <w:rsid w:val="002E78CB"/>
    <w:rsid w:val="002F175C"/>
    <w:rsid w:val="002F1A00"/>
    <w:rsid w:val="002F4A6E"/>
    <w:rsid w:val="003000B4"/>
    <w:rsid w:val="00315B6D"/>
    <w:rsid w:val="00322926"/>
    <w:rsid w:val="003229D8"/>
    <w:rsid w:val="003266F7"/>
    <w:rsid w:val="00340AEE"/>
    <w:rsid w:val="003415C2"/>
    <w:rsid w:val="00352709"/>
    <w:rsid w:val="0035573B"/>
    <w:rsid w:val="003562A2"/>
    <w:rsid w:val="00366FAA"/>
    <w:rsid w:val="00371178"/>
    <w:rsid w:val="00374DFB"/>
    <w:rsid w:val="003827B1"/>
    <w:rsid w:val="00394D76"/>
    <w:rsid w:val="00397A53"/>
    <w:rsid w:val="003A0F68"/>
    <w:rsid w:val="003A6810"/>
    <w:rsid w:val="003A7E91"/>
    <w:rsid w:val="003B4182"/>
    <w:rsid w:val="003B7987"/>
    <w:rsid w:val="003C23E8"/>
    <w:rsid w:val="003C2CC4"/>
    <w:rsid w:val="003D3DF5"/>
    <w:rsid w:val="003D41F6"/>
    <w:rsid w:val="003D4B23"/>
    <w:rsid w:val="003D56D3"/>
    <w:rsid w:val="003E2075"/>
    <w:rsid w:val="003E24F8"/>
    <w:rsid w:val="003E35AF"/>
    <w:rsid w:val="003E482A"/>
    <w:rsid w:val="003E69EC"/>
    <w:rsid w:val="003F174E"/>
    <w:rsid w:val="003F3860"/>
    <w:rsid w:val="003F456A"/>
    <w:rsid w:val="00401169"/>
    <w:rsid w:val="004022BE"/>
    <w:rsid w:val="00410C89"/>
    <w:rsid w:val="004154B5"/>
    <w:rsid w:val="00416EAF"/>
    <w:rsid w:val="004177F3"/>
    <w:rsid w:val="00426B9B"/>
    <w:rsid w:val="004309F4"/>
    <w:rsid w:val="004310B2"/>
    <w:rsid w:val="004325CB"/>
    <w:rsid w:val="00432F7E"/>
    <w:rsid w:val="00433482"/>
    <w:rsid w:val="00434259"/>
    <w:rsid w:val="0043507C"/>
    <w:rsid w:val="00442A83"/>
    <w:rsid w:val="004437F2"/>
    <w:rsid w:val="00453947"/>
    <w:rsid w:val="00453A9F"/>
    <w:rsid w:val="0045495B"/>
    <w:rsid w:val="00454E4F"/>
    <w:rsid w:val="00455A49"/>
    <w:rsid w:val="00464AF0"/>
    <w:rsid w:val="004707B2"/>
    <w:rsid w:val="00473B6C"/>
    <w:rsid w:val="004747A9"/>
    <w:rsid w:val="00475072"/>
    <w:rsid w:val="004756E9"/>
    <w:rsid w:val="004871C2"/>
    <w:rsid w:val="0049191E"/>
    <w:rsid w:val="004A2858"/>
    <w:rsid w:val="004A466E"/>
    <w:rsid w:val="004B00EB"/>
    <w:rsid w:val="004B4C23"/>
    <w:rsid w:val="004B6170"/>
    <w:rsid w:val="004B7802"/>
    <w:rsid w:val="004C4B81"/>
    <w:rsid w:val="004C79E2"/>
    <w:rsid w:val="004D0D0F"/>
    <w:rsid w:val="004D5626"/>
    <w:rsid w:val="004F0181"/>
    <w:rsid w:val="004F2AA9"/>
    <w:rsid w:val="004F37EC"/>
    <w:rsid w:val="00501463"/>
    <w:rsid w:val="005045AB"/>
    <w:rsid w:val="005120DF"/>
    <w:rsid w:val="00513DE6"/>
    <w:rsid w:val="00520A39"/>
    <w:rsid w:val="0052136D"/>
    <w:rsid w:val="00522DDC"/>
    <w:rsid w:val="005255C7"/>
    <w:rsid w:val="0052775E"/>
    <w:rsid w:val="00530159"/>
    <w:rsid w:val="00540DDC"/>
    <w:rsid w:val="005420F2"/>
    <w:rsid w:val="0054491F"/>
    <w:rsid w:val="00550548"/>
    <w:rsid w:val="00560994"/>
    <w:rsid w:val="0056163B"/>
    <w:rsid w:val="00562736"/>
    <w:rsid w:val="005628B6"/>
    <w:rsid w:val="00563DC2"/>
    <w:rsid w:val="0056743A"/>
    <w:rsid w:val="00571B43"/>
    <w:rsid w:val="00571B96"/>
    <w:rsid w:val="0057267F"/>
    <w:rsid w:val="0057599E"/>
    <w:rsid w:val="0058733B"/>
    <w:rsid w:val="005915D3"/>
    <w:rsid w:val="00592439"/>
    <w:rsid w:val="0059551F"/>
    <w:rsid w:val="00595929"/>
    <w:rsid w:val="005B3DB3"/>
    <w:rsid w:val="005C39DD"/>
    <w:rsid w:val="005C3D81"/>
    <w:rsid w:val="005C4B29"/>
    <w:rsid w:val="005C7C20"/>
    <w:rsid w:val="005D0FDF"/>
    <w:rsid w:val="005D1DB3"/>
    <w:rsid w:val="005D7EE1"/>
    <w:rsid w:val="005E5057"/>
    <w:rsid w:val="005F47ED"/>
    <w:rsid w:val="005F5358"/>
    <w:rsid w:val="005F7B75"/>
    <w:rsid w:val="006001EE"/>
    <w:rsid w:val="00600966"/>
    <w:rsid w:val="00605042"/>
    <w:rsid w:val="0060649F"/>
    <w:rsid w:val="00611FC4"/>
    <w:rsid w:val="00612D5F"/>
    <w:rsid w:val="006176FB"/>
    <w:rsid w:val="00620B8E"/>
    <w:rsid w:val="00621EC3"/>
    <w:rsid w:val="00624AAB"/>
    <w:rsid w:val="00626BF4"/>
    <w:rsid w:val="00635498"/>
    <w:rsid w:val="00637AA8"/>
    <w:rsid w:val="00640B26"/>
    <w:rsid w:val="0064185E"/>
    <w:rsid w:val="00646E30"/>
    <w:rsid w:val="00652D0A"/>
    <w:rsid w:val="006611AE"/>
    <w:rsid w:val="00662BB6"/>
    <w:rsid w:val="0066434E"/>
    <w:rsid w:val="00673B81"/>
    <w:rsid w:val="00674100"/>
    <w:rsid w:val="00684C21"/>
    <w:rsid w:val="00685596"/>
    <w:rsid w:val="00685E5D"/>
    <w:rsid w:val="006A4401"/>
    <w:rsid w:val="006A459F"/>
    <w:rsid w:val="006B036B"/>
    <w:rsid w:val="006B210A"/>
    <w:rsid w:val="006B2B77"/>
    <w:rsid w:val="006B4F8B"/>
    <w:rsid w:val="006C19AB"/>
    <w:rsid w:val="006D37AF"/>
    <w:rsid w:val="006D51D0"/>
    <w:rsid w:val="006D5E21"/>
    <w:rsid w:val="006E564B"/>
    <w:rsid w:val="006E6061"/>
    <w:rsid w:val="006E7191"/>
    <w:rsid w:val="006E71D0"/>
    <w:rsid w:val="006F5689"/>
    <w:rsid w:val="00700CAC"/>
    <w:rsid w:val="00703577"/>
    <w:rsid w:val="0070435F"/>
    <w:rsid w:val="00707F44"/>
    <w:rsid w:val="00711334"/>
    <w:rsid w:val="007159B8"/>
    <w:rsid w:val="0072632A"/>
    <w:rsid w:val="007322DF"/>
    <w:rsid w:val="007327D5"/>
    <w:rsid w:val="007338F2"/>
    <w:rsid w:val="0073481F"/>
    <w:rsid w:val="0073504D"/>
    <w:rsid w:val="00737D9D"/>
    <w:rsid w:val="00747905"/>
    <w:rsid w:val="007549B2"/>
    <w:rsid w:val="007561C5"/>
    <w:rsid w:val="007629C8"/>
    <w:rsid w:val="00765A32"/>
    <w:rsid w:val="00774F05"/>
    <w:rsid w:val="00782043"/>
    <w:rsid w:val="00791A2F"/>
    <w:rsid w:val="00794440"/>
    <w:rsid w:val="00794AC4"/>
    <w:rsid w:val="00797DB6"/>
    <w:rsid w:val="007A7D86"/>
    <w:rsid w:val="007B1E81"/>
    <w:rsid w:val="007B2080"/>
    <w:rsid w:val="007B6810"/>
    <w:rsid w:val="007B6BA5"/>
    <w:rsid w:val="007C3390"/>
    <w:rsid w:val="007C36FB"/>
    <w:rsid w:val="007C4F4B"/>
    <w:rsid w:val="007D29D7"/>
    <w:rsid w:val="007D694C"/>
    <w:rsid w:val="007E31BA"/>
    <w:rsid w:val="007F0CBB"/>
    <w:rsid w:val="007F3440"/>
    <w:rsid w:val="007F6611"/>
    <w:rsid w:val="00800229"/>
    <w:rsid w:val="008064DD"/>
    <w:rsid w:val="00817D3D"/>
    <w:rsid w:val="008206E6"/>
    <w:rsid w:val="008213FE"/>
    <w:rsid w:val="008242D7"/>
    <w:rsid w:val="008257B1"/>
    <w:rsid w:val="00825D75"/>
    <w:rsid w:val="00827152"/>
    <w:rsid w:val="00842FE5"/>
    <w:rsid w:val="00843086"/>
    <w:rsid w:val="00843767"/>
    <w:rsid w:val="008446B3"/>
    <w:rsid w:val="0085077B"/>
    <w:rsid w:val="0086071E"/>
    <w:rsid w:val="00860DF5"/>
    <w:rsid w:val="008620D0"/>
    <w:rsid w:val="00862F68"/>
    <w:rsid w:val="00864481"/>
    <w:rsid w:val="008666B1"/>
    <w:rsid w:val="008679D9"/>
    <w:rsid w:val="00867CF8"/>
    <w:rsid w:val="00876A00"/>
    <w:rsid w:val="008804C5"/>
    <w:rsid w:val="0088079F"/>
    <w:rsid w:val="00883E8B"/>
    <w:rsid w:val="00884937"/>
    <w:rsid w:val="008879E9"/>
    <w:rsid w:val="0089056D"/>
    <w:rsid w:val="00890DF2"/>
    <w:rsid w:val="008915C1"/>
    <w:rsid w:val="0089198F"/>
    <w:rsid w:val="008930B8"/>
    <w:rsid w:val="008979B1"/>
    <w:rsid w:val="008A6B25"/>
    <w:rsid w:val="008A6C4F"/>
    <w:rsid w:val="008A6FF2"/>
    <w:rsid w:val="008A739A"/>
    <w:rsid w:val="008B0B8E"/>
    <w:rsid w:val="008B148D"/>
    <w:rsid w:val="008B2335"/>
    <w:rsid w:val="008B3E36"/>
    <w:rsid w:val="008B53DB"/>
    <w:rsid w:val="008C386E"/>
    <w:rsid w:val="008C5020"/>
    <w:rsid w:val="008C6675"/>
    <w:rsid w:val="008D4D51"/>
    <w:rsid w:val="008E0678"/>
    <w:rsid w:val="008E4285"/>
    <w:rsid w:val="008E5377"/>
    <w:rsid w:val="008E75C7"/>
    <w:rsid w:val="008F7505"/>
    <w:rsid w:val="008F7D61"/>
    <w:rsid w:val="009003F0"/>
    <w:rsid w:val="0090137F"/>
    <w:rsid w:val="009066C8"/>
    <w:rsid w:val="009132E2"/>
    <w:rsid w:val="00921323"/>
    <w:rsid w:val="009223CA"/>
    <w:rsid w:val="00926327"/>
    <w:rsid w:val="00933A9F"/>
    <w:rsid w:val="00940F93"/>
    <w:rsid w:val="00945D3C"/>
    <w:rsid w:val="009564D2"/>
    <w:rsid w:val="009740D9"/>
    <w:rsid w:val="009760F3"/>
    <w:rsid w:val="00982F67"/>
    <w:rsid w:val="0098403C"/>
    <w:rsid w:val="00993F0A"/>
    <w:rsid w:val="009A0E8D"/>
    <w:rsid w:val="009A529E"/>
    <w:rsid w:val="009A5346"/>
    <w:rsid w:val="009B261E"/>
    <w:rsid w:val="009B26E7"/>
    <w:rsid w:val="009D05A8"/>
    <w:rsid w:val="009D3119"/>
    <w:rsid w:val="009E5808"/>
    <w:rsid w:val="009F22F1"/>
    <w:rsid w:val="009F28F0"/>
    <w:rsid w:val="00A00A3F"/>
    <w:rsid w:val="00A01489"/>
    <w:rsid w:val="00A0202F"/>
    <w:rsid w:val="00A069A6"/>
    <w:rsid w:val="00A12E1B"/>
    <w:rsid w:val="00A130EF"/>
    <w:rsid w:val="00A1678D"/>
    <w:rsid w:val="00A2407F"/>
    <w:rsid w:val="00A259BD"/>
    <w:rsid w:val="00A279A8"/>
    <w:rsid w:val="00A338F1"/>
    <w:rsid w:val="00A3636D"/>
    <w:rsid w:val="00A365F6"/>
    <w:rsid w:val="00A403DE"/>
    <w:rsid w:val="00A436F4"/>
    <w:rsid w:val="00A5214F"/>
    <w:rsid w:val="00A618E1"/>
    <w:rsid w:val="00A63781"/>
    <w:rsid w:val="00A7130D"/>
    <w:rsid w:val="00A72F22"/>
    <w:rsid w:val="00A7360F"/>
    <w:rsid w:val="00A748A6"/>
    <w:rsid w:val="00A769F4"/>
    <w:rsid w:val="00A776B4"/>
    <w:rsid w:val="00A8077D"/>
    <w:rsid w:val="00A8246D"/>
    <w:rsid w:val="00A83CC1"/>
    <w:rsid w:val="00A85AD1"/>
    <w:rsid w:val="00A94361"/>
    <w:rsid w:val="00A94975"/>
    <w:rsid w:val="00AA12C0"/>
    <w:rsid w:val="00AA293C"/>
    <w:rsid w:val="00AA7B1B"/>
    <w:rsid w:val="00AB1E5A"/>
    <w:rsid w:val="00AB66ED"/>
    <w:rsid w:val="00AC7FB4"/>
    <w:rsid w:val="00AD49D6"/>
    <w:rsid w:val="00AD4A25"/>
    <w:rsid w:val="00AD5C2F"/>
    <w:rsid w:val="00AD69BA"/>
    <w:rsid w:val="00AD7DC6"/>
    <w:rsid w:val="00AE2198"/>
    <w:rsid w:val="00AE35B2"/>
    <w:rsid w:val="00AE6146"/>
    <w:rsid w:val="00AE7E43"/>
    <w:rsid w:val="00B0379B"/>
    <w:rsid w:val="00B1281C"/>
    <w:rsid w:val="00B22AAF"/>
    <w:rsid w:val="00B256BE"/>
    <w:rsid w:val="00B26AAE"/>
    <w:rsid w:val="00B27D6F"/>
    <w:rsid w:val="00B30179"/>
    <w:rsid w:val="00B35647"/>
    <w:rsid w:val="00B407A6"/>
    <w:rsid w:val="00B43A87"/>
    <w:rsid w:val="00B460B3"/>
    <w:rsid w:val="00B502F4"/>
    <w:rsid w:val="00B534B0"/>
    <w:rsid w:val="00B53D6D"/>
    <w:rsid w:val="00B54F31"/>
    <w:rsid w:val="00B56E4A"/>
    <w:rsid w:val="00B56E9C"/>
    <w:rsid w:val="00B60A52"/>
    <w:rsid w:val="00B64B1F"/>
    <w:rsid w:val="00B6553F"/>
    <w:rsid w:val="00B735CE"/>
    <w:rsid w:val="00B7706A"/>
    <w:rsid w:val="00B77D05"/>
    <w:rsid w:val="00B81206"/>
    <w:rsid w:val="00B813CD"/>
    <w:rsid w:val="00B81E12"/>
    <w:rsid w:val="00B827B6"/>
    <w:rsid w:val="00B847E8"/>
    <w:rsid w:val="00B84E8C"/>
    <w:rsid w:val="00B87570"/>
    <w:rsid w:val="00B90D74"/>
    <w:rsid w:val="00B92937"/>
    <w:rsid w:val="00B976D7"/>
    <w:rsid w:val="00B97EE2"/>
    <w:rsid w:val="00BA4B1C"/>
    <w:rsid w:val="00BA6529"/>
    <w:rsid w:val="00BA66A7"/>
    <w:rsid w:val="00BA795F"/>
    <w:rsid w:val="00BB2AEC"/>
    <w:rsid w:val="00BB4948"/>
    <w:rsid w:val="00BB5B26"/>
    <w:rsid w:val="00BC5454"/>
    <w:rsid w:val="00BC74E9"/>
    <w:rsid w:val="00BD16BB"/>
    <w:rsid w:val="00BD585D"/>
    <w:rsid w:val="00BE70B6"/>
    <w:rsid w:val="00BF68A8"/>
    <w:rsid w:val="00C01FC4"/>
    <w:rsid w:val="00C0509F"/>
    <w:rsid w:val="00C11A03"/>
    <w:rsid w:val="00C17472"/>
    <w:rsid w:val="00C31518"/>
    <w:rsid w:val="00C32EC1"/>
    <w:rsid w:val="00C3529D"/>
    <w:rsid w:val="00C36569"/>
    <w:rsid w:val="00C41106"/>
    <w:rsid w:val="00C42634"/>
    <w:rsid w:val="00C463DD"/>
    <w:rsid w:val="00C4724C"/>
    <w:rsid w:val="00C521BD"/>
    <w:rsid w:val="00C53D92"/>
    <w:rsid w:val="00C60BD4"/>
    <w:rsid w:val="00C629A0"/>
    <w:rsid w:val="00C7087A"/>
    <w:rsid w:val="00C72AE8"/>
    <w:rsid w:val="00C74073"/>
    <w:rsid w:val="00C745C3"/>
    <w:rsid w:val="00C82976"/>
    <w:rsid w:val="00C84542"/>
    <w:rsid w:val="00C90D74"/>
    <w:rsid w:val="00C92C7C"/>
    <w:rsid w:val="00C93C31"/>
    <w:rsid w:val="00C95217"/>
    <w:rsid w:val="00CA6BDB"/>
    <w:rsid w:val="00CB000B"/>
    <w:rsid w:val="00CB136D"/>
    <w:rsid w:val="00CB255E"/>
    <w:rsid w:val="00CB25E7"/>
    <w:rsid w:val="00CB7907"/>
    <w:rsid w:val="00CC1841"/>
    <w:rsid w:val="00CC29ED"/>
    <w:rsid w:val="00CD3C38"/>
    <w:rsid w:val="00CD585D"/>
    <w:rsid w:val="00CD7FAD"/>
    <w:rsid w:val="00CE4A8F"/>
    <w:rsid w:val="00CE69CB"/>
    <w:rsid w:val="00CF351C"/>
    <w:rsid w:val="00CF5718"/>
    <w:rsid w:val="00D01B9B"/>
    <w:rsid w:val="00D024E6"/>
    <w:rsid w:val="00D07980"/>
    <w:rsid w:val="00D13F3E"/>
    <w:rsid w:val="00D2031B"/>
    <w:rsid w:val="00D21697"/>
    <w:rsid w:val="00D24760"/>
    <w:rsid w:val="00D25FE2"/>
    <w:rsid w:val="00D26611"/>
    <w:rsid w:val="00D32849"/>
    <w:rsid w:val="00D40701"/>
    <w:rsid w:val="00D416F6"/>
    <w:rsid w:val="00D43252"/>
    <w:rsid w:val="00D47706"/>
    <w:rsid w:val="00D47EEA"/>
    <w:rsid w:val="00D54633"/>
    <w:rsid w:val="00D54979"/>
    <w:rsid w:val="00D5524A"/>
    <w:rsid w:val="00D6384F"/>
    <w:rsid w:val="00D63890"/>
    <w:rsid w:val="00D708E3"/>
    <w:rsid w:val="00D73F07"/>
    <w:rsid w:val="00D74056"/>
    <w:rsid w:val="00D82447"/>
    <w:rsid w:val="00D847A4"/>
    <w:rsid w:val="00D91588"/>
    <w:rsid w:val="00D93CC8"/>
    <w:rsid w:val="00D95303"/>
    <w:rsid w:val="00D978C6"/>
    <w:rsid w:val="00D97FDE"/>
    <w:rsid w:val="00DA3C1C"/>
    <w:rsid w:val="00DA7C54"/>
    <w:rsid w:val="00DA7E69"/>
    <w:rsid w:val="00DB6F8E"/>
    <w:rsid w:val="00DB7BB1"/>
    <w:rsid w:val="00DC0143"/>
    <w:rsid w:val="00DC1764"/>
    <w:rsid w:val="00DC21AD"/>
    <w:rsid w:val="00DC37A7"/>
    <w:rsid w:val="00DC3CFE"/>
    <w:rsid w:val="00DC3F47"/>
    <w:rsid w:val="00DD7780"/>
    <w:rsid w:val="00DE4113"/>
    <w:rsid w:val="00DE71A5"/>
    <w:rsid w:val="00DF1B57"/>
    <w:rsid w:val="00DF1D34"/>
    <w:rsid w:val="00DF27CA"/>
    <w:rsid w:val="00DF4148"/>
    <w:rsid w:val="00DF4C43"/>
    <w:rsid w:val="00E04F44"/>
    <w:rsid w:val="00E07078"/>
    <w:rsid w:val="00E1614B"/>
    <w:rsid w:val="00E229C1"/>
    <w:rsid w:val="00E27346"/>
    <w:rsid w:val="00E3018B"/>
    <w:rsid w:val="00E32EFC"/>
    <w:rsid w:val="00E34A06"/>
    <w:rsid w:val="00E44507"/>
    <w:rsid w:val="00E52709"/>
    <w:rsid w:val="00E53ACF"/>
    <w:rsid w:val="00E61CDC"/>
    <w:rsid w:val="00E6306B"/>
    <w:rsid w:val="00E6383D"/>
    <w:rsid w:val="00E66C81"/>
    <w:rsid w:val="00E71BC8"/>
    <w:rsid w:val="00E71F63"/>
    <w:rsid w:val="00E722C6"/>
    <w:rsid w:val="00E7260F"/>
    <w:rsid w:val="00E73391"/>
    <w:rsid w:val="00E9196E"/>
    <w:rsid w:val="00E9661C"/>
    <w:rsid w:val="00E96630"/>
    <w:rsid w:val="00EA1DF1"/>
    <w:rsid w:val="00EB012F"/>
    <w:rsid w:val="00EB3EE4"/>
    <w:rsid w:val="00EB7F5F"/>
    <w:rsid w:val="00EC6D11"/>
    <w:rsid w:val="00EC7333"/>
    <w:rsid w:val="00ED31B5"/>
    <w:rsid w:val="00ED7A2A"/>
    <w:rsid w:val="00EE4E77"/>
    <w:rsid w:val="00EE57F7"/>
    <w:rsid w:val="00EF0D9F"/>
    <w:rsid w:val="00EF1D7F"/>
    <w:rsid w:val="00F0499E"/>
    <w:rsid w:val="00F12E3E"/>
    <w:rsid w:val="00F14C3C"/>
    <w:rsid w:val="00F1630F"/>
    <w:rsid w:val="00F16F43"/>
    <w:rsid w:val="00F23E16"/>
    <w:rsid w:val="00F34539"/>
    <w:rsid w:val="00F35946"/>
    <w:rsid w:val="00F3634F"/>
    <w:rsid w:val="00F368DC"/>
    <w:rsid w:val="00F41433"/>
    <w:rsid w:val="00F4210F"/>
    <w:rsid w:val="00F4394E"/>
    <w:rsid w:val="00F44B0E"/>
    <w:rsid w:val="00F504F1"/>
    <w:rsid w:val="00F72A09"/>
    <w:rsid w:val="00F7380B"/>
    <w:rsid w:val="00F75DBB"/>
    <w:rsid w:val="00F8062B"/>
    <w:rsid w:val="00F8368E"/>
    <w:rsid w:val="00F83EF1"/>
    <w:rsid w:val="00F87C73"/>
    <w:rsid w:val="00F87E8A"/>
    <w:rsid w:val="00F90C57"/>
    <w:rsid w:val="00F9292C"/>
    <w:rsid w:val="00F93781"/>
    <w:rsid w:val="00F945AA"/>
    <w:rsid w:val="00F945F2"/>
    <w:rsid w:val="00F95997"/>
    <w:rsid w:val="00FA0860"/>
    <w:rsid w:val="00FA217F"/>
    <w:rsid w:val="00FA5869"/>
    <w:rsid w:val="00FA627F"/>
    <w:rsid w:val="00FB2E26"/>
    <w:rsid w:val="00FB5DB1"/>
    <w:rsid w:val="00FB613B"/>
    <w:rsid w:val="00FC40F4"/>
    <w:rsid w:val="00FC68B7"/>
    <w:rsid w:val="00FC69DF"/>
    <w:rsid w:val="00FD531B"/>
    <w:rsid w:val="00FE106A"/>
    <w:rsid w:val="00FE14F7"/>
    <w:rsid w:val="00FF2C29"/>
    <w:rsid w:val="00FF36A2"/>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79CE00C9-7AB0-4883-BD00-E1CB306A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rsid w:val="00416EAF"/>
    <w:rPr>
      <w:rFonts w:ascii="Times New Roman" w:hAnsi="Times New Roman"/>
      <w:sz w:val="18"/>
      <w:vertAlign w:val="superscript"/>
    </w:rPr>
  </w:style>
  <w:style w:type="character" w:styleId="FootnoteReference">
    <w:name w:val="footnote reference"/>
    <w:aliases w:val="4_G,Footnote number"/>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0D6404"/>
    <w:rPr>
      <w:sz w:val="18"/>
      <w:lang w:val="en-GB"/>
    </w:rPr>
  </w:style>
  <w:style w:type="character" w:customStyle="1" w:styleId="hps">
    <w:name w:val="hps"/>
    <w:rsid w:val="00DF4148"/>
  </w:style>
  <w:style w:type="character" w:customStyle="1" w:styleId="atn">
    <w:name w:val="atn"/>
    <w:rsid w:val="00DF4148"/>
  </w:style>
  <w:style w:type="character" w:styleId="CommentReference">
    <w:name w:val="annotation reference"/>
    <w:rsid w:val="00AA12C0"/>
    <w:rPr>
      <w:sz w:val="16"/>
      <w:szCs w:val="16"/>
    </w:rPr>
  </w:style>
  <w:style w:type="paragraph" w:styleId="CommentText">
    <w:name w:val="annotation text"/>
    <w:basedOn w:val="Normal"/>
    <w:link w:val="CommentTextChar"/>
    <w:rsid w:val="00AA12C0"/>
  </w:style>
  <w:style w:type="character" w:customStyle="1" w:styleId="CommentTextChar">
    <w:name w:val="Comment Text Char"/>
    <w:link w:val="CommentText"/>
    <w:rsid w:val="00AA12C0"/>
    <w:rPr>
      <w:lang w:val="en-GB"/>
    </w:rPr>
  </w:style>
  <w:style w:type="paragraph" w:styleId="CommentSubject">
    <w:name w:val="annotation subject"/>
    <w:basedOn w:val="CommentText"/>
    <w:next w:val="CommentText"/>
    <w:link w:val="CommentSubjectChar"/>
    <w:rsid w:val="00AA12C0"/>
    <w:rPr>
      <w:b/>
      <w:bCs/>
    </w:rPr>
  </w:style>
  <w:style w:type="character" w:customStyle="1" w:styleId="CommentSubjectChar">
    <w:name w:val="Comment Subject Char"/>
    <w:link w:val="CommentSubject"/>
    <w:rsid w:val="00AA12C0"/>
    <w:rPr>
      <w:b/>
      <w:bCs/>
      <w:lang w:val="en-GB"/>
    </w:rPr>
  </w:style>
  <w:style w:type="paragraph" w:styleId="BalloonText">
    <w:name w:val="Balloon Text"/>
    <w:basedOn w:val="Normal"/>
    <w:link w:val="BalloonTextChar"/>
    <w:rsid w:val="00AA12C0"/>
    <w:pPr>
      <w:spacing w:line="240" w:lineRule="auto"/>
    </w:pPr>
    <w:rPr>
      <w:rFonts w:ascii="Tahoma" w:hAnsi="Tahoma"/>
      <w:sz w:val="16"/>
      <w:szCs w:val="16"/>
    </w:rPr>
  </w:style>
  <w:style w:type="character" w:customStyle="1" w:styleId="BalloonTextChar">
    <w:name w:val="Balloon Text Char"/>
    <w:link w:val="BalloonText"/>
    <w:rsid w:val="00AA12C0"/>
    <w:rPr>
      <w:rFonts w:ascii="Tahoma" w:hAnsi="Tahoma" w:cs="Tahoma"/>
      <w:sz w:val="16"/>
      <w:szCs w:val="16"/>
      <w:lang w:val="en-GB"/>
    </w:rPr>
  </w:style>
  <w:style w:type="character" w:customStyle="1" w:styleId="hpsatn">
    <w:name w:val="hps atn"/>
    <w:basedOn w:val="DefaultParagraphFont"/>
    <w:rsid w:val="0070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275">
      <w:bodyDiv w:val="1"/>
      <w:marLeft w:val="0"/>
      <w:marRight w:val="0"/>
      <w:marTop w:val="0"/>
      <w:marBottom w:val="0"/>
      <w:divBdr>
        <w:top w:val="none" w:sz="0" w:space="0" w:color="auto"/>
        <w:left w:val="none" w:sz="0" w:space="0" w:color="auto"/>
        <w:bottom w:val="none" w:sz="0" w:space="0" w:color="auto"/>
        <w:right w:val="none" w:sz="0" w:space="0" w:color="auto"/>
      </w:divBdr>
      <w:divsChild>
        <w:div w:id="1640302182">
          <w:marLeft w:val="0"/>
          <w:marRight w:val="0"/>
          <w:marTop w:val="0"/>
          <w:marBottom w:val="0"/>
          <w:divBdr>
            <w:top w:val="none" w:sz="0" w:space="0" w:color="auto"/>
            <w:left w:val="none" w:sz="0" w:space="0" w:color="auto"/>
            <w:bottom w:val="none" w:sz="0" w:space="0" w:color="auto"/>
            <w:right w:val="none" w:sz="0" w:space="0" w:color="auto"/>
          </w:divBdr>
          <w:divsChild>
            <w:div w:id="1338925826">
              <w:marLeft w:val="0"/>
              <w:marRight w:val="0"/>
              <w:marTop w:val="0"/>
              <w:marBottom w:val="0"/>
              <w:divBdr>
                <w:top w:val="none" w:sz="0" w:space="0" w:color="auto"/>
                <w:left w:val="none" w:sz="0" w:space="0" w:color="auto"/>
                <w:bottom w:val="none" w:sz="0" w:space="0" w:color="auto"/>
                <w:right w:val="none" w:sz="0" w:space="0" w:color="auto"/>
              </w:divBdr>
              <w:divsChild>
                <w:div w:id="860388936">
                  <w:marLeft w:val="0"/>
                  <w:marRight w:val="0"/>
                  <w:marTop w:val="0"/>
                  <w:marBottom w:val="0"/>
                  <w:divBdr>
                    <w:top w:val="none" w:sz="0" w:space="0" w:color="auto"/>
                    <w:left w:val="none" w:sz="0" w:space="0" w:color="auto"/>
                    <w:bottom w:val="none" w:sz="0" w:space="0" w:color="auto"/>
                    <w:right w:val="none" w:sz="0" w:space="0" w:color="auto"/>
                  </w:divBdr>
                  <w:divsChild>
                    <w:div w:id="1245918890">
                      <w:marLeft w:val="0"/>
                      <w:marRight w:val="0"/>
                      <w:marTop w:val="0"/>
                      <w:marBottom w:val="0"/>
                      <w:divBdr>
                        <w:top w:val="none" w:sz="0" w:space="0" w:color="auto"/>
                        <w:left w:val="none" w:sz="0" w:space="0" w:color="auto"/>
                        <w:bottom w:val="none" w:sz="0" w:space="0" w:color="auto"/>
                        <w:right w:val="none" w:sz="0" w:space="0" w:color="auto"/>
                      </w:divBdr>
                      <w:divsChild>
                        <w:div w:id="717051378">
                          <w:marLeft w:val="0"/>
                          <w:marRight w:val="0"/>
                          <w:marTop w:val="0"/>
                          <w:marBottom w:val="0"/>
                          <w:divBdr>
                            <w:top w:val="none" w:sz="0" w:space="0" w:color="auto"/>
                            <w:left w:val="none" w:sz="0" w:space="0" w:color="auto"/>
                            <w:bottom w:val="none" w:sz="0" w:space="0" w:color="auto"/>
                            <w:right w:val="none" w:sz="0" w:space="0" w:color="auto"/>
                          </w:divBdr>
                          <w:divsChild>
                            <w:div w:id="1003050845">
                              <w:marLeft w:val="0"/>
                              <w:marRight w:val="0"/>
                              <w:marTop w:val="0"/>
                              <w:marBottom w:val="0"/>
                              <w:divBdr>
                                <w:top w:val="none" w:sz="0" w:space="0" w:color="auto"/>
                                <w:left w:val="none" w:sz="0" w:space="0" w:color="auto"/>
                                <w:bottom w:val="none" w:sz="0" w:space="0" w:color="auto"/>
                                <w:right w:val="none" w:sz="0" w:space="0" w:color="auto"/>
                              </w:divBdr>
                              <w:divsChild>
                                <w:div w:id="1683627128">
                                  <w:marLeft w:val="0"/>
                                  <w:marRight w:val="0"/>
                                  <w:marTop w:val="0"/>
                                  <w:marBottom w:val="0"/>
                                  <w:divBdr>
                                    <w:top w:val="none" w:sz="0" w:space="0" w:color="auto"/>
                                    <w:left w:val="none" w:sz="0" w:space="0" w:color="auto"/>
                                    <w:bottom w:val="none" w:sz="0" w:space="0" w:color="auto"/>
                                    <w:right w:val="none" w:sz="0" w:space="0" w:color="auto"/>
                                  </w:divBdr>
                                  <w:divsChild>
                                    <w:div w:id="580140919">
                                      <w:marLeft w:val="0"/>
                                      <w:marRight w:val="0"/>
                                      <w:marTop w:val="0"/>
                                      <w:marBottom w:val="0"/>
                                      <w:divBdr>
                                        <w:top w:val="single" w:sz="4" w:space="0" w:color="F5F5F5"/>
                                        <w:left w:val="single" w:sz="4" w:space="0" w:color="F5F5F5"/>
                                        <w:bottom w:val="single" w:sz="4" w:space="0" w:color="F5F5F5"/>
                                        <w:right w:val="single" w:sz="4" w:space="0" w:color="F5F5F5"/>
                                      </w:divBdr>
                                      <w:divsChild>
                                        <w:div w:id="816654376">
                                          <w:marLeft w:val="0"/>
                                          <w:marRight w:val="0"/>
                                          <w:marTop w:val="0"/>
                                          <w:marBottom w:val="0"/>
                                          <w:divBdr>
                                            <w:top w:val="single" w:sz="4" w:space="0" w:color="F5F5F5"/>
                                            <w:left w:val="single" w:sz="4" w:space="0" w:color="F5F5F5"/>
                                            <w:bottom w:val="single" w:sz="4" w:space="0" w:color="F5F5F5"/>
                                            <w:right w:val="single" w:sz="4" w:space="0" w:color="F5F5F5"/>
                                          </w:divBdr>
                                          <w:divsChild>
                                            <w:div w:id="13060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366102">
      <w:bodyDiv w:val="1"/>
      <w:marLeft w:val="0"/>
      <w:marRight w:val="0"/>
      <w:marTop w:val="0"/>
      <w:marBottom w:val="0"/>
      <w:divBdr>
        <w:top w:val="none" w:sz="0" w:space="0" w:color="auto"/>
        <w:left w:val="none" w:sz="0" w:space="0" w:color="auto"/>
        <w:bottom w:val="none" w:sz="0" w:space="0" w:color="auto"/>
        <w:right w:val="none" w:sz="0" w:space="0" w:color="auto"/>
      </w:divBdr>
      <w:divsChild>
        <w:div w:id="1796561968">
          <w:marLeft w:val="0"/>
          <w:marRight w:val="0"/>
          <w:marTop w:val="0"/>
          <w:marBottom w:val="0"/>
          <w:divBdr>
            <w:top w:val="none" w:sz="0" w:space="0" w:color="auto"/>
            <w:left w:val="none" w:sz="0" w:space="0" w:color="auto"/>
            <w:bottom w:val="none" w:sz="0" w:space="0" w:color="auto"/>
            <w:right w:val="none" w:sz="0" w:space="0" w:color="auto"/>
          </w:divBdr>
          <w:divsChild>
            <w:div w:id="2044549920">
              <w:marLeft w:val="0"/>
              <w:marRight w:val="0"/>
              <w:marTop w:val="0"/>
              <w:marBottom w:val="0"/>
              <w:divBdr>
                <w:top w:val="none" w:sz="0" w:space="0" w:color="auto"/>
                <w:left w:val="none" w:sz="0" w:space="0" w:color="auto"/>
                <w:bottom w:val="none" w:sz="0" w:space="0" w:color="auto"/>
                <w:right w:val="none" w:sz="0" w:space="0" w:color="auto"/>
              </w:divBdr>
              <w:divsChild>
                <w:div w:id="628706966">
                  <w:marLeft w:val="0"/>
                  <w:marRight w:val="0"/>
                  <w:marTop w:val="0"/>
                  <w:marBottom w:val="0"/>
                  <w:divBdr>
                    <w:top w:val="none" w:sz="0" w:space="0" w:color="auto"/>
                    <w:left w:val="none" w:sz="0" w:space="0" w:color="auto"/>
                    <w:bottom w:val="none" w:sz="0" w:space="0" w:color="auto"/>
                    <w:right w:val="none" w:sz="0" w:space="0" w:color="auto"/>
                  </w:divBdr>
                  <w:divsChild>
                    <w:div w:id="2103409934">
                      <w:marLeft w:val="0"/>
                      <w:marRight w:val="0"/>
                      <w:marTop w:val="0"/>
                      <w:marBottom w:val="0"/>
                      <w:divBdr>
                        <w:top w:val="none" w:sz="0" w:space="0" w:color="auto"/>
                        <w:left w:val="none" w:sz="0" w:space="0" w:color="auto"/>
                        <w:bottom w:val="none" w:sz="0" w:space="0" w:color="auto"/>
                        <w:right w:val="none" w:sz="0" w:space="0" w:color="auto"/>
                      </w:divBdr>
                      <w:divsChild>
                        <w:div w:id="1128552010">
                          <w:marLeft w:val="0"/>
                          <w:marRight w:val="0"/>
                          <w:marTop w:val="0"/>
                          <w:marBottom w:val="0"/>
                          <w:divBdr>
                            <w:top w:val="none" w:sz="0" w:space="0" w:color="auto"/>
                            <w:left w:val="none" w:sz="0" w:space="0" w:color="auto"/>
                            <w:bottom w:val="none" w:sz="0" w:space="0" w:color="auto"/>
                            <w:right w:val="none" w:sz="0" w:space="0" w:color="auto"/>
                          </w:divBdr>
                          <w:divsChild>
                            <w:div w:id="2070301686">
                              <w:marLeft w:val="0"/>
                              <w:marRight w:val="0"/>
                              <w:marTop w:val="0"/>
                              <w:marBottom w:val="0"/>
                              <w:divBdr>
                                <w:top w:val="none" w:sz="0" w:space="0" w:color="auto"/>
                                <w:left w:val="none" w:sz="0" w:space="0" w:color="auto"/>
                                <w:bottom w:val="none" w:sz="0" w:space="0" w:color="auto"/>
                                <w:right w:val="none" w:sz="0" w:space="0" w:color="auto"/>
                              </w:divBdr>
                              <w:divsChild>
                                <w:div w:id="1826508675">
                                  <w:marLeft w:val="0"/>
                                  <w:marRight w:val="0"/>
                                  <w:marTop w:val="0"/>
                                  <w:marBottom w:val="0"/>
                                  <w:divBdr>
                                    <w:top w:val="none" w:sz="0" w:space="0" w:color="auto"/>
                                    <w:left w:val="none" w:sz="0" w:space="0" w:color="auto"/>
                                    <w:bottom w:val="none" w:sz="0" w:space="0" w:color="auto"/>
                                    <w:right w:val="none" w:sz="0" w:space="0" w:color="auto"/>
                                  </w:divBdr>
                                  <w:divsChild>
                                    <w:div w:id="1587956510">
                                      <w:marLeft w:val="0"/>
                                      <w:marRight w:val="0"/>
                                      <w:marTop w:val="0"/>
                                      <w:marBottom w:val="0"/>
                                      <w:divBdr>
                                        <w:top w:val="single" w:sz="4" w:space="0" w:color="F5F5F5"/>
                                        <w:left w:val="single" w:sz="4" w:space="0" w:color="F5F5F5"/>
                                        <w:bottom w:val="single" w:sz="4" w:space="0" w:color="F5F5F5"/>
                                        <w:right w:val="single" w:sz="4" w:space="0" w:color="F5F5F5"/>
                                      </w:divBdr>
                                      <w:divsChild>
                                        <w:div w:id="1042054989">
                                          <w:marLeft w:val="0"/>
                                          <w:marRight w:val="0"/>
                                          <w:marTop w:val="0"/>
                                          <w:marBottom w:val="0"/>
                                          <w:divBdr>
                                            <w:top w:val="single" w:sz="4" w:space="0" w:color="F5F5F5"/>
                                            <w:left w:val="single" w:sz="4" w:space="0" w:color="F5F5F5"/>
                                            <w:bottom w:val="single" w:sz="4" w:space="0" w:color="F5F5F5"/>
                                            <w:right w:val="single" w:sz="4" w:space="0" w:color="F5F5F5"/>
                                          </w:divBdr>
                                          <w:divsChild>
                                            <w:div w:id="21052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n.org/apps/news/story.asp?NewsID=41500" TargetMode="External"/><Relationship Id="rId2" Type="http://schemas.openxmlformats.org/officeDocument/2006/relationships/hyperlink" Target="http://www.amnesty.org/en/region/yemen/report-2010" TargetMode="External"/><Relationship Id="rId1" Type="http://schemas.openxmlformats.org/officeDocument/2006/relationships/hyperlink" Target="http://news.bbc.co.uk/2/hi/middle_east/country_profiles/8062225.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6878</Words>
  <Characters>39211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45998</CharactersWithSpaces>
  <SharedDoc>false</SharedDoc>
  <HLinks>
    <vt:vector size="18" baseType="variant">
      <vt:variant>
        <vt:i4>4128806</vt:i4>
      </vt:variant>
      <vt:variant>
        <vt:i4>6</vt:i4>
      </vt:variant>
      <vt:variant>
        <vt:i4>0</vt:i4>
      </vt:variant>
      <vt:variant>
        <vt:i4>5</vt:i4>
      </vt:variant>
      <vt:variant>
        <vt:lpwstr>http://www.un.org/apps/news/story.asp?NewsID=41500</vt:lpwstr>
      </vt:variant>
      <vt:variant>
        <vt:lpwstr/>
      </vt:variant>
      <vt:variant>
        <vt:i4>2687030</vt:i4>
      </vt:variant>
      <vt:variant>
        <vt:i4>3</vt:i4>
      </vt:variant>
      <vt:variant>
        <vt:i4>0</vt:i4>
      </vt:variant>
      <vt:variant>
        <vt:i4>5</vt:i4>
      </vt:variant>
      <vt:variant>
        <vt:lpwstr>http://www.amnesty.org/en/region/yemen/report-2010</vt:lpwstr>
      </vt:variant>
      <vt:variant>
        <vt:lpwstr/>
      </vt:variant>
      <vt:variant>
        <vt:i4>4259905</vt:i4>
      </vt:variant>
      <vt:variant>
        <vt:i4>0</vt:i4>
      </vt:variant>
      <vt:variant>
        <vt:i4>0</vt:i4>
      </vt:variant>
      <vt:variant>
        <vt:i4>5</vt:i4>
      </vt:variant>
      <vt:variant>
        <vt:lpwstr>http://news.bbc.co.uk/2/hi/middle_east/country_profiles/8062225.stm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2013-07-12T15:59:00Z</cp:lastPrinted>
  <dcterms:created xsi:type="dcterms:W3CDTF">2017-01-25T01:24:00Z</dcterms:created>
  <dcterms:modified xsi:type="dcterms:W3CDTF">2017-01-25T01:24:00Z</dcterms:modified>
</cp:coreProperties>
</file>