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AF1D5F" w:rsidTr="006B2667">
        <w:trPr>
          <w:trHeight w:val="851"/>
        </w:trPr>
        <w:tc>
          <w:tcPr>
            <w:tcW w:w="1259" w:type="dxa"/>
            <w:tcBorders>
              <w:top w:val="nil"/>
              <w:left w:val="nil"/>
              <w:bottom w:val="single" w:sz="4" w:space="0" w:color="auto"/>
              <w:right w:val="nil"/>
            </w:tcBorders>
          </w:tcPr>
          <w:p w:rsidR="00446DE4" w:rsidRPr="00AF1D5F" w:rsidRDefault="00446DE4" w:rsidP="00473FF8">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446DE4" w:rsidRPr="00AF1D5F" w:rsidRDefault="00B3317B" w:rsidP="00473FF8">
            <w:pPr>
              <w:spacing w:after="80" w:line="340" w:lineRule="exact"/>
              <w:rPr>
                <w:sz w:val="28"/>
                <w:szCs w:val="28"/>
              </w:rPr>
            </w:pPr>
            <w:r w:rsidRPr="00AF1D5F">
              <w:rPr>
                <w:sz w:val="28"/>
                <w:szCs w:val="28"/>
              </w:rPr>
              <w:t>United Nations</w:t>
            </w:r>
          </w:p>
        </w:tc>
        <w:tc>
          <w:tcPr>
            <w:tcW w:w="6144" w:type="dxa"/>
            <w:gridSpan w:val="2"/>
            <w:tcBorders>
              <w:top w:val="nil"/>
              <w:left w:val="nil"/>
              <w:bottom w:val="single" w:sz="4" w:space="0" w:color="auto"/>
              <w:right w:val="nil"/>
            </w:tcBorders>
            <w:vAlign w:val="bottom"/>
          </w:tcPr>
          <w:p w:rsidR="00446DE4" w:rsidRPr="00AF1D5F" w:rsidRDefault="006B2667" w:rsidP="002F478D">
            <w:pPr>
              <w:jc w:val="right"/>
            </w:pPr>
            <w:r w:rsidRPr="00AF1D5F">
              <w:rPr>
                <w:sz w:val="40"/>
              </w:rPr>
              <w:t>CAT</w:t>
            </w:r>
            <w:r w:rsidRPr="00AF1D5F">
              <w:t>/C/5</w:t>
            </w:r>
            <w:r w:rsidR="00480375" w:rsidRPr="00AF1D5F">
              <w:t>3</w:t>
            </w:r>
            <w:r w:rsidRPr="00AF1D5F">
              <w:t>/D/4</w:t>
            </w:r>
            <w:r w:rsidR="00480375" w:rsidRPr="00AF1D5F">
              <w:t>70</w:t>
            </w:r>
            <w:r w:rsidRPr="00AF1D5F">
              <w:t>/201</w:t>
            </w:r>
            <w:r w:rsidR="003B3A6D" w:rsidRPr="00AF1D5F">
              <w:t>1</w:t>
            </w:r>
            <w:r w:rsidR="00A66C24" w:rsidRPr="00DD3BFB">
              <w:rPr>
                <w:rStyle w:val="FootnoteReference"/>
                <w:sz w:val="20"/>
                <w:vertAlign w:val="baseline"/>
              </w:rPr>
              <w:footnoteReference w:customMarkFollows="1" w:id="2"/>
              <w:t>*</w:t>
            </w:r>
          </w:p>
        </w:tc>
      </w:tr>
      <w:tr w:rsidR="003107FA" w:rsidRPr="00AF1D5F" w:rsidTr="006B2667">
        <w:trPr>
          <w:trHeight w:val="2835"/>
        </w:trPr>
        <w:tc>
          <w:tcPr>
            <w:tcW w:w="1259" w:type="dxa"/>
            <w:tcBorders>
              <w:top w:val="single" w:sz="4" w:space="0" w:color="auto"/>
              <w:left w:val="nil"/>
              <w:bottom w:val="single" w:sz="12" w:space="0" w:color="auto"/>
              <w:right w:val="nil"/>
            </w:tcBorders>
          </w:tcPr>
          <w:p w:rsidR="003107FA" w:rsidRPr="00AF1D5F" w:rsidRDefault="00A24095" w:rsidP="005629E1">
            <w:pPr>
              <w:spacing w:before="120"/>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450" w:type="dxa"/>
            <w:gridSpan w:val="2"/>
            <w:tcBorders>
              <w:top w:val="single" w:sz="4" w:space="0" w:color="auto"/>
              <w:left w:val="nil"/>
              <w:bottom w:val="single" w:sz="12" w:space="0" w:color="auto"/>
              <w:right w:val="nil"/>
            </w:tcBorders>
          </w:tcPr>
          <w:p w:rsidR="003107FA" w:rsidRPr="008579B9" w:rsidRDefault="005A6030" w:rsidP="005A6030">
            <w:pPr>
              <w:spacing w:before="120" w:line="380" w:lineRule="exact"/>
              <w:rPr>
                <w:rFonts w:ascii="Times New Roman Bold" w:hAnsi="Times New Roman Bold"/>
                <w:b/>
                <w:sz w:val="34"/>
                <w:szCs w:val="40"/>
              </w:rPr>
            </w:pPr>
            <w:r w:rsidRPr="00794F12">
              <w:rPr>
                <w:rFonts w:ascii="Times New Roman Bold" w:hAnsi="Times New Roman Bold"/>
                <w:b/>
                <w:sz w:val="34"/>
                <w:szCs w:val="40"/>
              </w:rPr>
              <w:t>Convention against Torture</w:t>
            </w:r>
            <w:r w:rsidRPr="00794F12">
              <w:rPr>
                <w:rFonts w:ascii="Times New Roman Bold" w:hAnsi="Times New Roman Bold"/>
                <w:b/>
                <w:sz w:val="34"/>
                <w:szCs w:val="40"/>
              </w:rPr>
              <w:br/>
              <w:t>and Other Cruel, Inhuman</w:t>
            </w:r>
            <w:r w:rsidRPr="00794F12">
              <w:rPr>
                <w:rFonts w:ascii="Times New Roman Bold" w:hAnsi="Times New Roman Bold"/>
                <w:b/>
                <w:sz w:val="34"/>
                <w:szCs w:val="40"/>
              </w:rPr>
              <w:br/>
              <w:t>or Degrading Treatment</w:t>
            </w:r>
            <w:r w:rsidRPr="00794F12">
              <w:rPr>
                <w:rFonts w:ascii="Times New Roman Bold" w:hAnsi="Times New Roman Bold"/>
                <w:b/>
                <w:sz w:val="34"/>
                <w:szCs w:val="40"/>
              </w:rPr>
              <w:br/>
              <w:t>or Punishment</w:t>
            </w:r>
          </w:p>
        </w:tc>
        <w:tc>
          <w:tcPr>
            <w:tcW w:w="2930" w:type="dxa"/>
            <w:tcBorders>
              <w:top w:val="single" w:sz="4" w:space="0" w:color="auto"/>
              <w:left w:val="nil"/>
              <w:bottom w:val="single" w:sz="12" w:space="0" w:color="auto"/>
              <w:right w:val="nil"/>
            </w:tcBorders>
          </w:tcPr>
          <w:p w:rsidR="003107FA" w:rsidRPr="00D757ED" w:rsidRDefault="006B2667" w:rsidP="006B2667">
            <w:pPr>
              <w:spacing w:before="240" w:line="240" w:lineRule="exact"/>
            </w:pPr>
            <w:r w:rsidRPr="00D757ED">
              <w:t xml:space="preserve">Distr.: </w:t>
            </w:r>
            <w:r w:rsidR="002F478D" w:rsidRPr="00D757ED">
              <w:t>General</w:t>
            </w:r>
          </w:p>
          <w:p w:rsidR="006B2667" w:rsidRPr="00794F12" w:rsidRDefault="00794F12" w:rsidP="006B2667">
            <w:pPr>
              <w:spacing w:line="240" w:lineRule="exact"/>
            </w:pPr>
            <w:r>
              <w:t>19 January 2015</w:t>
            </w:r>
          </w:p>
          <w:p w:rsidR="006B2667" w:rsidRPr="008579B9" w:rsidRDefault="006B2667" w:rsidP="006B2667">
            <w:pPr>
              <w:spacing w:line="240" w:lineRule="exact"/>
            </w:pPr>
          </w:p>
          <w:p w:rsidR="006B2667" w:rsidRPr="00D757ED" w:rsidRDefault="006B2667" w:rsidP="006B2667">
            <w:pPr>
              <w:spacing w:line="240" w:lineRule="exact"/>
            </w:pPr>
            <w:r w:rsidRPr="00D757ED">
              <w:t>Original: English</w:t>
            </w:r>
          </w:p>
        </w:tc>
      </w:tr>
    </w:tbl>
    <w:p w:rsidR="006B2667" w:rsidRPr="00AF1D5F" w:rsidRDefault="006B2667" w:rsidP="006B2667">
      <w:pPr>
        <w:spacing w:before="120"/>
        <w:rPr>
          <w:b/>
          <w:sz w:val="24"/>
          <w:szCs w:val="24"/>
        </w:rPr>
      </w:pPr>
      <w:r w:rsidRPr="00AF1D5F">
        <w:rPr>
          <w:b/>
          <w:sz w:val="24"/>
          <w:szCs w:val="24"/>
        </w:rPr>
        <w:t>Committee against Torture</w:t>
      </w:r>
    </w:p>
    <w:p w:rsidR="006B2667" w:rsidRPr="00AF1D5F" w:rsidRDefault="006B2667" w:rsidP="008344D2">
      <w:pPr>
        <w:pStyle w:val="HChG"/>
      </w:pPr>
      <w:r w:rsidRPr="00AF1D5F">
        <w:tab/>
      </w:r>
      <w:r w:rsidRPr="00AF1D5F">
        <w:tab/>
      </w:r>
      <w:r w:rsidR="00A24095">
        <w:rPr>
          <w:noProof/>
          <w:lang w:eastAsia="zh-CN"/>
        </w:rPr>
        <w:pict>
          <v:shape id="_x0000_s1026" type="#_x0000_t75" style="position:absolute;left:0;text-align:left;margin-left:432.25pt;margin-top:632.1pt;width:50.25pt;height:50.25pt;z-index:1;mso-position-horizontal-relative:margin;mso-position-vertical-relative:margin" o:allowoverlap="f">
            <v:imagedata r:id="rId8" o:title="2011*&amp;Size=2 &amp;Lang=E"/>
            <w10:wrap anchorx="margin" anchory="margin"/>
          </v:shape>
        </w:pict>
      </w:r>
      <w:r w:rsidRPr="00AF1D5F">
        <w:t>Communication No. 4</w:t>
      </w:r>
      <w:r w:rsidR="00480375" w:rsidRPr="00AF1D5F">
        <w:t>70</w:t>
      </w:r>
      <w:r w:rsidRPr="00AF1D5F">
        <w:t>/201</w:t>
      </w:r>
      <w:r w:rsidR="003B3A6D" w:rsidRPr="00AF1D5F">
        <w:t>1</w:t>
      </w:r>
    </w:p>
    <w:p w:rsidR="00BB2A0D" w:rsidRPr="00CF2651" w:rsidRDefault="006B2667" w:rsidP="00F17FF8">
      <w:pPr>
        <w:keepNext/>
        <w:keepLines/>
        <w:tabs>
          <w:tab w:val="right" w:pos="1985"/>
        </w:tabs>
        <w:autoSpaceDN w:val="0"/>
        <w:spacing w:before="360" w:after="240" w:line="270" w:lineRule="exact"/>
        <w:ind w:left="1134" w:right="1134" w:hanging="1134"/>
        <w:textAlignment w:val="baseline"/>
        <w:rPr>
          <w:b/>
          <w:kern w:val="3"/>
          <w:sz w:val="24"/>
          <w:lang w:eastAsia="zh-CN"/>
        </w:rPr>
      </w:pPr>
      <w:r w:rsidRPr="00AF1D5F">
        <w:tab/>
      </w:r>
      <w:r w:rsidRPr="00AF1D5F">
        <w:tab/>
      </w:r>
      <w:r w:rsidR="00BB2A0D" w:rsidRPr="00CF2651">
        <w:rPr>
          <w:b/>
          <w:kern w:val="3"/>
          <w:sz w:val="24"/>
          <w:lang w:eastAsia="zh-CN"/>
        </w:rPr>
        <w:t>Decision adopted by the Committee at its</w:t>
      </w:r>
      <w:r w:rsidR="00F17FF8">
        <w:rPr>
          <w:b/>
          <w:kern w:val="3"/>
          <w:sz w:val="24"/>
          <w:lang w:eastAsia="zh-CN"/>
        </w:rPr>
        <w:t xml:space="preserve"> fifty-third</w:t>
      </w:r>
      <w:r w:rsidR="00BB2A0D" w:rsidRPr="00CF2651">
        <w:rPr>
          <w:b/>
          <w:kern w:val="3"/>
          <w:sz w:val="24"/>
          <w:lang w:eastAsia="zh-CN"/>
        </w:rPr>
        <w:t xml:space="preserve"> session </w:t>
      </w:r>
      <w:r w:rsidR="003B2AA6">
        <w:rPr>
          <w:b/>
          <w:kern w:val="3"/>
          <w:sz w:val="24"/>
          <w:lang w:eastAsia="zh-CN"/>
        </w:rPr>
        <w:br/>
      </w:r>
      <w:r w:rsidR="00BB2A0D" w:rsidRPr="00CF2651">
        <w:rPr>
          <w:b/>
          <w:kern w:val="3"/>
          <w:sz w:val="24"/>
          <w:lang w:eastAsia="zh-CN"/>
        </w:rPr>
        <w:t>(3</w:t>
      </w:r>
      <w:r w:rsidR="003B2AA6">
        <w:rPr>
          <w:b/>
          <w:kern w:val="3"/>
          <w:sz w:val="24"/>
          <w:lang w:eastAsia="zh-CN"/>
        </w:rPr>
        <w:t>–</w:t>
      </w:r>
      <w:r w:rsidR="00BB2A0D" w:rsidRPr="00CF2651">
        <w:rPr>
          <w:b/>
          <w:kern w:val="3"/>
          <w:sz w:val="24"/>
          <w:lang w:eastAsia="zh-CN"/>
        </w:rPr>
        <w:t>28 November 2014)</w:t>
      </w:r>
    </w:p>
    <w:p w:rsidR="006B2667" w:rsidRPr="00AF1D5F" w:rsidRDefault="006B2667" w:rsidP="003B2AA6">
      <w:pPr>
        <w:pStyle w:val="SingleTxtG"/>
        <w:ind w:left="4536" w:hanging="3402"/>
        <w:jc w:val="left"/>
      </w:pPr>
      <w:r w:rsidRPr="00AF1D5F">
        <w:rPr>
          <w:i/>
        </w:rPr>
        <w:t>Submitted by:</w:t>
      </w:r>
      <w:r w:rsidRPr="00AF1D5F">
        <w:rPr>
          <w:i/>
        </w:rPr>
        <w:tab/>
      </w:r>
      <w:r w:rsidR="00561F3F">
        <w:t>X.</w:t>
      </w:r>
      <w:r w:rsidR="002949D3" w:rsidRPr="00AF1D5F">
        <w:t xml:space="preserve"> </w:t>
      </w:r>
      <w:r w:rsidRPr="00AF1D5F">
        <w:t xml:space="preserve">(represented by counsel, </w:t>
      </w:r>
      <w:r w:rsidR="00480375" w:rsidRPr="00AF1D5F">
        <w:t>Monique Bremi</w:t>
      </w:r>
      <w:r w:rsidRPr="00AF1D5F">
        <w:t>)</w:t>
      </w:r>
    </w:p>
    <w:p w:rsidR="00480375" w:rsidRPr="00AF1D5F" w:rsidRDefault="006B2667" w:rsidP="00ED6049">
      <w:pPr>
        <w:pStyle w:val="SingleTxtG"/>
        <w:ind w:left="4536" w:hanging="3402"/>
        <w:jc w:val="left"/>
      </w:pPr>
      <w:r w:rsidRPr="00AF1D5F">
        <w:rPr>
          <w:i/>
        </w:rPr>
        <w:t>Alleged victim:</w:t>
      </w:r>
      <w:r w:rsidRPr="00AF1D5F">
        <w:rPr>
          <w:i/>
        </w:rPr>
        <w:tab/>
      </w:r>
      <w:r w:rsidR="00480375" w:rsidRPr="00AF1D5F">
        <w:t>The complainant</w:t>
      </w:r>
    </w:p>
    <w:p w:rsidR="006B2667" w:rsidRPr="00AF1D5F" w:rsidRDefault="006B2667" w:rsidP="003B2AA6">
      <w:pPr>
        <w:pStyle w:val="SingleTxtG"/>
        <w:ind w:left="4536" w:hanging="3402"/>
        <w:jc w:val="left"/>
      </w:pPr>
      <w:r w:rsidRPr="00AF1D5F">
        <w:rPr>
          <w:i/>
        </w:rPr>
        <w:t>State party:</w:t>
      </w:r>
      <w:r w:rsidRPr="00AF1D5F">
        <w:rPr>
          <w:i/>
        </w:rPr>
        <w:tab/>
      </w:r>
      <w:r w:rsidR="00480375" w:rsidRPr="00AF1D5F">
        <w:t>Switzerland</w:t>
      </w:r>
    </w:p>
    <w:p w:rsidR="006B2667" w:rsidRPr="00AF1D5F" w:rsidRDefault="006B2667" w:rsidP="003B2AA6">
      <w:pPr>
        <w:pStyle w:val="SingleTxtG"/>
        <w:ind w:left="4536" w:hanging="3402"/>
        <w:jc w:val="left"/>
      </w:pPr>
      <w:r w:rsidRPr="00AF1D5F">
        <w:rPr>
          <w:i/>
        </w:rPr>
        <w:t>Date of complaint:</w:t>
      </w:r>
      <w:r w:rsidRPr="00AF1D5F">
        <w:rPr>
          <w:i/>
        </w:rPr>
        <w:tab/>
      </w:r>
      <w:r w:rsidR="00480375" w:rsidRPr="00AF1D5F">
        <w:t>15</w:t>
      </w:r>
      <w:r w:rsidR="003B3A6D" w:rsidRPr="00AF1D5F">
        <w:t xml:space="preserve"> Ju</w:t>
      </w:r>
      <w:r w:rsidR="00480375" w:rsidRPr="00AF1D5F">
        <w:t>ly</w:t>
      </w:r>
      <w:r w:rsidR="003B3A6D" w:rsidRPr="00AF1D5F">
        <w:t xml:space="preserve"> 2011</w:t>
      </w:r>
      <w:r w:rsidRPr="00AF1D5F">
        <w:t xml:space="preserve"> (initial submission)</w:t>
      </w:r>
    </w:p>
    <w:p w:rsidR="006B2667" w:rsidRPr="00AF1D5F" w:rsidRDefault="006B2667" w:rsidP="003B2AA6">
      <w:pPr>
        <w:pStyle w:val="SingleTxtG"/>
        <w:ind w:left="4536" w:hanging="3402"/>
        <w:jc w:val="left"/>
      </w:pPr>
      <w:r w:rsidRPr="00AF1D5F">
        <w:rPr>
          <w:i/>
        </w:rPr>
        <w:t>Date of present decision:</w:t>
      </w:r>
      <w:r w:rsidRPr="00AF1D5F">
        <w:rPr>
          <w:i/>
        </w:rPr>
        <w:tab/>
      </w:r>
      <w:r w:rsidR="00BB2A0D">
        <w:t>24</w:t>
      </w:r>
      <w:r w:rsidR="00BB2A0D" w:rsidRPr="00AF1D5F">
        <w:t xml:space="preserve"> </w:t>
      </w:r>
      <w:r w:rsidR="00480375" w:rsidRPr="00AF1D5F">
        <w:t>November</w:t>
      </w:r>
      <w:r w:rsidR="003B3A6D" w:rsidRPr="00AF1D5F">
        <w:t xml:space="preserve"> 2014</w:t>
      </w:r>
    </w:p>
    <w:p w:rsidR="006B2667" w:rsidRDefault="006B2667" w:rsidP="003B2AA6">
      <w:pPr>
        <w:pStyle w:val="SingleTxtG"/>
        <w:ind w:left="4536" w:hanging="3402"/>
        <w:jc w:val="left"/>
      </w:pPr>
      <w:r w:rsidRPr="00AF1D5F">
        <w:rPr>
          <w:i/>
          <w:iCs/>
        </w:rPr>
        <w:t>Subject matter:</w:t>
      </w:r>
      <w:r w:rsidRPr="00AF1D5F">
        <w:rPr>
          <w:i/>
        </w:rPr>
        <w:tab/>
      </w:r>
      <w:r w:rsidR="0071513C" w:rsidRPr="00973654">
        <w:t>Deportation</w:t>
      </w:r>
      <w:r w:rsidRPr="00973654">
        <w:t xml:space="preserve"> to </w:t>
      </w:r>
      <w:r w:rsidR="00ED6049" w:rsidRPr="00973654">
        <w:t xml:space="preserve">the Islamic Republic of </w:t>
      </w:r>
      <w:r w:rsidR="00480375" w:rsidRPr="00973654">
        <w:t>Iran</w:t>
      </w:r>
    </w:p>
    <w:p w:rsidR="008155B6" w:rsidRPr="00AF1D5F" w:rsidRDefault="008155B6" w:rsidP="008155B6">
      <w:pPr>
        <w:pStyle w:val="SingleTxtG"/>
        <w:ind w:left="4536" w:hanging="3402"/>
        <w:jc w:val="left"/>
      </w:pPr>
      <w:r w:rsidRPr="00A50F4A">
        <w:rPr>
          <w:i/>
          <w:iCs/>
        </w:rPr>
        <w:t>Procedural issues</w:t>
      </w:r>
      <w:r w:rsidRPr="00A50F4A">
        <w:rPr>
          <w:i/>
        </w:rPr>
        <w:t>:</w:t>
      </w:r>
      <w:r w:rsidRPr="00A50F4A">
        <w:rPr>
          <w:i/>
          <w:iCs/>
        </w:rPr>
        <w:tab/>
      </w:r>
      <w:r w:rsidRPr="00A50F4A">
        <w:rPr>
          <w:iCs/>
        </w:rPr>
        <w:t>None</w:t>
      </w:r>
    </w:p>
    <w:p w:rsidR="006B2667" w:rsidRPr="00DD3BFB" w:rsidRDefault="006B2667" w:rsidP="003B2AA6">
      <w:pPr>
        <w:pStyle w:val="SingleTxtG"/>
        <w:ind w:left="4536" w:hanging="3402"/>
        <w:jc w:val="left"/>
      </w:pPr>
      <w:r w:rsidRPr="00DD3BFB">
        <w:rPr>
          <w:i/>
          <w:iCs/>
        </w:rPr>
        <w:t>Substantive issue</w:t>
      </w:r>
      <w:r w:rsidR="00D81A42" w:rsidRPr="00DD3BFB">
        <w:rPr>
          <w:i/>
          <w:iCs/>
        </w:rPr>
        <w:t>s</w:t>
      </w:r>
      <w:r w:rsidRPr="00DD3BFB">
        <w:rPr>
          <w:i/>
          <w:iCs/>
        </w:rPr>
        <w:t>:</w:t>
      </w:r>
      <w:r w:rsidRPr="00DD3BFB">
        <w:rPr>
          <w:i/>
          <w:iCs/>
        </w:rPr>
        <w:tab/>
      </w:r>
      <w:r w:rsidRPr="00DD3BFB">
        <w:t>Risk of torture upon return to the country of origin</w:t>
      </w:r>
    </w:p>
    <w:p w:rsidR="006B2667" w:rsidRPr="00AF1D5F" w:rsidRDefault="006B2667" w:rsidP="003B2AA6">
      <w:pPr>
        <w:pStyle w:val="SingleTxtG"/>
        <w:ind w:left="4536" w:hanging="3402"/>
        <w:jc w:val="left"/>
      </w:pPr>
      <w:r w:rsidRPr="00AF1D5F">
        <w:rPr>
          <w:i/>
          <w:iCs/>
        </w:rPr>
        <w:t>Article</w:t>
      </w:r>
      <w:r w:rsidR="00ED6049">
        <w:rPr>
          <w:i/>
          <w:iCs/>
        </w:rPr>
        <w:t>s</w:t>
      </w:r>
      <w:r w:rsidRPr="00AF1D5F">
        <w:rPr>
          <w:i/>
          <w:iCs/>
        </w:rPr>
        <w:t xml:space="preserve"> of the Convention</w:t>
      </w:r>
      <w:r w:rsidRPr="00AF1D5F">
        <w:rPr>
          <w:i/>
        </w:rPr>
        <w:t>:</w:t>
      </w:r>
      <w:r w:rsidRPr="00AF1D5F">
        <w:rPr>
          <w:i/>
          <w:iCs/>
        </w:rPr>
        <w:tab/>
      </w:r>
      <w:r w:rsidRPr="00AF1D5F">
        <w:t>3</w:t>
      </w:r>
    </w:p>
    <w:p w:rsidR="006B2667" w:rsidRPr="00AF1D5F" w:rsidRDefault="006B2667" w:rsidP="008344D2">
      <w:pPr>
        <w:pStyle w:val="SingleTxtG"/>
        <w:jc w:val="center"/>
      </w:pPr>
      <w:r w:rsidRPr="00AF1D5F">
        <w:t>[Annex]</w:t>
      </w:r>
    </w:p>
    <w:p w:rsidR="006B2667" w:rsidRPr="00AF1D5F" w:rsidRDefault="006B2667" w:rsidP="008344D2">
      <w:pPr>
        <w:pStyle w:val="HChG"/>
      </w:pPr>
      <w:r w:rsidRPr="00AF1D5F">
        <w:br w:type="page"/>
      </w:r>
      <w:r w:rsidRPr="00AF1D5F">
        <w:lastRenderedPageBreak/>
        <w:t>Annex</w:t>
      </w:r>
    </w:p>
    <w:p w:rsidR="006B2667" w:rsidRPr="00AF1D5F" w:rsidRDefault="006B2667" w:rsidP="008344D2">
      <w:pPr>
        <w:pStyle w:val="HChG"/>
      </w:pPr>
      <w:r w:rsidRPr="00AF1D5F">
        <w:tab/>
      </w:r>
      <w:r w:rsidRPr="00AF1D5F">
        <w:tab/>
        <w:t>Decision of the Committee agai</w:t>
      </w:r>
      <w:r w:rsidR="003B2AA6">
        <w:t>nst Torture under article 22 of </w:t>
      </w:r>
      <w:r w:rsidRPr="00AF1D5F">
        <w:t xml:space="preserve">the Convention against Torture and Other Cruel, Inhuman or Degrading Treatment or Punishment </w:t>
      </w:r>
      <w:r w:rsidR="003B2AA6">
        <w:br/>
      </w:r>
      <w:r w:rsidRPr="00AF1D5F">
        <w:t>(fifty-</w:t>
      </w:r>
      <w:r w:rsidR="00480375" w:rsidRPr="00AF1D5F">
        <w:t>third</w:t>
      </w:r>
      <w:r w:rsidRPr="00AF1D5F">
        <w:t xml:space="preserve"> session)</w:t>
      </w:r>
    </w:p>
    <w:p w:rsidR="006B2667" w:rsidRPr="00AF1D5F" w:rsidRDefault="006B2667" w:rsidP="008344D2">
      <w:pPr>
        <w:pStyle w:val="SingleTxtG"/>
      </w:pPr>
      <w:r w:rsidRPr="00AF1D5F">
        <w:t>concerning</w:t>
      </w:r>
    </w:p>
    <w:p w:rsidR="006B2667" w:rsidRPr="00AF1D5F" w:rsidRDefault="006B2667" w:rsidP="008344D2">
      <w:pPr>
        <w:pStyle w:val="H1G"/>
      </w:pPr>
      <w:r w:rsidRPr="00AF1D5F">
        <w:tab/>
      </w:r>
      <w:r w:rsidRPr="00AF1D5F">
        <w:tab/>
        <w:t>Communication No. 4</w:t>
      </w:r>
      <w:r w:rsidR="00480375" w:rsidRPr="00AF1D5F">
        <w:t>70</w:t>
      </w:r>
      <w:r w:rsidRPr="00AF1D5F">
        <w:t>/201</w:t>
      </w:r>
      <w:r w:rsidR="003B3A6D" w:rsidRPr="00AF1D5F">
        <w:t>1</w:t>
      </w:r>
    </w:p>
    <w:p w:rsidR="00480375" w:rsidRPr="00AF1D5F" w:rsidRDefault="006B2667" w:rsidP="00CB6670">
      <w:pPr>
        <w:pStyle w:val="SingleTxtG"/>
        <w:ind w:left="4536" w:hanging="3402"/>
        <w:jc w:val="left"/>
      </w:pPr>
      <w:r w:rsidRPr="00AF1D5F">
        <w:rPr>
          <w:i/>
        </w:rPr>
        <w:t>Submitted by:</w:t>
      </w:r>
      <w:r w:rsidRPr="00AF1D5F">
        <w:rPr>
          <w:i/>
        </w:rPr>
        <w:tab/>
      </w:r>
      <w:r w:rsidR="00561F3F">
        <w:t>X.</w:t>
      </w:r>
      <w:r w:rsidR="002949D3" w:rsidRPr="00AF1D5F">
        <w:t xml:space="preserve"> </w:t>
      </w:r>
      <w:r w:rsidR="00480375" w:rsidRPr="00AF1D5F">
        <w:t>(represented by counsel, Monique Bremi)</w:t>
      </w:r>
    </w:p>
    <w:p w:rsidR="006B2667" w:rsidRPr="00AF1D5F" w:rsidRDefault="006B2667" w:rsidP="00ED6049">
      <w:pPr>
        <w:pStyle w:val="SingleTxtG"/>
        <w:ind w:left="4536" w:hanging="3402"/>
        <w:jc w:val="left"/>
      </w:pPr>
      <w:r w:rsidRPr="00AF1D5F">
        <w:rPr>
          <w:i/>
        </w:rPr>
        <w:t>Alleged victim:</w:t>
      </w:r>
      <w:r w:rsidRPr="00AF1D5F">
        <w:rPr>
          <w:i/>
        </w:rPr>
        <w:tab/>
      </w:r>
      <w:r w:rsidRPr="00AF1D5F">
        <w:t>The complainant</w:t>
      </w:r>
    </w:p>
    <w:p w:rsidR="006B2667" w:rsidRPr="00AF1D5F" w:rsidRDefault="006B2667" w:rsidP="008344D2">
      <w:pPr>
        <w:pStyle w:val="SingleTxtG"/>
        <w:ind w:left="4536" w:hanging="3402"/>
      </w:pPr>
      <w:r w:rsidRPr="00AF1D5F">
        <w:rPr>
          <w:i/>
        </w:rPr>
        <w:t>State party:</w:t>
      </w:r>
      <w:r w:rsidRPr="00AF1D5F">
        <w:rPr>
          <w:i/>
        </w:rPr>
        <w:tab/>
      </w:r>
      <w:r w:rsidR="00480375" w:rsidRPr="00AF1D5F">
        <w:t>Switzerland</w:t>
      </w:r>
    </w:p>
    <w:p w:rsidR="003B3A6D" w:rsidRPr="00AF1D5F" w:rsidRDefault="006B2667" w:rsidP="003B3A6D">
      <w:pPr>
        <w:pStyle w:val="SingleTxtG"/>
        <w:ind w:left="4536" w:hanging="3402"/>
      </w:pPr>
      <w:r w:rsidRPr="00AF1D5F">
        <w:rPr>
          <w:i/>
        </w:rPr>
        <w:t>Date of complaint:</w:t>
      </w:r>
      <w:r w:rsidRPr="00AF1D5F">
        <w:rPr>
          <w:i/>
        </w:rPr>
        <w:tab/>
      </w:r>
      <w:r w:rsidR="00480375" w:rsidRPr="00AF1D5F">
        <w:t xml:space="preserve">15 July 2011 </w:t>
      </w:r>
      <w:r w:rsidR="003B3A6D" w:rsidRPr="00AF1D5F">
        <w:t>(initial submission)</w:t>
      </w:r>
    </w:p>
    <w:p w:rsidR="006B2667" w:rsidRPr="00AF1D5F" w:rsidRDefault="006B2667" w:rsidP="003B2AA6">
      <w:pPr>
        <w:pStyle w:val="SingleTxtG"/>
        <w:spacing w:before="240"/>
      </w:pPr>
      <w:r w:rsidRPr="00AF1D5F">
        <w:tab/>
      </w:r>
      <w:r w:rsidRPr="00AF1D5F">
        <w:rPr>
          <w:i/>
          <w:iCs/>
        </w:rPr>
        <w:t>The Committee against Torture</w:t>
      </w:r>
      <w:r w:rsidRPr="00AF1D5F">
        <w:t xml:space="preserve">, established under </w:t>
      </w:r>
      <w:r w:rsidR="00EE3B01">
        <w:t>article </w:t>
      </w:r>
      <w:r w:rsidRPr="00AF1D5F">
        <w:t>17 of the Convention against Torture and Other Cruel, Inhuman or Degrading Treatment or Punishment,</w:t>
      </w:r>
    </w:p>
    <w:p w:rsidR="006B2667" w:rsidRPr="00AF1D5F" w:rsidRDefault="006B2667" w:rsidP="008344D2">
      <w:pPr>
        <w:pStyle w:val="SingleTxtG"/>
      </w:pPr>
      <w:r w:rsidRPr="00AF1D5F">
        <w:tab/>
      </w:r>
      <w:r w:rsidRPr="00AF1D5F">
        <w:rPr>
          <w:i/>
          <w:iCs/>
        </w:rPr>
        <w:t>Meeting</w:t>
      </w:r>
      <w:r w:rsidRPr="00AF1D5F">
        <w:t xml:space="preserve"> on </w:t>
      </w:r>
      <w:r w:rsidR="002455D5">
        <w:t>24</w:t>
      </w:r>
      <w:r w:rsidR="00ED6049">
        <w:t xml:space="preserve"> </w:t>
      </w:r>
      <w:r w:rsidR="00480375" w:rsidRPr="00AF1D5F">
        <w:t>November</w:t>
      </w:r>
      <w:r w:rsidR="003B3A6D" w:rsidRPr="00AF1D5F">
        <w:t xml:space="preserve"> 2014</w:t>
      </w:r>
      <w:r w:rsidRPr="00AF1D5F">
        <w:t>,</w:t>
      </w:r>
    </w:p>
    <w:p w:rsidR="006B2667" w:rsidRPr="00AF1D5F" w:rsidRDefault="006B2667" w:rsidP="008344D2">
      <w:pPr>
        <w:pStyle w:val="SingleTxtG"/>
      </w:pPr>
      <w:r w:rsidRPr="00AF1D5F">
        <w:tab/>
      </w:r>
      <w:r w:rsidRPr="00AF1D5F">
        <w:rPr>
          <w:i/>
          <w:iCs/>
        </w:rPr>
        <w:t>Having concluded</w:t>
      </w:r>
      <w:r w:rsidRPr="00AF1D5F">
        <w:t xml:space="preserve"> its</w:t>
      </w:r>
      <w:r w:rsidR="00095A4F">
        <w:t xml:space="preserve"> consideration of complaint No. </w:t>
      </w:r>
      <w:r w:rsidR="00480375" w:rsidRPr="00AF1D5F">
        <w:t>470</w:t>
      </w:r>
      <w:r w:rsidR="003B3A6D" w:rsidRPr="00AF1D5F">
        <w:t>/2011</w:t>
      </w:r>
      <w:r w:rsidRPr="00AF1D5F">
        <w:t xml:space="preserve">, submitted to the Committee against Torture </w:t>
      </w:r>
      <w:r w:rsidR="008344D2" w:rsidRPr="00AF1D5F">
        <w:t>on behalf of</w:t>
      </w:r>
      <w:r w:rsidRPr="00AF1D5F">
        <w:t xml:space="preserve"> </w:t>
      </w:r>
      <w:r w:rsidR="00561F3F">
        <w:t>X.</w:t>
      </w:r>
      <w:r w:rsidR="003B3A6D" w:rsidRPr="00AF1D5F">
        <w:t xml:space="preserve"> </w:t>
      </w:r>
      <w:r w:rsidRPr="00AF1D5F">
        <w:t xml:space="preserve">under </w:t>
      </w:r>
      <w:r w:rsidR="00EE3B01">
        <w:t>article </w:t>
      </w:r>
      <w:r w:rsidRPr="00AF1D5F">
        <w:t>22 of the Convention against Torture and Other Cruel, Inhuman or Degrading Treatment or Punishment,</w:t>
      </w:r>
    </w:p>
    <w:p w:rsidR="006B2667" w:rsidRPr="00AF1D5F" w:rsidRDefault="006B2667" w:rsidP="001616AD">
      <w:pPr>
        <w:pStyle w:val="SingleTxtG"/>
      </w:pPr>
      <w:r w:rsidRPr="00AF1D5F">
        <w:tab/>
      </w:r>
      <w:r w:rsidRPr="00AF1D5F">
        <w:rPr>
          <w:i/>
          <w:iCs/>
        </w:rPr>
        <w:t>Having taken into account</w:t>
      </w:r>
      <w:r w:rsidRPr="00AF1D5F">
        <w:t xml:space="preserve"> all information made available to it by the complainant, </w:t>
      </w:r>
      <w:r w:rsidR="001616AD">
        <w:t>his</w:t>
      </w:r>
      <w:r w:rsidR="001616AD" w:rsidRPr="00AF1D5F">
        <w:t xml:space="preserve"> </w:t>
      </w:r>
      <w:r w:rsidRPr="00AF1D5F">
        <w:t>counsel and the State party,</w:t>
      </w:r>
    </w:p>
    <w:p w:rsidR="006B2667" w:rsidRPr="00AF1D5F" w:rsidRDefault="006B2667" w:rsidP="008344D2">
      <w:pPr>
        <w:pStyle w:val="SingleTxtG"/>
      </w:pPr>
      <w:r w:rsidRPr="00AF1D5F">
        <w:tab/>
      </w:r>
      <w:r w:rsidRPr="00AF1D5F">
        <w:rPr>
          <w:i/>
          <w:iCs/>
        </w:rPr>
        <w:t xml:space="preserve">Adopts </w:t>
      </w:r>
      <w:r w:rsidRPr="00AF1D5F">
        <w:t>the following:</w:t>
      </w:r>
    </w:p>
    <w:p w:rsidR="006B2667" w:rsidRPr="00AF1D5F" w:rsidRDefault="006B2667" w:rsidP="003B2AA6">
      <w:pPr>
        <w:pStyle w:val="H1G"/>
      </w:pPr>
      <w:r w:rsidRPr="00AF1D5F">
        <w:tab/>
      </w:r>
      <w:r w:rsidRPr="00AF1D5F">
        <w:tab/>
        <w:t xml:space="preserve">Decision under article 22, </w:t>
      </w:r>
      <w:r w:rsidR="00EE3B01">
        <w:t>paragraph </w:t>
      </w:r>
      <w:r w:rsidRPr="00AF1D5F">
        <w:t>7, of the Convention against</w:t>
      </w:r>
      <w:r w:rsidR="003B2AA6">
        <w:t> </w:t>
      </w:r>
      <w:r w:rsidRPr="00AF1D5F">
        <w:t>Torture</w:t>
      </w:r>
    </w:p>
    <w:p w:rsidR="006B2667" w:rsidRPr="00F31A68" w:rsidRDefault="003905A2" w:rsidP="00393379">
      <w:pPr>
        <w:pStyle w:val="SingleTxtG"/>
      </w:pPr>
      <w:r w:rsidRPr="00AF1D5F">
        <w:t>1.1</w:t>
      </w:r>
      <w:r w:rsidRPr="00AF1D5F">
        <w:tab/>
      </w:r>
      <w:r w:rsidR="006B2667" w:rsidRPr="00AF1D5F">
        <w:t xml:space="preserve">The complainant </w:t>
      </w:r>
      <w:r w:rsidR="00E216C9" w:rsidRPr="00AF1D5F">
        <w:t>is</w:t>
      </w:r>
      <w:r w:rsidR="006B2667" w:rsidRPr="00AF1D5F">
        <w:t xml:space="preserve"> </w:t>
      </w:r>
      <w:r w:rsidR="00561F3F">
        <w:t>X.</w:t>
      </w:r>
      <w:r w:rsidR="00E216C9" w:rsidRPr="00AF1D5F">
        <w:t>, a</w:t>
      </w:r>
      <w:r w:rsidR="003C48D8" w:rsidRPr="00AF1D5F">
        <w:t>n Iranian</w:t>
      </w:r>
      <w:r w:rsidR="00E216C9" w:rsidRPr="00AF1D5F">
        <w:t xml:space="preserve"> national </w:t>
      </w:r>
      <w:r w:rsidR="006B2667" w:rsidRPr="00AF1D5F">
        <w:t xml:space="preserve">born in </w:t>
      </w:r>
      <w:r w:rsidR="003C48D8" w:rsidRPr="00AF1D5F">
        <w:t>1986</w:t>
      </w:r>
      <w:r w:rsidR="00E216C9" w:rsidRPr="00AF1D5F">
        <w:t>.</w:t>
      </w:r>
      <w:r w:rsidR="006B2667" w:rsidRPr="00AF1D5F">
        <w:t xml:space="preserve"> </w:t>
      </w:r>
      <w:r w:rsidR="00364D5A" w:rsidRPr="00AF1D5F">
        <w:t xml:space="preserve">His </w:t>
      </w:r>
      <w:r w:rsidR="006B2667" w:rsidRPr="00AF1D5F">
        <w:t>asylum application w</w:t>
      </w:r>
      <w:r w:rsidR="00364D5A" w:rsidRPr="00AF1D5F">
        <w:t>as</w:t>
      </w:r>
      <w:r w:rsidR="006B2667" w:rsidRPr="00AF1D5F">
        <w:t xml:space="preserve"> rejected in </w:t>
      </w:r>
      <w:r w:rsidR="003C48D8" w:rsidRPr="00AF1D5F">
        <w:t>Switzerland</w:t>
      </w:r>
      <w:r w:rsidR="00364D5A" w:rsidRPr="00AF1D5F">
        <w:t xml:space="preserve"> and</w:t>
      </w:r>
      <w:r w:rsidR="006B2667" w:rsidRPr="00AF1D5F">
        <w:t xml:space="preserve">, at the time of submission of the complaint, </w:t>
      </w:r>
      <w:r w:rsidR="00364D5A" w:rsidRPr="00AF1D5F">
        <w:t>he</w:t>
      </w:r>
      <w:r w:rsidR="006B2667" w:rsidRPr="00AF1D5F">
        <w:t xml:space="preserve"> w</w:t>
      </w:r>
      <w:r w:rsidR="00364D5A" w:rsidRPr="00AF1D5F">
        <w:t>as</w:t>
      </w:r>
      <w:r w:rsidR="006B2667" w:rsidRPr="00AF1D5F">
        <w:t xml:space="preserve"> awaiting expulsion to </w:t>
      </w:r>
      <w:r w:rsidR="001616AD">
        <w:t xml:space="preserve">the Islamic Republic of </w:t>
      </w:r>
      <w:r w:rsidR="003C48D8" w:rsidRPr="00AF1D5F">
        <w:t>Iran</w:t>
      </w:r>
      <w:r w:rsidR="006B2667" w:rsidRPr="00AF1D5F">
        <w:t xml:space="preserve">. </w:t>
      </w:r>
      <w:r w:rsidR="00364D5A" w:rsidRPr="00AF1D5F">
        <w:t>He</w:t>
      </w:r>
      <w:r w:rsidR="006B2667" w:rsidRPr="00AF1D5F">
        <w:t xml:space="preserve"> claim</w:t>
      </w:r>
      <w:r w:rsidR="00364D5A" w:rsidRPr="00AF1D5F">
        <w:t>s</w:t>
      </w:r>
      <w:r w:rsidR="006B2667" w:rsidRPr="00AF1D5F">
        <w:t xml:space="preserve"> that </w:t>
      </w:r>
      <w:r w:rsidR="00364D5A" w:rsidRPr="00AF1D5F">
        <w:t>his</w:t>
      </w:r>
      <w:r w:rsidR="006B2667" w:rsidRPr="00AF1D5F">
        <w:t xml:space="preserve"> expulsion to </w:t>
      </w:r>
      <w:r w:rsidR="001616AD">
        <w:t xml:space="preserve">the Islamic Republic of </w:t>
      </w:r>
      <w:r w:rsidR="003C48D8" w:rsidRPr="00AF1D5F">
        <w:t>Iran</w:t>
      </w:r>
      <w:r w:rsidR="006B2667" w:rsidRPr="00AF1D5F">
        <w:t xml:space="preserve"> would constitute a violation, by </w:t>
      </w:r>
      <w:r w:rsidR="003C48D8" w:rsidRPr="00AF1D5F">
        <w:t>Switzerland</w:t>
      </w:r>
      <w:r w:rsidR="006B2667" w:rsidRPr="00AF1D5F">
        <w:t xml:space="preserve">, of </w:t>
      </w:r>
      <w:r w:rsidR="00EE3B01">
        <w:t>article </w:t>
      </w:r>
      <w:r w:rsidR="006B2667" w:rsidRPr="00AF1D5F">
        <w:t xml:space="preserve">3 of the Convention against Torture and Other Cruel, Inhuman or Degrading Treatment or Punishment. The complainant </w:t>
      </w:r>
      <w:r w:rsidR="00364D5A" w:rsidRPr="00AF1D5F">
        <w:t>is</w:t>
      </w:r>
      <w:r w:rsidR="006B2667" w:rsidRPr="00AF1D5F">
        <w:t xml:space="preserve"> represented by counsel, </w:t>
      </w:r>
      <w:r w:rsidR="003C48D8" w:rsidRPr="00AF1D5F">
        <w:t xml:space="preserve">Monique Bremi from </w:t>
      </w:r>
      <w:r w:rsidR="003C48D8" w:rsidRPr="00F31A68">
        <w:t xml:space="preserve">Beratungstelle für Asyl- </w:t>
      </w:r>
      <w:r w:rsidR="003C48D8" w:rsidRPr="00DD3BFB">
        <w:t>un</w:t>
      </w:r>
      <w:r w:rsidR="00393379" w:rsidRPr="00F31A68">
        <w:t>d</w:t>
      </w:r>
      <w:r w:rsidR="003C48D8" w:rsidRPr="00F31A68">
        <w:t xml:space="preserve"> Äuslanderrecht</w:t>
      </w:r>
      <w:r w:rsidR="00CB6670" w:rsidRPr="00F31A68">
        <w:t>.</w:t>
      </w:r>
    </w:p>
    <w:p w:rsidR="00D54EF0" w:rsidRPr="00AF1D5F" w:rsidRDefault="00A7243D" w:rsidP="00F31A68">
      <w:pPr>
        <w:pStyle w:val="SingleTxtG"/>
      </w:pPr>
      <w:r w:rsidRPr="00F31A68">
        <w:t>1.2</w:t>
      </w:r>
      <w:r w:rsidRPr="00F31A68">
        <w:tab/>
        <w:t xml:space="preserve">On </w:t>
      </w:r>
      <w:r w:rsidR="00C163D7" w:rsidRPr="00F31A68">
        <w:t>20 July</w:t>
      </w:r>
      <w:r w:rsidR="006D0D8E" w:rsidRPr="00F31A68">
        <w:t xml:space="preserve"> </w:t>
      </w:r>
      <w:r w:rsidRPr="00F31A68">
        <w:t>201</w:t>
      </w:r>
      <w:r w:rsidR="009C567A" w:rsidRPr="00F31A68">
        <w:t>1</w:t>
      </w:r>
      <w:r w:rsidRPr="00F31A68">
        <w:t xml:space="preserve">, the </w:t>
      </w:r>
      <w:r w:rsidR="00C163D7" w:rsidRPr="00F31A68">
        <w:t xml:space="preserve">Committee, </w:t>
      </w:r>
      <w:r w:rsidR="002949D3" w:rsidRPr="00F31A68">
        <w:t xml:space="preserve">acting </w:t>
      </w:r>
      <w:r w:rsidR="006D0D8E" w:rsidRPr="00F31A68">
        <w:t xml:space="preserve">through its </w:t>
      </w:r>
      <w:r w:rsidRPr="00F31A68">
        <w:t xml:space="preserve">Rapporteur on </w:t>
      </w:r>
      <w:r w:rsidR="00F31A68">
        <w:t>n</w:t>
      </w:r>
      <w:r w:rsidRPr="00F31A68">
        <w:t xml:space="preserve">ew </w:t>
      </w:r>
      <w:r w:rsidR="00F31A68">
        <w:t>c</w:t>
      </w:r>
      <w:r w:rsidRPr="00F31A68">
        <w:t>om</w:t>
      </w:r>
      <w:r w:rsidR="006D0D8E" w:rsidRPr="00F31A68">
        <w:t>plaints</w:t>
      </w:r>
      <w:r w:rsidRPr="00F31A68">
        <w:t xml:space="preserve"> and </w:t>
      </w:r>
      <w:r w:rsidR="00F31A68">
        <w:t>i</w:t>
      </w:r>
      <w:r w:rsidRPr="00F31A68">
        <w:t xml:space="preserve">nterim </w:t>
      </w:r>
      <w:r w:rsidR="00F31A68">
        <w:t>m</w:t>
      </w:r>
      <w:r w:rsidRPr="00F31A68">
        <w:t>easures</w:t>
      </w:r>
      <w:r w:rsidR="006D0D8E" w:rsidRPr="00F31A68">
        <w:t>,</w:t>
      </w:r>
      <w:r w:rsidRPr="00F31A68">
        <w:t xml:space="preserve"> </w:t>
      </w:r>
      <w:r w:rsidR="00D54EF0" w:rsidRPr="00F31A68">
        <w:t>reque</w:t>
      </w:r>
      <w:r w:rsidR="00D54EF0" w:rsidRPr="00AF1D5F">
        <w:t xml:space="preserve">sted the State party to refrain from expelling the complainant to </w:t>
      </w:r>
      <w:r w:rsidR="00393379">
        <w:t xml:space="preserve">the Islamic Republic of </w:t>
      </w:r>
      <w:r w:rsidR="00D54EF0" w:rsidRPr="00AF1D5F">
        <w:t xml:space="preserve">Iran </w:t>
      </w:r>
      <w:r w:rsidR="00C163D7" w:rsidRPr="00AF1D5F">
        <w:t xml:space="preserve">while </w:t>
      </w:r>
      <w:r w:rsidR="00D54EF0" w:rsidRPr="00AF1D5F">
        <w:t>his</w:t>
      </w:r>
      <w:r w:rsidR="00C163D7" w:rsidRPr="00AF1D5F">
        <w:t xml:space="preserve"> complaint was considered</w:t>
      </w:r>
      <w:r w:rsidR="00D54EF0" w:rsidRPr="00AF1D5F">
        <w:t xml:space="preserve"> by the Committee</w:t>
      </w:r>
      <w:r w:rsidR="00C163D7" w:rsidRPr="00AF1D5F">
        <w:t xml:space="preserve">. </w:t>
      </w:r>
      <w:r w:rsidR="005E6DF6" w:rsidRPr="00AF1D5F">
        <w:t>On 27</w:t>
      </w:r>
      <w:r w:rsidR="003B305D">
        <w:t> </w:t>
      </w:r>
      <w:r w:rsidR="005E6DF6" w:rsidRPr="00AF1D5F">
        <w:t xml:space="preserve">July 2011, the State party </w:t>
      </w:r>
      <w:r w:rsidR="00D54EF0" w:rsidRPr="00AF1D5F">
        <w:t>informed the Committee that the Federal Office for Migration had requested the competent authorities to stay the execution of the expulsion order in relation to the complainant until further notice.</w:t>
      </w:r>
    </w:p>
    <w:p w:rsidR="006B2667" w:rsidRPr="00AF1D5F" w:rsidRDefault="006B2667" w:rsidP="008344D2">
      <w:pPr>
        <w:pStyle w:val="H23G"/>
      </w:pPr>
      <w:r w:rsidRPr="00AF1D5F">
        <w:lastRenderedPageBreak/>
        <w:tab/>
      </w:r>
      <w:r w:rsidRPr="00AF1D5F">
        <w:tab/>
      </w:r>
      <w:r w:rsidR="00D54EF0" w:rsidRPr="00AF1D5F">
        <w:t>The facts as submitted by the complainant</w:t>
      </w:r>
      <w:r w:rsidR="00FB65FE" w:rsidRPr="00AF1D5F">
        <w:t xml:space="preserve"> </w:t>
      </w:r>
    </w:p>
    <w:p w:rsidR="00695F3F" w:rsidRPr="00AF1D5F" w:rsidRDefault="003B2AA6" w:rsidP="00393379">
      <w:pPr>
        <w:pStyle w:val="SingleTxtG"/>
      </w:pPr>
      <w:r>
        <w:t>2.1</w:t>
      </w:r>
      <w:r w:rsidR="006B2667" w:rsidRPr="00AF1D5F">
        <w:tab/>
      </w:r>
      <w:r w:rsidR="00512623" w:rsidRPr="00AF1D5F">
        <w:t xml:space="preserve">The complainant </w:t>
      </w:r>
      <w:r w:rsidR="00D54EF0" w:rsidRPr="00AF1D5F">
        <w:t xml:space="preserve">was an accounting student at the Free </w:t>
      </w:r>
      <w:r w:rsidR="00AF1D5F" w:rsidRPr="00AF1D5F">
        <w:t>University</w:t>
      </w:r>
      <w:r w:rsidR="00D54EF0" w:rsidRPr="00AF1D5F">
        <w:t xml:space="preserve"> in Tehran. </w:t>
      </w:r>
      <w:r w:rsidR="00695F3F" w:rsidRPr="00AF1D5F">
        <w:t xml:space="preserve">He helped organize demonstrations against the regime’s plans to build nuclear weapons and to attack Israel. After one such event, the Herrassat, the Office for Surveillance of Universities, warned him that he </w:t>
      </w:r>
      <w:r w:rsidR="00821B83" w:rsidRPr="00AF1D5F">
        <w:t>“talked too much”</w:t>
      </w:r>
      <w:r w:rsidR="00393379">
        <w:t>.</w:t>
      </w:r>
      <w:r w:rsidR="00821B83" w:rsidRPr="00AF1D5F">
        <w:t xml:space="preserve"> He was accused of being a “counterrevolutionary”</w:t>
      </w:r>
      <w:r w:rsidR="00393379">
        <w:t>.</w:t>
      </w:r>
      <w:r w:rsidR="00821B83" w:rsidRPr="00AF1D5F">
        <w:t xml:space="preserve"> </w:t>
      </w:r>
      <w:r w:rsidR="0064128D" w:rsidRPr="00AF1D5F">
        <w:t xml:space="preserve">In 2007, he </w:t>
      </w:r>
      <w:r w:rsidR="00821B83" w:rsidRPr="00AF1D5F">
        <w:t xml:space="preserve">was expelled from the </w:t>
      </w:r>
      <w:r w:rsidR="00393379">
        <w:t>u</w:t>
      </w:r>
      <w:r w:rsidR="00AF1D5F" w:rsidRPr="00AF1D5F">
        <w:t>niversity</w:t>
      </w:r>
      <w:r w:rsidR="0064128D" w:rsidRPr="00AF1D5F">
        <w:t>, allegedly for two failed examinations</w:t>
      </w:r>
      <w:r w:rsidR="00821B83" w:rsidRPr="00AF1D5F">
        <w:t xml:space="preserve">. </w:t>
      </w:r>
      <w:r w:rsidR="008B1C6F" w:rsidRPr="00AF1D5F">
        <w:t>He did not receive a formal decision to th</w:t>
      </w:r>
      <w:r w:rsidR="00393379">
        <w:t>at</w:t>
      </w:r>
      <w:r w:rsidR="008B1C6F" w:rsidRPr="00AF1D5F">
        <w:t xml:space="preserve"> effect. </w:t>
      </w:r>
      <w:r w:rsidR="0064128D" w:rsidRPr="00AF1D5F">
        <w:t>He claims that he had always been an excellent student and</w:t>
      </w:r>
      <w:r w:rsidR="00393379">
        <w:t xml:space="preserve"> that</w:t>
      </w:r>
      <w:r w:rsidR="0064128D" w:rsidRPr="00AF1D5F">
        <w:t xml:space="preserve"> the examination results had been forged </w:t>
      </w:r>
      <w:r w:rsidR="008B1C6F" w:rsidRPr="00AF1D5F">
        <w:t xml:space="preserve">with the aim </w:t>
      </w:r>
      <w:r w:rsidR="00393379">
        <w:t>of expelling</w:t>
      </w:r>
      <w:r w:rsidR="008B1C6F" w:rsidRPr="00AF1D5F">
        <w:t xml:space="preserve"> him from the </w:t>
      </w:r>
      <w:r w:rsidR="00393379">
        <w:t>u</w:t>
      </w:r>
      <w:r w:rsidR="00AF1D5F" w:rsidRPr="00AF1D5F">
        <w:t>niversity</w:t>
      </w:r>
      <w:r w:rsidR="008B1C6F" w:rsidRPr="00AF1D5F">
        <w:t xml:space="preserve">. </w:t>
      </w:r>
    </w:p>
    <w:p w:rsidR="00D54EF0" w:rsidRPr="00AF1D5F" w:rsidRDefault="00BE6D72" w:rsidP="002011B6">
      <w:pPr>
        <w:pStyle w:val="SingleTxtG"/>
      </w:pPr>
      <w:r w:rsidRPr="00AF1D5F">
        <w:t>2.2</w:t>
      </w:r>
      <w:r w:rsidRPr="00AF1D5F">
        <w:tab/>
      </w:r>
      <w:r w:rsidR="00D54EF0" w:rsidRPr="00AF1D5F">
        <w:t xml:space="preserve">Following the </w:t>
      </w:r>
      <w:r w:rsidR="002A6B69" w:rsidRPr="00AF1D5F">
        <w:t>re-</w:t>
      </w:r>
      <w:r w:rsidR="00D54EF0" w:rsidRPr="00AF1D5F">
        <w:t xml:space="preserve">election of President Ahmadinejad in June 2009, the complainant participated in several demonstrations against him. </w:t>
      </w:r>
      <w:r w:rsidR="0012557C" w:rsidRPr="00AF1D5F">
        <w:t>On 27</w:t>
      </w:r>
      <w:r w:rsidR="00D54EF0" w:rsidRPr="00AF1D5F">
        <w:t xml:space="preserve"> December 2009, he participated in a protest march in Tehran. The police and Basij militia</w:t>
      </w:r>
      <w:r w:rsidR="00C56A7A">
        <w:rPr>
          <w:rStyle w:val="FootnoteReference"/>
        </w:rPr>
        <w:footnoteReference w:id="3"/>
      </w:r>
      <w:r w:rsidR="00D54EF0" w:rsidRPr="00AF1D5F">
        <w:t xml:space="preserve"> dispersed the demonstrators. </w:t>
      </w:r>
      <w:r w:rsidR="0012557C" w:rsidRPr="00AF1D5F">
        <w:t>At around 1</w:t>
      </w:r>
      <w:r w:rsidR="002011B6">
        <w:t> </w:t>
      </w:r>
      <w:r w:rsidR="0012557C" w:rsidRPr="00AF1D5F">
        <w:t>p.m., t</w:t>
      </w:r>
      <w:r w:rsidR="00D54EF0" w:rsidRPr="00AF1D5F">
        <w:t xml:space="preserve">he complainant </w:t>
      </w:r>
      <w:r w:rsidR="0012557C" w:rsidRPr="00AF1D5F">
        <w:t>was</w:t>
      </w:r>
      <w:r w:rsidR="00D54EF0" w:rsidRPr="00AF1D5F">
        <w:t xml:space="preserve"> arrested by two Basij officers, handcuffed</w:t>
      </w:r>
      <w:r w:rsidR="00393379">
        <w:t>,</w:t>
      </w:r>
      <w:r w:rsidR="00D54EF0" w:rsidRPr="00AF1D5F">
        <w:t xml:space="preserve"> and brought to a van, together with other demonstrators. </w:t>
      </w:r>
      <w:r w:rsidR="00C10E46" w:rsidRPr="00AF1D5F">
        <w:t>H</w:t>
      </w:r>
      <w:r w:rsidR="00D54EF0" w:rsidRPr="00AF1D5F">
        <w:t xml:space="preserve">is </w:t>
      </w:r>
      <w:r w:rsidR="0012557C" w:rsidRPr="00AF1D5F">
        <w:t>mobile</w:t>
      </w:r>
      <w:r w:rsidR="00D54EF0" w:rsidRPr="00AF1D5F">
        <w:t xml:space="preserve"> phone and personal belongings </w:t>
      </w:r>
      <w:r w:rsidR="006F1DED" w:rsidRPr="00AF1D5F">
        <w:t xml:space="preserve">were </w:t>
      </w:r>
      <w:r w:rsidR="00D54EF0" w:rsidRPr="00AF1D5F">
        <w:t xml:space="preserve">confiscated. </w:t>
      </w:r>
      <w:r w:rsidR="0012557C" w:rsidRPr="00AF1D5F">
        <w:t>T</w:t>
      </w:r>
      <w:r w:rsidR="00D54EF0" w:rsidRPr="00AF1D5F">
        <w:t>he complainant and another demonstrator managed to escape from the van when the back door was open. Thanks to the complainant’s karate skills, they managed to overpower the two Basij officers and to disappear in</w:t>
      </w:r>
      <w:r w:rsidR="00393379">
        <w:t>to</w:t>
      </w:r>
      <w:r w:rsidR="00D54EF0" w:rsidRPr="00AF1D5F">
        <w:t xml:space="preserve"> the crowd.</w:t>
      </w:r>
    </w:p>
    <w:p w:rsidR="00D54EF0" w:rsidRPr="00AF1D5F" w:rsidRDefault="00D54EF0" w:rsidP="00140891">
      <w:pPr>
        <w:pStyle w:val="SingleTxtG"/>
      </w:pPr>
      <w:r w:rsidRPr="00AF1D5F">
        <w:t>2.</w:t>
      </w:r>
      <w:r w:rsidR="00BE6D72" w:rsidRPr="00AF1D5F">
        <w:t>3</w:t>
      </w:r>
      <w:r w:rsidRPr="00AF1D5F">
        <w:tab/>
        <w:t>After th</w:t>
      </w:r>
      <w:r w:rsidR="00140891">
        <w:t>at</w:t>
      </w:r>
      <w:r w:rsidRPr="00AF1D5F">
        <w:t xml:space="preserve"> incident, the complainant hid at his grandmother’s house. Th</w:t>
      </w:r>
      <w:r w:rsidR="00140891">
        <w:t>e</w:t>
      </w:r>
      <w:r w:rsidRPr="00AF1D5F">
        <w:t xml:space="preserve"> very same day,</w:t>
      </w:r>
      <w:r w:rsidR="0012557C" w:rsidRPr="00AF1D5F">
        <w:t xml:space="preserve"> officials searched </w:t>
      </w:r>
      <w:r w:rsidR="006F1DED" w:rsidRPr="00AF1D5F">
        <w:t>his</w:t>
      </w:r>
      <w:r w:rsidR="0012557C" w:rsidRPr="00AF1D5F">
        <w:t xml:space="preserve"> parents’</w:t>
      </w:r>
      <w:r w:rsidRPr="00AF1D5F">
        <w:t xml:space="preserve"> house and </w:t>
      </w:r>
      <w:r w:rsidR="0012557C" w:rsidRPr="00AF1D5F">
        <w:t>seized his</w:t>
      </w:r>
      <w:r w:rsidRPr="00AF1D5F">
        <w:t xml:space="preserve"> laptop, passport</w:t>
      </w:r>
      <w:r w:rsidR="0012557C" w:rsidRPr="00AF1D5F">
        <w:t>, driving licen</w:t>
      </w:r>
      <w:r w:rsidR="00140891">
        <w:t>c</w:t>
      </w:r>
      <w:r w:rsidR="0012557C" w:rsidRPr="00AF1D5F">
        <w:t>e, military exemption and nationality certificates</w:t>
      </w:r>
      <w:r w:rsidRPr="00AF1D5F">
        <w:t xml:space="preserve"> and a number of banned publications</w:t>
      </w:r>
      <w:r w:rsidR="00AD00FC" w:rsidRPr="00AF1D5F">
        <w:t xml:space="preserve"> from a room he share</w:t>
      </w:r>
      <w:r w:rsidR="002949D3" w:rsidRPr="00AF1D5F">
        <w:t>d</w:t>
      </w:r>
      <w:r w:rsidR="00AD00FC" w:rsidRPr="00AF1D5F">
        <w:t xml:space="preserve"> with his brother</w:t>
      </w:r>
      <w:r w:rsidRPr="00AF1D5F">
        <w:t>.</w:t>
      </w:r>
      <w:r w:rsidR="00527778">
        <w:t xml:space="preserve"> The publications belonged to his brother.</w:t>
      </w:r>
      <w:r w:rsidRPr="00AF1D5F">
        <w:t xml:space="preserve"> On 30 De</w:t>
      </w:r>
      <w:r w:rsidR="00A63E33" w:rsidRPr="00AF1D5F">
        <w:t xml:space="preserve">cember 2009 and 3 January 2010, </w:t>
      </w:r>
      <w:r w:rsidRPr="00AF1D5F">
        <w:t>the house was searched again</w:t>
      </w:r>
      <w:r w:rsidR="006F1DED" w:rsidRPr="00AF1D5F">
        <w:t xml:space="preserve"> by officials</w:t>
      </w:r>
      <w:r w:rsidR="00140891">
        <w:t>,</w:t>
      </w:r>
      <w:r w:rsidR="006F1DED" w:rsidRPr="00AF1D5F">
        <w:t xml:space="preserve"> who told the</w:t>
      </w:r>
      <w:r w:rsidRPr="00AF1D5F">
        <w:t xml:space="preserve"> complainant’s father that the complainant was to be prosecuted for “injuring an official on duty, possessing banned publications and </w:t>
      </w:r>
      <w:r w:rsidR="00A63E33" w:rsidRPr="00AF1D5F">
        <w:t>fomenting</w:t>
      </w:r>
      <w:r w:rsidRPr="00AF1D5F">
        <w:t xml:space="preserve"> unrest”</w:t>
      </w:r>
      <w:r w:rsidR="00140891">
        <w:t>.</w:t>
      </w:r>
      <w:r w:rsidR="00A63E33" w:rsidRPr="00AF1D5F">
        <w:t xml:space="preserve"> </w:t>
      </w:r>
      <w:r w:rsidR="003576DC" w:rsidRPr="00AF1D5F">
        <w:t>H</w:t>
      </w:r>
      <w:r w:rsidR="00A63E33" w:rsidRPr="00AF1D5F">
        <w:t xml:space="preserve">is father </w:t>
      </w:r>
      <w:r w:rsidR="003576DC" w:rsidRPr="00AF1D5F">
        <w:t xml:space="preserve">was also told </w:t>
      </w:r>
      <w:r w:rsidR="00A63E33" w:rsidRPr="00AF1D5F">
        <w:t xml:space="preserve">that the complainant would be sentenced to death and that the penalty could be alleviated against </w:t>
      </w:r>
      <w:r w:rsidR="00140891">
        <w:t xml:space="preserve">a payment of </w:t>
      </w:r>
      <w:r w:rsidR="00A63E33" w:rsidRPr="00AF1D5F">
        <w:t xml:space="preserve">100 million </w:t>
      </w:r>
      <w:r w:rsidR="00140891">
        <w:t>t</w:t>
      </w:r>
      <w:r w:rsidR="00A63E33" w:rsidRPr="00AF1D5F">
        <w:t>oman.</w:t>
      </w:r>
      <w:r w:rsidR="002949D3" w:rsidRPr="00AF1D5F">
        <w:t xml:space="preserve"> </w:t>
      </w:r>
      <w:r w:rsidRPr="00AF1D5F">
        <w:t xml:space="preserve">The complainant’s parents were </w:t>
      </w:r>
      <w:r w:rsidR="00A63F87" w:rsidRPr="00AF1D5F">
        <w:t>compelled</w:t>
      </w:r>
      <w:r w:rsidRPr="00AF1D5F">
        <w:t xml:space="preserve"> to provide the contact details of all </w:t>
      </w:r>
      <w:r w:rsidR="002949D3" w:rsidRPr="00AF1D5F">
        <w:t xml:space="preserve">their </w:t>
      </w:r>
      <w:r w:rsidR="003B2AA6">
        <w:t>relatives.</w:t>
      </w:r>
    </w:p>
    <w:p w:rsidR="00F46112" w:rsidRPr="00AF1D5F" w:rsidRDefault="00D54EF0" w:rsidP="00140891">
      <w:pPr>
        <w:pStyle w:val="SingleTxtG"/>
      </w:pPr>
      <w:r w:rsidRPr="00AF1D5F">
        <w:t>2.</w:t>
      </w:r>
      <w:r w:rsidR="00BE6D72" w:rsidRPr="00AF1D5F">
        <w:t>4</w:t>
      </w:r>
      <w:r w:rsidRPr="00AF1D5F">
        <w:tab/>
      </w:r>
      <w:r w:rsidR="00F46112" w:rsidRPr="00AF1D5F">
        <w:t>On 3 January 2010, t</w:t>
      </w:r>
      <w:r w:rsidRPr="00AF1D5F">
        <w:t>he complainant left his grandmother’s house for Zandjan province, where he stayed until 20 March 2010. In the meantime, a</w:t>
      </w:r>
      <w:r w:rsidR="001F288E" w:rsidRPr="00AF1D5F">
        <w:t xml:space="preserve"> summons </w:t>
      </w:r>
      <w:r w:rsidR="00140891">
        <w:t>from</w:t>
      </w:r>
      <w:r w:rsidR="00140891" w:rsidRPr="00AF1D5F">
        <w:t xml:space="preserve"> </w:t>
      </w:r>
      <w:r w:rsidR="007F4481" w:rsidRPr="00AF1D5F">
        <w:t>the Revolutionary Tribunal, Chamber 7,</w:t>
      </w:r>
      <w:r w:rsidRPr="00AF1D5F">
        <w:t xml:space="preserve"> was sent to </w:t>
      </w:r>
      <w:r w:rsidR="007F4481" w:rsidRPr="00AF1D5F">
        <w:t>his</w:t>
      </w:r>
      <w:r w:rsidRPr="00AF1D5F">
        <w:t xml:space="preserve"> parents’ house in Tehran</w:t>
      </w:r>
      <w:r w:rsidR="007F4481" w:rsidRPr="00AF1D5F">
        <w:t xml:space="preserve"> and an arrest warrant was issued.</w:t>
      </w:r>
      <w:r w:rsidRPr="00AF1D5F">
        <w:t xml:space="preserve"> From 20 March 2010 to 10 August 2010, the complainant hid in Babol, Mazandaran province. On 12 August 2010, </w:t>
      </w:r>
      <w:r w:rsidR="00F46112" w:rsidRPr="00AF1D5F">
        <w:t>he</w:t>
      </w:r>
      <w:r w:rsidRPr="00AF1D5F">
        <w:t xml:space="preserve"> left </w:t>
      </w:r>
      <w:r w:rsidR="001616AD">
        <w:t>the Islamic Republic of Iran</w:t>
      </w:r>
      <w:r w:rsidRPr="00AF1D5F">
        <w:t xml:space="preserve"> illegally by </w:t>
      </w:r>
      <w:r w:rsidR="007F4481" w:rsidRPr="00AF1D5F">
        <w:t>boat</w:t>
      </w:r>
      <w:r w:rsidRPr="00AF1D5F">
        <w:t xml:space="preserve">. </w:t>
      </w:r>
    </w:p>
    <w:p w:rsidR="00D54EF0" w:rsidRPr="00AF1D5F" w:rsidRDefault="00F46112" w:rsidP="00D757ED">
      <w:pPr>
        <w:pStyle w:val="SingleTxtG"/>
      </w:pPr>
      <w:r w:rsidRPr="00AF1D5F">
        <w:t>2.5</w:t>
      </w:r>
      <w:r w:rsidRPr="00AF1D5F">
        <w:tab/>
      </w:r>
      <w:r w:rsidR="00D54EF0" w:rsidRPr="00AF1D5F">
        <w:t xml:space="preserve">On 20 August 2010, </w:t>
      </w:r>
      <w:r w:rsidRPr="00AF1D5F">
        <w:t xml:space="preserve">he </w:t>
      </w:r>
      <w:r w:rsidR="00D54EF0" w:rsidRPr="00AF1D5F">
        <w:t xml:space="preserve">arrived in Switzerland and </w:t>
      </w:r>
      <w:r w:rsidRPr="00AF1D5F">
        <w:t>requested</w:t>
      </w:r>
      <w:r w:rsidR="00D54EF0" w:rsidRPr="00AF1D5F">
        <w:t xml:space="preserve"> asylum.</w:t>
      </w:r>
      <w:r w:rsidR="001F288E" w:rsidRPr="00AF1D5F">
        <w:t xml:space="preserve"> At asylum interviews</w:t>
      </w:r>
      <w:r w:rsidR="00EF2EE8" w:rsidRPr="00AF1D5F">
        <w:t>,</w:t>
      </w:r>
      <w:r w:rsidR="001F288E" w:rsidRPr="00AF1D5F">
        <w:t xml:space="preserve"> held on 6 and 23 </w:t>
      </w:r>
      <w:r w:rsidR="00C66862" w:rsidRPr="00AF1D5F">
        <w:t xml:space="preserve">September 2010, the complainant provided </w:t>
      </w:r>
      <w:r w:rsidR="00EF2EE8" w:rsidRPr="00AF1D5F">
        <w:t>the Swiss authorities</w:t>
      </w:r>
      <w:r w:rsidR="00C66862" w:rsidRPr="00AF1D5F">
        <w:t xml:space="preserve"> with </w:t>
      </w:r>
      <w:r w:rsidR="001F288E" w:rsidRPr="00AF1D5F">
        <w:t xml:space="preserve">his </w:t>
      </w:r>
      <w:r w:rsidR="008579B9">
        <w:t>identity card</w:t>
      </w:r>
      <w:r w:rsidR="001F288E" w:rsidRPr="00AF1D5F">
        <w:t xml:space="preserve">, </w:t>
      </w:r>
      <w:r w:rsidR="00281C98">
        <w:t xml:space="preserve">his </w:t>
      </w:r>
      <w:r w:rsidR="001F288E" w:rsidRPr="00AF1D5F">
        <w:t xml:space="preserve">karate certificate and the summons </w:t>
      </w:r>
      <w:r w:rsidR="00281C98">
        <w:t>from</w:t>
      </w:r>
      <w:r w:rsidR="00281C98" w:rsidRPr="00AF1D5F">
        <w:t xml:space="preserve"> </w:t>
      </w:r>
      <w:r w:rsidR="001F288E" w:rsidRPr="00AF1D5F">
        <w:t xml:space="preserve">the Revolutionary Tribunal. </w:t>
      </w:r>
    </w:p>
    <w:p w:rsidR="00C67E63" w:rsidRPr="00AF1D5F" w:rsidRDefault="00D54EF0" w:rsidP="008579B9">
      <w:pPr>
        <w:pStyle w:val="SingleTxtG"/>
      </w:pPr>
      <w:r w:rsidRPr="00AF1D5F">
        <w:t>2.</w:t>
      </w:r>
      <w:r w:rsidR="00F46112" w:rsidRPr="00AF1D5F">
        <w:t>6</w:t>
      </w:r>
      <w:r w:rsidRPr="00AF1D5F">
        <w:tab/>
        <w:t xml:space="preserve">On 27 October 2010, the Federal Office for Migration (BFM) rejected the complainant’s application </w:t>
      </w:r>
      <w:r w:rsidR="008579B9" w:rsidRPr="008579B9">
        <w:t>on the grounds of</w:t>
      </w:r>
      <w:r w:rsidR="0012557C" w:rsidRPr="00AF1D5F">
        <w:t xml:space="preserve"> lack of </w:t>
      </w:r>
      <w:r w:rsidRPr="00AF1D5F">
        <w:t xml:space="preserve">credibility and ordered his </w:t>
      </w:r>
      <w:r w:rsidR="0012557C" w:rsidRPr="00AF1D5F">
        <w:t>removal</w:t>
      </w:r>
      <w:r w:rsidRPr="00AF1D5F">
        <w:t xml:space="preserve"> to </w:t>
      </w:r>
      <w:r w:rsidR="001616AD">
        <w:t>the Islamic Republic of Iran</w:t>
      </w:r>
      <w:r w:rsidRPr="00AF1D5F">
        <w:t>. On 20 June 2011, the Federal Administrative Tribunal</w:t>
      </w:r>
      <w:r w:rsidR="008579B9">
        <w:br/>
      </w:r>
      <w:r w:rsidRPr="00AF1D5F">
        <w:t>(</w:t>
      </w:r>
      <w:r w:rsidR="00C66862" w:rsidRPr="00AF1D5F">
        <w:t xml:space="preserve">“the administrative tribunal” </w:t>
      </w:r>
      <w:r w:rsidR="003E7844">
        <w:t>(</w:t>
      </w:r>
      <w:r w:rsidRPr="00AF1D5F">
        <w:t>BVG</w:t>
      </w:r>
      <w:r w:rsidR="003E7844">
        <w:t>)</w:t>
      </w:r>
      <w:r w:rsidRPr="00AF1D5F">
        <w:t>) rejec</w:t>
      </w:r>
      <w:r w:rsidR="00F46112" w:rsidRPr="00AF1D5F">
        <w:t>ted his</w:t>
      </w:r>
      <w:r w:rsidRPr="00AF1D5F">
        <w:t xml:space="preserve"> appeal.</w:t>
      </w:r>
    </w:p>
    <w:p w:rsidR="00C66862" w:rsidRPr="00AF1D5F" w:rsidRDefault="00C66862" w:rsidP="003E7844">
      <w:pPr>
        <w:pStyle w:val="SingleTxtG"/>
      </w:pPr>
      <w:r w:rsidRPr="00AF1D5F">
        <w:t>2.7</w:t>
      </w:r>
      <w:r w:rsidRPr="00AF1D5F">
        <w:tab/>
        <w:t xml:space="preserve">The administrative tribunal found that the complainant’s account was unrealistic, insufficiently detailed and inconsistent. First, it appeared incredible that he had first indicated that he had been held in the van for 10 minutes but had later stated that his detention </w:t>
      </w:r>
      <w:r w:rsidR="00AD00FC" w:rsidRPr="00AF1D5F">
        <w:t>had lasted almost 30</w:t>
      </w:r>
      <w:r w:rsidRPr="00AF1D5F">
        <w:t xml:space="preserve"> minutes. Furthermore, he had maintained that</w:t>
      </w:r>
      <w:r w:rsidR="007A3526" w:rsidRPr="00AF1D5F">
        <w:t xml:space="preserve"> he </w:t>
      </w:r>
      <w:r w:rsidRPr="00AF1D5F">
        <w:t xml:space="preserve">had been </w:t>
      </w:r>
      <w:r w:rsidRPr="00AF1D5F">
        <w:lastRenderedPageBreak/>
        <w:t>hit on the head three or four times, approximately every 10 to 15 minutes</w:t>
      </w:r>
      <w:r w:rsidR="00C10E46" w:rsidRPr="00AF1D5F">
        <w:t>, while in the van</w:t>
      </w:r>
      <w:r w:rsidRPr="00AF1D5F">
        <w:t>.</w:t>
      </w:r>
      <w:r w:rsidR="007A3526" w:rsidRPr="00AF1D5F">
        <w:t xml:space="preserve"> Second, the administrative tribunal found </w:t>
      </w:r>
      <w:r w:rsidR="003E7844">
        <w:t xml:space="preserve">it </w:t>
      </w:r>
      <w:r w:rsidR="007A3526" w:rsidRPr="00AF1D5F">
        <w:t xml:space="preserve">unrealistic that </w:t>
      </w:r>
      <w:r w:rsidR="003576DC" w:rsidRPr="00AF1D5F">
        <w:t xml:space="preserve">his handcuffs had been </w:t>
      </w:r>
      <w:r w:rsidR="007A3526" w:rsidRPr="00AF1D5F">
        <w:t xml:space="preserve">removed in the van and that he had been able to overpower two officers and escape. Third, it appeared incredible that </w:t>
      </w:r>
      <w:r w:rsidR="003576DC" w:rsidRPr="00AF1D5F">
        <w:t>his brother’s banned</w:t>
      </w:r>
      <w:r w:rsidR="00AD00FC" w:rsidRPr="00AF1D5F">
        <w:t xml:space="preserve"> material had been stored in their shared room and </w:t>
      </w:r>
      <w:r w:rsidR="007A3526" w:rsidRPr="00AF1D5F">
        <w:t>that the brother had not been h</w:t>
      </w:r>
      <w:r w:rsidR="00B62BDB" w:rsidRPr="00AF1D5F">
        <w:t>e</w:t>
      </w:r>
      <w:r w:rsidR="007A3526" w:rsidRPr="00AF1D5F">
        <w:t xml:space="preserve">ld </w:t>
      </w:r>
      <w:r w:rsidR="00AD00FC" w:rsidRPr="00AF1D5F">
        <w:t xml:space="preserve">accountable in that connection. Fourth, the complainant had failed to explain why he had kept all his identity documents, except his </w:t>
      </w:r>
      <w:r w:rsidR="003E7844">
        <w:t>identity</w:t>
      </w:r>
      <w:r w:rsidR="003E7844" w:rsidRPr="00AF1D5F">
        <w:t xml:space="preserve"> </w:t>
      </w:r>
      <w:r w:rsidR="00AD00FC" w:rsidRPr="00AF1D5F">
        <w:t>card</w:t>
      </w:r>
      <w:r w:rsidR="000B724E" w:rsidRPr="00AF1D5F">
        <w:t xml:space="preserve">, in one single bag, which could be interpreted as if he had tried to hide his actual itinerary from the authorities. Fifth, </w:t>
      </w:r>
      <w:r w:rsidR="00B62BDB" w:rsidRPr="00AF1D5F">
        <w:t>it appeared incredible that the officials who had searched his parents’ house had been able to influence his sentence. Sixth, the summons submitted to the Swiss authorities had no evidential value</w:t>
      </w:r>
      <w:r w:rsidR="003E7844">
        <w:t>,</w:t>
      </w:r>
      <w:r w:rsidR="00B62BDB" w:rsidRPr="00AF1D5F">
        <w:t xml:space="preserve"> as it could</w:t>
      </w:r>
      <w:r w:rsidR="003E7844">
        <w:t xml:space="preserve"> easily</w:t>
      </w:r>
      <w:r w:rsidR="00B62BDB" w:rsidRPr="00AF1D5F">
        <w:t xml:space="preserve"> have been forged and purchased in </w:t>
      </w:r>
      <w:r w:rsidR="003E7844">
        <w:t xml:space="preserve">the Islamic Republic of </w:t>
      </w:r>
      <w:r w:rsidR="00B62BDB" w:rsidRPr="00AF1D5F">
        <w:t>Iran. F</w:t>
      </w:r>
      <w:r w:rsidR="004D25F5" w:rsidRPr="00AF1D5F">
        <w:t xml:space="preserve">inally, even if </w:t>
      </w:r>
      <w:r w:rsidR="006F4522" w:rsidRPr="00AF1D5F">
        <w:t>the complainant</w:t>
      </w:r>
      <w:r w:rsidR="004D25F5" w:rsidRPr="00AF1D5F">
        <w:t xml:space="preserve"> had left </w:t>
      </w:r>
      <w:r w:rsidR="001616AD">
        <w:t>the Islamic Republic of Iran</w:t>
      </w:r>
      <w:r w:rsidR="004D25F5" w:rsidRPr="00AF1D5F">
        <w:t xml:space="preserve"> illegally, as alleged, </w:t>
      </w:r>
      <w:r w:rsidR="00B62BDB" w:rsidRPr="00AF1D5F">
        <w:t xml:space="preserve">there was no risk </w:t>
      </w:r>
      <w:r w:rsidR="003E7844">
        <w:t>of him being</w:t>
      </w:r>
      <w:r w:rsidR="00B62BDB" w:rsidRPr="00AF1D5F">
        <w:t xml:space="preserve"> subjected to ill-treatment or persecution in his country of origin. </w:t>
      </w:r>
    </w:p>
    <w:p w:rsidR="00E74478" w:rsidRPr="00AF1D5F" w:rsidRDefault="004D3781" w:rsidP="00BE24E1">
      <w:pPr>
        <w:pStyle w:val="SingleTxtG"/>
      </w:pPr>
      <w:r w:rsidRPr="00AF1D5F">
        <w:t>2.8</w:t>
      </w:r>
      <w:r w:rsidRPr="00AF1D5F">
        <w:tab/>
        <w:t>With reference to reports by international non-governmental organi</w:t>
      </w:r>
      <w:r w:rsidR="002F280A">
        <w:t>z</w:t>
      </w:r>
      <w:r w:rsidRPr="00AF1D5F">
        <w:t xml:space="preserve">ations, the complainant maintains that the human rights situation </w:t>
      </w:r>
      <w:r w:rsidR="003576DC" w:rsidRPr="00AF1D5F">
        <w:t xml:space="preserve">in </w:t>
      </w:r>
      <w:r w:rsidR="001616AD">
        <w:t>the Islamic Republic of Iran</w:t>
      </w:r>
      <w:r w:rsidR="003576DC" w:rsidRPr="00AF1D5F">
        <w:t xml:space="preserve"> </w:t>
      </w:r>
      <w:r w:rsidRPr="00AF1D5F">
        <w:t xml:space="preserve">has been </w:t>
      </w:r>
      <w:r w:rsidR="004D25F5" w:rsidRPr="00AF1D5F">
        <w:t>critical</w:t>
      </w:r>
      <w:r w:rsidRPr="00AF1D5F">
        <w:t xml:space="preserve">, particularly after the 2009 presidential elections. </w:t>
      </w:r>
      <w:r w:rsidR="002F280A">
        <w:t>In 2011 alone</w:t>
      </w:r>
      <w:r w:rsidR="00806CB8" w:rsidRPr="00AF1D5F">
        <w:t>, 300 persons were executed.</w:t>
      </w:r>
      <w:r w:rsidR="004D25F5" w:rsidRPr="00AF1D5F">
        <w:t xml:space="preserve"> The Committee </w:t>
      </w:r>
      <w:r w:rsidR="000F05D1" w:rsidRPr="00AF1D5F">
        <w:t xml:space="preserve">itself has </w:t>
      </w:r>
      <w:r w:rsidR="004D25F5" w:rsidRPr="00AF1D5F">
        <w:t>stated that the human rights situation was “extremely worrisome”</w:t>
      </w:r>
      <w:r w:rsidR="00971FBD">
        <w:t>.</w:t>
      </w:r>
      <w:r w:rsidR="000E6DBF">
        <w:rPr>
          <w:rStyle w:val="FootnoteReference"/>
        </w:rPr>
        <w:footnoteReference w:id="4"/>
      </w:r>
      <w:r w:rsidR="005935C7" w:rsidRPr="00AF1D5F">
        <w:t xml:space="preserve"> He further claims that he </w:t>
      </w:r>
      <w:r w:rsidR="00BA11DB" w:rsidRPr="00AF1D5F">
        <w:t>had been</w:t>
      </w:r>
      <w:r w:rsidR="005935C7" w:rsidRPr="00AF1D5F">
        <w:t xml:space="preserve"> excluded from </w:t>
      </w:r>
      <w:r w:rsidR="00971FBD">
        <w:t>u</w:t>
      </w:r>
      <w:r w:rsidR="00AF1D5F" w:rsidRPr="00AF1D5F">
        <w:t>niversity</w:t>
      </w:r>
      <w:r w:rsidR="005935C7" w:rsidRPr="00AF1D5F">
        <w:t xml:space="preserve"> </w:t>
      </w:r>
      <w:r w:rsidR="00971FBD">
        <w:t>on the basis of</w:t>
      </w:r>
      <w:r w:rsidR="005935C7" w:rsidRPr="00AF1D5F">
        <w:t xml:space="preserve"> his political activities</w:t>
      </w:r>
      <w:r w:rsidR="00971FBD">
        <w:t>,</w:t>
      </w:r>
      <w:r w:rsidR="005935C7" w:rsidRPr="00AF1D5F">
        <w:t xml:space="preserve"> however the Swiss authorities did not assess the credibility of th</w:t>
      </w:r>
      <w:r w:rsidR="00971FBD">
        <w:t>at</w:t>
      </w:r>
      <w:r w:rsidR="005935C7" w:rsidRPr="00AF1D5F">
        <w:t xml:space="preserve"> information</w:t>
      </w:r>
      <w:r w:rsidR="005D5AA0" w:rsidRPr="00AF1D5F">
        <w:t>.</w:t>
      </w:r>
      <w:r w:rsidR="00BA11DB" w:rsidRPr="00AF1D5F">
        <w:t xml:space="preserve"> He had participated in various demonstrations after the June 2009 elections but had not been arrested until December 2009. H</w:t>
      </w:r>
      <w:r w:rsidR="007A31E6" w:rsidRPr="00AF1D5F">
        <w:t>is account to the authorities, regarding the</w:t>
      </w:r>
      <w:r w:rsidR="00BA11DB" w:rsidRPr="00AF1D5F">
        <w:t xml:space="preserve"> December </w:t>
      </w:r>
      <w:r w:rsidR="00A24214" w:rsidRPr="00AF1D5F">
        <w:t xml:space="preserve">2009 </w:t>
      </w:r>
      <w:r w:rsidR="00BA11DB" w:rsidRPr="00AF1D5F">
        <w:t>demonstration</w:t>
      </w:r>
      <w:r w:rsidR="007A31E6" w:rsidRPr="00AF1D5F">
        <w:t xml:space="preserve"> and </w:t>
      </w:r>
      <w:r w:rsidR="00A24214" w:rsidRPr="00AF1D5F">
        <w:t xml:space="preserve">his </w:t>
      </w:r>
      <w:r w:rsidR="00BA11DB" w:rsidRPr="00AF1D5F">
        <w:t>subsequent arrest</w:t>
      </w:r>
      <w:r w:rsidR="007A31E6" w:rsidRPr="00AF1D5F">
        <w:t>, including the persons involved, was</w:t>
      </w:r>
      <w:r w:rsidR="00BA11DB" w:rsidRPr="00AF1D5F">
        <w:t xml:space="preserve"> vivid, detail</w:t>
      </w:r>
      <w:r w:rsidR="007A31E6" w:rsidRPr="00AF1D5F">
        <w:t>ed</w:t>
      </w:r>
      <w:r w:rsidR="00BA11DB" w:rsidRPr="00AF1D5F">
        <w:t xml:space="preserve"> and without contradictions</w:t>
      </w:r>
      <w:r w:rsidR="007A31E6" w:rsidRPr="00AF1D5F">
        <w:t xml:space="preserve">. </w:t>
      </w:r>
      <w:r w:rsidR="00BE24E1">
        <w:t>A representative of a non-governmental organization</w:t>
      </w:r>
      <w:r w:rsidR="007A31E6" w:rsidRPr="00AF1D5F">
        <w:t xml:space="preserve"> who was present at the asylum interview </w:t>
      </w:r>
      <w:r w:rsidR="001818FD" w:rsidRPr="00AF1D5F">
        <w:t>found his statements credible and reported that he had described the officers’ appearance without hesitati</w:t>
      </w:r>
      <w:r w:rsidR="000F05D1" w:rsidRPr="00AF1D5F">
        <w:t>o</w:t>
      </w:r>
      <w:r w:rsidR="001818FD" w:rsidRPr="00AF1D5F">
        <w:t xml:space="preserve">n. </w:t>
      </w:r>
    </w:p>
    <w:p w:rsidR="001C0067" w:rsidRPr="00AF1D5F" w:rsidRDefault="00D866E8" w:rsidP="00D757ED">
      <w:pPr>
        <w:pStyle w:val="SingleTxtG"/>
      </w:pPr>
      <w:r w:rsidRPr="00AF1D5F">
        <w:t>2.9</w:t>
      </w:r>
      <w:r w:rsidRPr="00AF1D5F">
        <w:tab/>
      </w:r>
      <w:r w:rsidR="0053691D" w:rsidRPr="00AF1D5F">
        <w:t>On the points raised by the administrative tribunal, t</w:t>
      </w:r>
      <w:r w:rsidRPr="00AF1D5F">
        <w:t>he complainant</w:t>
      </w:r>
      <w:r w:rsidR="0053691D" w:rsidRPr="00AF1D5F">
        <w:t xml:space="preserve"> submits that he had lost track of time when he </w:t>
      </w:r>
      <w:r w:rsidR="00BE24E1">
        <w:t>was</w:t>
      </w:r>
      <w:r w:rsidR="0053691D" w:rsidRPr="00AF1D5F">
        <w:t xml:space="preserve"> brought to the van, because of </w:t>
      </w:r>
      <w:r w:rsidR="00872002" w:rsidRPr="00AF1D5F">
        <w:t>emotional</w:t>
      </w:r>
      <w:r w:rsidR="0053691D" w:rsidRPr="00AF1D5F">
        <w:t xml:space="preserve"> distress caused by the arrest, handcuffing and beatings by the officials. He argues that the </w:t>
      </w:r>
      <w:r w:rsidR="0052708F" w:rsidRPr="00AF1D5F">
        <w:t>alleged inconsistency in the description of the length of his detention d</w:t>
      </w:r>
      <w:r w:rsidR="00B5734C" w:rsidRPr="00AF1D5F">
        <w:t xml:space="preserve">oes not undermine the credibility of his account. He explains that </w:t>
      </w:r>
      <w:r w:rsidR="007F2B9F" w:rsidRPr="00AF1D5F">
        <w:t xml:space="preserve">he had been released from </w:t>
      </w:r>
      <w:r w:rsidR="00B5734C" w:rsidRPr="00AF1D5F">
        <w:t>handcuffs</w:t>
      </w:r>
      <w:r w:rsidR="007F2B9F" w:rsidRPr="00AF1D5F">
        <w:t xml:space="preserve"> like other </w:t>
      </w:r>
      <w:r w:rsidR="00B5734C" w:rsidRPr="00AF1D5F">
        <w:t>arrestees who had been forced to lie on the floor in the van. He submits that</w:t>
      </w:r>
      <w:r w:rsidR="00BE24E1">
        <w:t>,</w:t>
      </w:r>
      <w:r w:rsidR="00B5734C" w:rsidRPr="00AF1D5F">
        <w:t xml:space="preserve"> using karate techniques, he had knock</w:t>
      </w:r>
      <w:r w:rsidR="00D10995" w:rsidRPr="00AF1D5F">
        <w:t>ed</w:t>
      </w:r>
      <w:r w:rsidR="00B5734C" w:rsidRPr="00AF1D5F">
        <w:t xml:space="preserve"> down an officer, who, because of </w:t>
      </w:r>
      <w:r w:rsidR="00E74478" w:rsidRPr="00AF1D5F">
        <w:t>acute</w:t>
      </w:r>
      <w:r w:rsidR="00B5734C" w:rsidRPr="00AF1D5F">
        <w:t xml:space="preserve"> pain,</w:t>
      </w:r>
      <w:r w:rsidR="00D10995" w:rsidRPr="00AF1D5F">
        <w:t xml:space="preserve"> had not</w:t>
      </w:r>
      <w:r w:rsidR="00B5734C" w:rsidRPr="00AF1D5F">
        <w:t xml:space="preserve"> followed him when he had escaped from the van.</w:t>
      </w:r>
      <w:r w:rsidR="00E74478" w:rsidRPr="00AF1D5F">
        <w:t xml:space="preserve"> </w:t>
      </w:r>
      <w:r w:rsidRPr="00AF1D5F">
        <w:t xml:space="preserve">Furthermore, </w:t>
      </w:r>
      <w:r w:rsidR="001C0067" w:rsidRPr="00AF1D5F">
        <w:t xml:space="preserve">Iranians have access to and frequently consult banned publications, </w:t>
      </w:r>
      <w:r w:rsidRPr="00AF1D5F">
        <w:t>as confirmed by governmental and non-governmental sources. It was not unusual</w:t>
      </w:r>
      <w:r w:rsidR="0034552F">
        <w:t>,</w:t>
      </w:r>
      <w:r w:rsidRPr="00AF1D5F">
        <w:t xml:space="preserve"> therefore</w:t>
      </w:r>
      <w:r w:rsidR="0034552F">
        <w:t>,</w:t>
      </w:r>
      <w:r w:rsidRPr="00AF1D5F">
        <w:t xml:space="preserve"> that his brother’s incriminating </w:t>
      </w:r>
      <w:r w:rsidR="00A24214" w:rsidRPr="00AF1D5F">
        <w:t>material</w:t>
      </w:r>
      <w:r w:rsidR="0053691D" w:rsidRPr="00AF1D5F">
        <w:t xml:space="preserve"> had been kept in the</w:t>
      </w:r>
      <w:r w:rsidR="009F302B" w:rsidRPr="00AF1D5F">
        <w:t>ir</w:t>
      </w:r>
      <w:r w:rsidR="0053691D" w:rsidRPr="00AF1D5F">
        <w:t xml:space="preserve"> parents’ house. In addition, </w:t>
      </w:r>
      <w:r w:rsidR="009F302B" w:rsidRPr="00AF1D5F">
        <w:t>the complainant</w:t>
      </w:r>
      <w:r w:rsidR="001C0067" w:rsidRPr="00AF1D5F">
        <w:t xml:space="preserve"> had expected to destroy </w:t>
      </w:r>
      <w:r w:rsidR="00A24214" w:rsidRPr="00AF1D5F">
        <w:t>that material</w:t>
      </w:r>
      <w:r w:rsidR="001C0067" w:rsidRPr="00AF1D5F">
        <w:t xml:space="preserve"> but the authorities had searched the house before he could </w:t>
      </w:r>
      <w:r w:rsidR="00725ECB">
        <w:t>do</w:t>
      </w:r>
      <w:r w:rsidR="001C0067" w:rsidRPr="00AF1D5F">
        <w:t xml:space="preserve"> so. He explains that his father had kept his </w:t>
      </w:r>
      <w:r w:rsidR="008579B9">
        <w:t>identity card</w:t>
      </w:r>
      <w:r w:rsidR="008579B9" w:rsidRPr="00AF1D5F">
        <w:t xml:space="preserve"> </w:t>
      </w:r>
      <w:r w:rsidR="001C0067" w:rsidRPr="00AF1D5F">
        <w:t xml:space="preserve">to apply for subsidized goods. </w:t>
      </w:r>
      <w:r w:rsidR="007F2B9F" w:rsidRPr="00AF1D5F">
        <w:t>He further argues that</w:t>
      </w:r>
      <w:r w:rsidR="00872002" w:rsidRPr="00AF1D5F">
        <w:t xml:space="preserve"> it is generally known in </w:t>
      </w:r>
      <w:r w:rsidR="001616AD">
        <w:t>the Islamic Republic of Iran</w:t>
      </w:r>
      <w:r w:rsidR="00872002" w:rsidRPr="00AF1D5F">
        <w:t xml:space="preserve"> that possessing </w:t>
      </w:r>
      <w:r w:rsidR="00A24214" w:rsidRPr="00AF1D5F">
        <w:t>banned</w:t>
      </w:r>
      <w:r w:rsidR="00872002" w:rsidRPr="00AF1D5F">
        <w:t xml:space="preserve"> material is punishable by death. It is not unusual that, in the context of widespread corruption in </w:t>
      </w:r>
      <w:r w:rsidR="001616AD">
        <w:t>the Islamic Republic of Iran</w:t>
      </w:r>
      <w:r w:rsidR="00872002" w:rsidRPr="00AF1D5F">
        <w:t xml:space="preserve">, </w:t>
      </w:r>
      <w:r w:rsidR="007F2B9F" w:rsidRPr="00AF1D5F">
        <w:t xml:space="preserve">the </w:t>
      </w:r>
      <w:r w:rsidR="00872002" w:rsidRPr="00AF1D5F">
        <w:t>officials,</w:t>
      </w:r>
      <w:r w:rsidR="007F2B9F" w:rsidRPr="00AF1D5F">
        <w:t xml:space="preserve"> who had searched the parents’ house, had at</w:t>
      </w:r>
      <w:r w:rsidR="00872002" w:rsidRPr="00AF1D5F">
        <w:t>tempted to bribe his father</w:t>
      </w:r>
      <w:r w:rsidR="009F302B" w:rsidRPr="00AF1D5F">
        <w:t>, by invoking the likely sentence for the complainant</w:t>
      </w:r>
      <w:r w:rsidR="00872002" w:rsidRPr="00AF1D5F">
        <w:t>. Since his father had not yielded to the offer, the complainant’s statement in th</w:t>
      </w:r>
      <w:r w:rsidR="00725ECB">
        <w:t>at</w:t>
      </w:r>
      <w:r w:rsidR="00872002" w:rsidRPr="00AF1D5F">
        <w:t xml:space="preserve"> connection has no bearing on his credibility.</w:t>
      </w:r>
      <w:r w:rsidR="00B05F31" w:rsidRPr="00AF1D5F">
        <w:t xml:space="preserve"> He submits that</w:t>
      </w:r>
      <w:r w:rsidR="00725ECB">
        <w:t>,</w:t>
      </w:r>
      <w:r w:rsidR="00B05F31" w:rsidRPr="00AF1D5F">
        <w:t xml:space="preserve"> apart from the summons submitted to the Swiss authorities, he had no other evidence to demonstrate that he had been wanted by the Iranian authorities</w:t>
      </w:r>
      <w:r w:rsidR="00725ECB">
        <w:t>,</w:t>
      </w:r>
      <w:r w:rsidR="0055358E" w:rsidRPr="00AF1D5F">
        <w:t xml:space="preserve"> as arrest warrants are normally not handed over to suspects</w:t>
      </w:r>
      <w:r w:rsidR="00B05F31" w:rsidRPr="00AF1D5F">
        <w:t>. Nothing indicates tha</w:t>
      </w:r>
      <w:r w:rsidR="006469BB" w:rsidRPr="00AF1D5F">
        <w:t>t the summons is not authentic</w:t>
      </w:r>
      <w:r w:rsidR="00294776" w:rsidRPr="00AF1D5F">
        <w:t>:</w:t>
      </w:r>
      <w:r w:rsidR="006D7320" w:rsidRPr="00AF1D5F">
        <w:t xml:space="preserve"> according to Amnesty International, forged documents are rarely used in </w:t>
      </w:r>
      <w:r w:rsidR="001616AD">
        <w:t>the Islamic Republic of Iran</w:t>
      </w:r>
      <w:r w:rsidR="00A24214" w:rsidRPr="00AF1D5F">
        <w:t>, and</w:t>
      </w:r>
      <w:r w:rsidR="00375DE7" w:rsidRPr="00AF1D5F">
        <w:t xml:space="preserve"> the </w:t>
      </w:r>
      <w:r w:rsidR="00375DE7" w:rsidRPr="00AF1D5F">
        <w:lastRenderedPageBreak/>
        <w:t>address indicated on the summons is</w:t>
      </w:r>
      <w:r w:rsidR="006469BB" w:rsidRPr="00AF1D5F">
        <w:t xml:space="preserve"> </w:t>
      </w:r>
      <w:r w:rsidR="00375DE7" w:rsidRPr="00AF1D5F">
        <w:t>commonly used as the nearest reference to his exact address. The complainant</w:t>
      </w:r>
      <w:r w:rsidR="006469BB" w:rsidRPr="00AF1D5F">
        <w:t xml:space="preserve"> also submits that leaving </w:t>
      </w:r>
      <w:r w:rsidR="001616AD">
        <w:t>the Islamic Republic of Iran</w:t>
      </w:r>
      <w:r w:rsidR="006469BB" w:rsidRPr="00AF1D5F">
        <w:t xml:space="preserve"> illegally is punishable by up to three years’ imprisonment or a fine</w:t>
      </w:r>
      <w:r w:rsidR="00725ECB">
        <w:t>,</w:t>
      </w:r>
      <w:r w:rsidR="006469BB" w:rsidRPr="00AF1D5F">
        <w:t xml:space="preserve"> and </w:t>
      </w:r>
      <w:r w:rsidR="008579B9">
        <w:t>would</w:t>
      </w:r>
      <w:r w:rsidR="008579B9" w:rsidRPr="00AF1D5F">
        <w:t xml:space="preserve"> </w:t>
      </w:r>
      <w:r w:rsidR="006469BB" w:rsidRPr="00AF1D5F">
        <w:t xml:space="preserve">lead to </w:t>
      </w:r>
      <w:r w:rsidR="009F302B" w:rsidRPr="00AF1D5F">
        <w:t xml:space="preserve">his </w:t>
      </w:r>
      <w:r w:rsidR="006469BB" w:rsidRPr="00AF1D5F">
        <w:t>combined prosecution</w:t>
      </w:r>
      <w:r w:rsidR="008579B9">
        <w:t>, also</w:t>
      </w:r>
      <w:r w:rsidR="006469BB" w:rsidRPr="00AF1D5F">
        <w:t xml:space="preserve"> on </w:t>
      </w:r>
      <w:r w:rsidR="009F302B" w:rsidRPr="00AF1D5F">
        <w:t xml:space="preserve">the </w:t>
      </w:r>
      <w:r w:rsidR="006469BB" w:rsidRPr="00AF1D5F">
        <w:t xml:space="preserve">charges </w:t>
      </w:r>
      <w:r w:rsidR="008579B9">
        <w:t>brought</w:t>
      </w:r>
      <w:r w:rsidR="008579B9" w:rsidRPr="00AF1D5F">
        <w:t xml:space="preserve"> </w:t>
      </w:r>
      <w:r w:rsidR="006469BB" w:rsidRPr="00AF1D5F">
        <w:t>against him p</w:t>
      </w:r>
      <w:r w:rsidR="002F4432" w:rsidRPr="00AF1D5F">
        <w:t xml:space="preserve">rior to his departure from </w:t>
      </w:r>
      <w:r w:rsidR="001616AD">
        <w:t>the Islamic Republic of Iran</w:t>
      </w:r>
      <w:r w:rsidR="002F4432" w:rsidRPr="00AF1D5F">
        <w:t xml:space="preserve">, and possibly, </w:t>
      </w:r>
      <w:r w:rsidR="008579B9">
        <w:t xml:space="preserve">to </w:t>
      </w:r>
      <w:r w:rsidR="002F4432" w:rsidRPr="00AF1D5F">
        <w:t>a heavier sentence</w:t>
      </w:r>
      <w:r w:rsidR="00A36D7B" w:rsidRPr="00AF1D5F">
        <w:t>.</w:t>
      </w:r>
      <w:r w:rsidR="007A3B58">
        <w:rPr>
          <w:rStyle w:val="FootnoteReference"/>
        </w:rPr>
        <w:footnoteReference w:id="5"/>
      </w:r>
    </w:p>
    <w:p w:rsidR="00A51FB9" w:rsidRPr="00AF1D5F" w:rsidRDefault="00A51FB9" w:rsidP="00A51FB9">
      <w:pPr>
        <w:pStyle w:val="H23G"/>
      </w:pPr>
      <w:r w:rsidRPr="00AF1D5F">
        <w:tab/>
      </w:r>
      <w:r w:rsidRPr="00AF1D5F">
        <w:tab/>
        <w:t>The complaint</w:t>
      </w:r>
    </w:p>
    <w:p w:rsidR="00775279" w:rsidRPr="00AF1D5F" w:rsidRDefault="00A51FB9" w:rsidP="00D757ED">
      <w:pPr>
        <w:pStyle w:val="SingleTxtG"/>
      </w:pPr>
      <w:r w:rsidRPr="00AF1D5F">
        <w:t>3.</w:t>
      </w:r>
      <w:r w:rsidR="00905871" w:rsidRPr="00AF1D5F">
        <w:t>1</w:t>
      </w:r>
      <w:r w:rsidRPr="00AF1D5F">
        <w:tab/>
        <w:t xml:space="preserve">The complainant argues that his forcible return to </w:t>
      </w:r>
      <w:r w:rsidR="001616AD">
        <w:t>the Islamic Republic of Iran</w:t>
      </w:r>
      <w:r w:rsidR="007E1541" w:rsidRPr="00AF1D5F">
        <w:t xml:space="preserve"> would </w:t>
      </w:r>
      <w:r w:rsidRPr="00AF1D5F">
        <w:t>constitute a breach</w:t>
      </w:r>
      <w:r w:rsidR="002F77AC" w:rsidRPr="00AF1D5F">
        <w:t>,</w:t>
      </w:r>
      <w:r w:rsidRPr="00AF1D5F">
        <w:t xml:space="preserve"> by </w:t>
      </w:r>
      <w:r w:rsidR="007E1541" w:rsidRPr="00AF1D5F">
        <w:t>Switzerland</w:t>
      </w:r>
      <w:r w:rsidR="002F77AC" w:rsidRPr="00AF1D5F">
        <w:t>,</w:t>
      </w:r>
      <w:r w:rsidRPr="00AF1D5F">
        <w:t xml:space="preserve"> of its obligations under </w:t>
      </w:r>
      <w:r w:rsidR="00EE3B01">
        <w:t>article </w:t>
      </w:r>
      <w:r w:rsidRPr="00AF1D5F">
        <w:t>3</w:t>
      </w:r>
      <w:r w:rsidR="00905871" w:rsidRPr="00AF1D5F">
        <w:t xml:space="preserve">, </w:t>
      </w:r>
      <w:r w:rsidR="00EE3B01">
        <w:t>paragraph </w:t>
      </w:r>
      <w:r w:rsidR="00905871" w:rsidRPr="00AF1D5F">
        <w:t>1,</w:t>
      </w:r>
      <w:r w:rsidR="006F2711" w:rsidRPr="00AF1D5F">
        <w:t xml:space="preserve"> </w:t>
      </w:r>
      <w:r w:rsidRPr="00AF1D5F">
        <w:t xml:space="preserve">of the Convention. </w:t>
      </w:r>
      <w:r w:rsidR="007E1541" w:rsidRPr="00AF1D5F">
        <w:t>He submits that he repeatedly expressed critical views against the Iranian regime and</w:t>
      </w:r>
      <w:r w:rsidR="00CB6670" w:rsidRPr="00AF1D5F">
        <w:t xml:space="preserve"> that </w:t>
      </w:r>
      <w:r w:rsidR="002F77AC" w:rsidRPr="00AF1D5F">
        <w:t xml:space="preserve">he </w:t>
      </w:r>
      <w:r w:rsidR="007E1541" w:rsidRPr="00AF1D5F">
        <w:t xml:space="preserve">was arrested, on 27 December 2009, </w:t>
      </w:r>
      <w:r w:rsidR="009F302B" w:rsidRPr="00AF1D5F">
        <w:t>during</w:t>
      </w:r>
      <w:r w:rsidR="007E1541" w:rsidRPr="00AF1D5F">
        <w:t xml:space="preserve"> a demonstration against the regime</w:t>
      </w:r>
      <w:r w:rsidR="009F302B" w:rsidRPr="00AF1D5F">
        <w:t xml:space="preserve"> then in place. He was accused of</w:t>
      </w:r>
      <w:r w:rsidR="007E1541" w:rsidRPr="00AF1D5F">
        <w:t xml:space="preserve"> fomenting unrest, possessing banned material and injuring an official</w:t>
      </w:r>
      <w:r w:rsidR="001F356F" w:rsidRPr="00AF1D5F">
        <w:t>. In this connection, he</w:t>
      </w:r>
      <w:r w:rsidR="003332C4" w:rsidRPr="00AF1D5F">
        <w:t xml:space="preserve"> </w:t>
      </w:r>
      <w:r w:rsidR="007E1541" w:rsidRPr="00AF1D5F">
        <w:t xml:space="preserve">faces a long prison sentence and, </w:t>
      </w:r>
      <w:r w:rsidR="008579B9">
        <w:t>possibly</w:t>
      </w:r>
      <w:r w:rsidR="007E1541" w:rsidRPr="00AF1D5F">
        <w:t>, capital punishment</w:t>
      </w:r>
      <w:r w:rsidR="003332C4" w:rsidRPr="00AF1D5F">
        <w:t xml:space="preserve"> in </w:t>
      </w:r>
      <w:r w:rsidR="001616AD">
        <w:t>the Islamic Republic of Iran</w:t>
      </w:r>
      <w:r w:rsidR="007E1541" w:rsidRPr="00AF1D5F">
        <w:t>.</w:t>
      </w:r>
      <w:r w:rsidR="007C6AB6" w:rsidRPr="00AF1D5F">
        <w:t xml:space="preserve"> Torture is widespread in Iranian prisons; a study by the </w:t>
      </w:r>
      <w:r w:rsidR="002F77AC" w:rsidRPr="00AF1D5F">
        <w:t>S</w:t>
      </w:r>
      <w:r w:rsidR="007C6AB6" w:rsidRPr="00AF1D5F">
        <w:t xml:space="preserve">pecial </w:t>
      </w:r>
      <w:r w:rsidR="002F77AC" w:rsidRPr="00AF1D5F">
        <w:t>R</w:t>
      </w:r>
      <w:r w:rsidR="007C6AB6" w:rsidRPr="00AF1D5F">
        <w:t xml:space="preserve">apporteur on </w:t>
      </w:r>
      <w:r w:rsidR="000049EF">
        <w:t>t</w:t>
      </w:r>
      <w:r w:rsidR="007C6AB6" w:rsidRPr="00AF1D5F">
        <w:t>orture</w:t>
      </w:r>
      <w:r w:rsidR="000049EF">
        <w:t xml:space="preserve"> </w:t>
      </w:r>
      <w:r w:rsidR="000049EF" w:rsidRPr="000049EF">
        <w:t>and other cruel, inhuman or degrading treatment or punishment</w:t>
      </w:r>
      <w:r w:rsidR="007C6AB6" w:rsidRPr="00AF1D5F">
        <w:t xml:space="preserve"> stated that there were credible allegations that the country’s security forces committed politically motivated torture following demonstrations in 2009.</w:t>
      </w:r>
      <w:r w:rsidR="007A3B58">
        <w:rPr>
          <w:rStyle w:val="FootnoteReference"/>
        </w:rPr>
        <w:footnoteReference w:id="6"/>
      </w:r>
      <w:r w:rsidR="007E1541" w:rsidRPr="00AF1D5F">
        <w:t xml:space="preserve"> Furthermore, </w:t>
      </w:r>
      <w:r w:rsidR="003332C4" w:rsidRPr="00AF1D5F">
        <w:t xml:space="preserve">since </w:t>
      </w:r>
      <w:r w:rsidR="007E1541" w:rsidRPr="00AF1D5F">
        <w:t xml:space="preserve">he </w:t>
      </w:r>
      <w:r w:rsidR="003332C4" w:rsidRPr="00AF1D5F">
        <w:t xml:space="preserve">left </w:t>
      </w:r>
      <w:r w:rsidR="001616AD">
        <w:t>the Islamic Republic of Iran</w:t>
      </w:r>
      <w:r w:rsidR="003332C4" w:rsidRPr="00AF1D5F">
        <w:t xml:space="preserve"> illegally and is a failed asylum seeker,</w:t>
      </w:r>
      <w:r w:rsidR="00C4068C" w:rsidRPr="00DD3BFB">
        <w:rPr>
          <w:vertAlign w:val="superscript"/>
        </w:rPr>
        <w:t>3</w:t>
      </w:r>
      <w:r w:rsidR="003332C4" w:rsidRPr="00AF1D5F">
        <w:t xml:space="preserve"> he will be particularly exposed to persecution</w:t>
      </w:r>
      <w:r w:rsidR="007C6AB6" w:rsidRPr="00AF1D5F">
        <w:t xml:space="preserve"> upon</w:t>
      </w:r>
      <w:r w:rsidR="003332C4" w:rsidRPr="00AF1D5F">
        <w:t xml:space="preserve"> return.</w:t>
      </w:r>
      <w:r w:rsidR="00EE3B01">
        <w:t xml:space="preserve"> </w:t>
      </w:r>
    </w:p>
    <w:p w:rsidR="003332C4" w:rsidRDefault="00775279" w:rsidP="007E1541">
      <w:pPr>
        <w:pStyle w:val="SingleTxtG"/>
      </w:pPr>
      <w:r w:rsidRPr="00AF1D5F">
        <w:t>3.2</w:t>
      </w:r>
      <w:r w:rsidRPr="00AF1D5F">
        <w:tab/>
        <w:t xml:space="preserve">In </w:t>
      </w:r>
      <w:r w:rsidR="00E65EC1" w:rsidRPr="00AF1D5F">
        <w:t xml:space="preserve">the </w:t>
      </w:r>
      <w:r w:rsidRPr="00AF1D5F">
        <w:t>light of the above, the complainant</w:t>
      </w:r>
      <w:r w:rsidR="003332C4" w:rsidRPr="00AF1D5F">
        <w:t xml:space="preserve"> claim</w:t>
      </w:r>
      <w:r w:rsidRPr="00AF1D5F">
        <w:t xml:space="preserve">s </w:t>
      </w:r>
      <w:r w:rsidR="003332C4" w:rsidRPr="00AF1D5F">
        <w:t>that</w:t>
      </w:r>
      <w:r w:rsidRPr="00AF1D5F">
        <w:t xml:space="preserve">, if returned to </w:t>
      </w:r>
      <w:r w:rsidR="001616AD">
        <w:t>the Islamic Republic of Iran</w:t>
      </w:r>
      <w:r w:rsidRPr="00AF1D5F">
        <w:t xml:space="preserve">, he would </w:t>
      </w:r>
      <w:r w:rsidR="003332C4" w:rsidRPr="00AF1D5F">
        <w:t>face a real and imminent risk of being subjected to treatment contrary to the Convention.</w:t>
      </w:r>
    </w:p>
    <w:p w:rsidR="00EC289B" w:rsidRPr="00AF1D5F" w:rsidRDefault="00EC289B" w:rsidP="007E1541">
      <w:pPr>
        <w:pStyle w:val="SingleTxtG"/>
      </w:pPr>
      <w:r>
        <w:t>3.3</w:t>
      </w:r>
      <w:r>
        <w:tab/>
        <w:t>In his further submissions, the complainant contended that his adoption of atheistic and agnostic views constitute</w:t>
      </w:r>
      <w:r w:rsidR="00FF2902">
        <w:t>s</w:t>
      </w:r>
      <w:r>
        <w:t xml:space="preserve"> an additional risk for him, if </w:t>
      </w:r>
      <w:r w:rsidR="008F6589">
        <w:t xml:space="preserve">he were </w:t>
      </w:r>
      <w:r w:rsidR="00FF2902">
        <w:t>deported</w:t>
      </w:r>
      <w:r>
        <w:t xml:space="preserve"> to </w:t>
      </w:r>
      <w:r w:rsidR="001616AD">
        <w:t>the Islamic Republic of Iran</w:t>
      </w:r>
      <w:r>
        <w:t>, as abandonment of Islam can be punishable by death there</w:t>
      </w:r>
      <w:r w:rsidR="002011B6">
        <w:t>.</w:t>
      </w:r>
      <w:r w:rsidR="00451396">
        <w:rPr>
          <w:rStyle w:val="FootnoteReference"/>
        </w:rPr>
        <w:footnoteReference w:id="7"/>
      </w:r>
    </w:p>
    <w:p w:rsidR="006B2667" w:rsidRPr="00AF1D5F" w:rsidRDefault="006B2667" w:rsidP="008344D2">
      <w:pPr>
        <w:pStyle w:val="H23G"/>
      </w:pPr>
      <w:r w:rsidRPr="00AF1D5F">
        <w:tab/>
      </w:r>
      <w:r w:rsidRPr="00AF1D5F">
        <w:tab/>
        <w:t xml:space="preserve">State party’s observations on </w:t>
      </w:r>
      <w:r w:rsidR="007B2CE2" w:rsidRPr="00AF1D5F">
        <w:t>admissibility and</w:t>
      </w:r>
      <w:r w:rsidR="007F41C0">
        <w:t xml:space="preserve"> on the</w:t>
      </w:r>
      <w:r w:rsidRPr="00AF1D5F">
        <w:t xml:space="preserve"> merits</w:t>
      </w:r>
    </w:p>
    <w:p w:rsidR="00EC0AFF" w:rsidRPr="00AF1D5F" w:rsidRDefault="006B2667" w:rsidP="008344D2">
      <w:pPr>
        <w:pStyle w:val="SingleTxtG"/>
        <w:rPr>
          <w:bCs/>
        </w:rPr>
      </w:pPr>
      <w:r w:rsidRPr="00AF1D5F">
        <w:rPr>
          <w:bCs/>
        </w:rPr>
        <w:t>4.1</w:t>
      </w:r>
      <w:r w:rsidRPr="00AF1D5F">
        <w:rPr>
          <w:bCs/>
        </w:rPr>
        <w:tab/>
        <w:t xml:space="preserve">On </w:t>
      </w:r>
      <w:r w:rsidR="001F356F" w:rsidRPr="00AF1D5F">
        <w:rPr>
          <w:bCs/>
        </w:rPr>
        <w:t>18</w:t>
      </w:r>
      <w:r w:rsidR="007B2CE2" w:rsidRPr="00AF1D5F">
        <w:rPr>
          <w:bCs/>
        </w:rPr>
        <w:t xml:space="preserve"> January</w:t>
      </w:r>
      <w:r w:rsidRPr="00AF1D5F">
        <w:rPr>
          <w:bCs/>
        </w:rPr>
        <w:t xml:space="preserve"> 201</w:t>
      </w:r>
      <w:r w:rsidR="007B2CE2" w:rsidRPr="00AF1D5F">
        <w:rPr>
          <w:bCs/>
        </w:rPr>
        <w:t>2</w:t>
      </w:r>
      <w:r w:rsidRPr="00AF1D5F">
        <w:rPr>
          <w:bCs/>
        </w:rPr>
        <w:t xml:space="preserve">, the State party submitted its observations on </w:t>
      </w:r>
      <w:r w:rsidR="00EC0AFF" w:rsidRPr="00AF1D5F">
        <w:rPr>
          <w:bCs/>
        </w:rPr>
        <w:t xml:space="preserve">the </w:t>
      </w:r>
      <w:r w:rsidRPr="00AF1D5F">
        <w:rPr>
          <w:bCs/>
        </w:rPr>
        <w:t xml:space="preserve">merits. </w:t>
      </w:r>
      <w:r w:rsidR="00EC0AFF" w:rsidRPr="00AF1D5F">
        <w:rPr>
          <w:bCs/>
        </w:rPr>
        <w:t>It recalls the facts of the case and the asylum proceedings pursued b</w:t>
      </w:r>
      <w:r w:rsidR="00A24214" w:rsidRPr="00AF1D5F">
        <w:rPr>
          <w:bCs/>
        </w:rPr>
        <w:t>y the complainant</w:t>
      </w:r>
      <w:r w:rsidR="00EC0AFF" w:rsidRPr="00AF1D5F">
        <w:rPr>
          <w:bCs/>
        </w:rPr>
        <w:t xml:space="preserve"> in Switz</w:t>
      </w:r>
      <w:r w:rsidR="00CB6C2D" w:rsidRPr="00AF1D5F">
        <w:rPr>
          <w:bCs/>
        </w:rPr>
        <w:t xml:space="preserve">erland. It notes that the asylum authorities gave due consideration to </w:t>
      </w:r>
      <w:r w:rsidR="00A24214" w:rsidRPr="00AF1D5F">
        <w:rPr>
          <w:bCs/>
        </w:rPr>
        <w:t>his</w:t>
      </w:r>
      <w:r w:rsidR="00CB6C2D" w:rsidRPr="00AF1D5F">
        <w:rPr>
          <w:bCs/>
        </w:rPr>
        <w:t xml:space="preserve"> arguments. It states that the present communication does not present any new elements that would call into question the decisions of the asylum authorities.</w:t>
      </w:r>
    </w:p>
    <w:p w:rsidR="00A71831" w:rsidRDefault="00CB6C2D" w:rsidP="008A6B20">
      <w:pPr>
        <w:pStyle w:val="SingleTxtG"/>
      </w:pPr>
      <w:r w:rsidRPr="00AF1D5F">
        <w:rPr>
          <w:bCs/>
        </w:rPr>
        <w:t>4.2</w:t>
      </w:r>
      <w:r w:rsidRPr="00AF1D5F">
        <w:rPr>
          <w:bCs/>
        </w:rPr>
        <w:tab/>
        <w:t>The State party recalls that, under</w:t>
      </w:r>
      <w:r w:rsidRPr="00AF1D5F">
        <w:t xml:space="preserve"> </w:t>
      </w:r>
      <w:r w:rsidR="00EE3B01">
        <w:t>article</w:t>
      </w:r>
      <w:r w:rsidR="003F74FA">
        <w:t xml:space="preserve"> </w:t>
      </w:r>
      <w:r w:rsidRPr="00AF1D5F">
        <w:t xml:space="preserve">3 of the Convention, States parties are prohibited from expelling, returning or extraditing a person to another State where there exist substantial grounds for believing that he or she would be subjected to torture. To determine the existence of such grounds, the competent authorities must take into account all relevant considerations, including, where applicable, the existence in the State concerned of a consistent pattern of gross, flagrant or mass violations of human rights. </w:t>
      </w:r>
      <w:r w:rsidRPr="00AF1D5F">
        <w:rPr>
          <w:bCs/>
        </w:rPr>
        <w:t>W</w:t>
      </w:r>
      <w:r w:rsidRPr="00AF1D5F">
        <w:t>ith reference to the Com</w:t>
      </w:r>
      <w:r w:rsidRPr="003F74FA">
        <w:t>mittee’s general comment No. 1</w:t>
      </w:r>
      <w:r w:rsidR="003F74FA">
        <w:t xml:space="preserve"> (1997) on the implementation of article 3 of the Convention in the context of article 22</w:t>
      </w:r>
      <w:r w:rsidRPr="003F74FA">
        <w:t>, the Stat</w:t>
      </w:r>
      <w:r w:rsidRPr="00AF1D5F">
        <w:t xml:space="preserve">e party adds that the </w:t>
      </w:r>
      <w:r w:rsidR="00AC12EF" w:rsidRPr="00AF1D5F">
        <w:t xml:space="preserve">complainant </w:t>
      </w:r>
      <w:r w:rsidRPr="00AF1D5F">
        <w:t xml:space="preserve">should establish the existence of a “personal, present and real” risk of being subjected to torture upon return to the country of origin. The existence of such a risk must be assessed on grounds that go beyond mere theory or suspicion. Additional grounds must exist </w:t>
      </w:r>
      <w:r w:rsidR="008155B6">
        <w:t xml:space="preserve">in order </w:t>
      </w:r>
      <w:r w:rsidRPr="00AF1D5F">
        <w:t>for the risk of torture to qualify as real</w:t>
      </w:r>
      <w:r w:rsidR="002011B6">
        <w:t>.</w:t>
      </w:r>
      <w:r w:rsidRPr="00AF1D5F">
        <w:t xml:space="preserve"> The following elements must be taken </w:t>
      </w:r>
      <w:r w:rsidRPr="00AF1D5F">
        <w:lastRenderedPageBreak/>
        <w:t xml:space="preserve">into account </w:t>
      </w:r>
      <w:r w:rsidR="008155B6">
        <w:t>in</w:t>
      </w:r>
      <w:r w:rsidR="008155B6" w:rsidRPr="00AF1D5F">
        <w:t xml:space="preserve"> </w:t>
      </w:r>
      <w:r w:rsidRPr="00AF1D5F">
        <w:t>assess</w:t>
      </w:r>
      <w:r w:rsidR="008155B6">
        <w:t>ing</w:t>
      </w:r>
      <w:r w:rsidRPr="00AF1D5F">
        <w:t xml:space="preserve"> the existence of such a risk: evidence of a consistent pattern of gross, flagrant or mass violations of human rights in the country of origin; allegations of torture or ill-treatment sustained by the </w:t>
      </w:r>
      <w:r w:rsidR="00AC12EF" w:rsidRPr="00AF1D5F">
        <w:t xml:space="preserve">complainant </w:t>
      </w:r>
      <w:r w:rsidRPr="00AF1D5F">
        <w:t>in the recent past</w:t>
      </w:r>
      <w:r w:rsidR="00F12BB8">
        <w:t>,</w:t>
      </w:r>
      <w:r w:rsidRPr="00AF1D5F">
        <w:t xml:space="preserve"> and independent evidence thereof; political activity of the author within or outside the country of origin; evidence as to the credibility of the author; and factual inconsistencies in the claim of the </w:t>
      </w:r>
      <w:r w:rsidR="00AC12EF" w:rsidRPr="00AF1D5F">
        <w:t>complainant</w:t>
      </w:r>
      <w:r w:rsidR="002011B6">
        <w:t>.</w:t>
      </w:r>
      <w:r w:rsidR="00F74031">
        <w:rPr>
          <w:rStyle w:val="FootnoteReference"/>
        </w:rPr>
        <w:footnoteReference w:id="8"/>
      </w:r>
    </w:p>
    <w:p w:rsidR="00543645" w:rsidRPr="00AF1D5F" w:rsidRDefault="00543645" w:rsidP="008A6B20">
      <w:pPr>
        <w:pStyle w:val="SingleTxtG"/>
      </w:pPr>
      <w:r w:rsidRPr="00AF1D5F">
        <w:t>4.3</w:t>
      </w:r>
      <w:r w:rsidRPr="00AF1D5F">
        <w:tab/>
        <w:t xml:space="preserve">With regard to the existence of gross, flagrant or mass violations of human rights, the State party submits that this is not in itself a sufficient basis for concluding that an individual might be subjected to torture upon his or her return to </w:t>
      </w:r>
      <w:r w:rsidR="00A24214" w:rsidRPr="00AF1D5F">
        <w:t>the</w:t>
      </w:r>
      <w:r w:rsidRPr="00AF1D5F">
        <w:t xml:space="preserve"> country</w:t>
      </w:r>
      <w:r w:rsidR="00A24214" w:rsidRPr="00AF1D5F">
        <w:t xml:space="preserve"> of origin</w:t>
      </w:r>
      <w:r w:rsidRPr="00AF1D5F">
        <w:t xml:space="preserve">. The Committee should establish whether the individual concerned would be personally at risk </w:t>
      </w:r>
      <w:r w:rsidRPr="00AC519F">
        <w:t>of being subjected to torture in the country to which he or she would return.</w:t>
      </w:r>
      <w:r w:rsidR="00A71831" w:rsidRPr="00AC519F">
        <w:rPr>
          <w:rStyle w:val="FootnoteReference"/>
        </w:rPr>
        <w:footnoteReference w:id="9"/>
      </w:r>
      <w:r w:rsidRPr="00AC519F">
        <w:t xml:space="preserve"> Additional grounds should be adduced for the risk of torture to qualify as “foreseeable, real and personal” under</w:t>
      </w:r>
      <w:r w:rsidRPr="00AF1D5F">
        <w:t xml:space="preserve"> </w:t>
      </w:r>
      <w:r w:rsidR="00EE3B01">
        <w:t>article</w:t>
      </w:r>
      <w:r w:rsidR="008A6B20">
        <w:t xml:space="preserve"> </w:t>
      </w:r>
      <w:r w:rsidRPr="00AF1D5F">
        <w:t xml:space="preserve">3, </w:t>
      </w:r>
      <w:r w:rsidR="00EE3B01">
        <w:t>paragraph</w:t>
      </w:r>
      <w:r w:rsidR="008A6B20">
        <w:t xml:space="preserve"> </w:t>
      </w:r>
      <w:r w:rsidRPr="00AF1D5F">
        <w:t>1, of the Convention.</w:t>
      </w:r>
      <w:r w:rsidR="00A71831">
        <w:rPr>
          <w:rStyle w:val="FootnoteReference"/>
        </w:rPr>
        <w:footnoteReference w:id="10"/>
      </w:r>
      <w:r w:rsidRPr="00AF1D5F">
        <w:t xml:space="preserve"> The risk of torture must be assessed on grounds that go beyond mere theory or suspicion.</w:t>
      </w:r>
      <w:r w:rsidR="00A71831">
        <w:rPr>
          <w:rStyle w:val="FootnoteReference"/>
        </w:rPr>
        <w:footnoteReference w:id="11"/>
      </w:r>
    </w:p>
    <w:p w:rsidR="003A71D8" w:rsidRPr="00AF1D5F" w:rsidRDefault="003A71D8" w:rsidP="00D85E07">
      <w:pPr>
        <w:pStyle w:val="SingleTxtG"/>
      </w:pPr>
      <w:r w:rsidRPr="00AF1D5F">
        <w:rPr>
          <w:bCs/>
        </w:rPr>
        <w:t>4.4</w:t>
      </w:r>
      <w:r w:rsidRPr="00AF1D5F">
        <w:rPr>
          <w:bCs/>
        </w:rPr>
        <w:tab/>
        <w:t xml:space="preserve">Although the State party concedes that the human rights situation in </w:t>
      </w:r>
      <w:r w:rsidR="001616AD">
        <w:rPr>
          <w:bCs/>
        </w:rPr>
        <w:t>the Islamic Republic of Iran</w:t>
      </w:r>
      <w:r w:rsidRPr="00AF1D5F">
        <w:rPr>
          <w:bCs/>
        </w:rPr>
        <w:t xml:space="preserve"> is preoccupying, it reiterates that </w:t>
      </w:r>
      <w:r w:rsidRPr="00AF1D5F">
        <w:t xml:space="preserve">this </w:t>
      </w:r>
      <w:r w:rsidR="009914D7">
        <w:t xml:space="preserve">is </w:t>
      </w:r>
      <w:r w:rsidRPr="00AF1D5F">
        <w:t>not in itself sufficient ground</w:t>
      </w:r>
      <w:r w:rsidR="009914D7">
        <w:t>s</w:t>
      </w:r>
      <w:r w:rsidRPr="00AF1D5F">
        <w:t xml:space="preserve"> </w:t>
      </w:r>
      <w:r w:rsidR="009914D7">
        <w:t>for concluding</w:t>
      </w:r>
      <w:r w:rsidRPr="00AF1D5F">
        <w:t xml:space="preserve"> that the complainant might be subjected to torture in the event of </w:t>
      </w:r>
      <w:r w:rsidR="009914D7">
        <w:t xml:space="preserve">his </w:t>
      </w:r>
      <w:r w:rsidRPr="00AF1D5F">
        <w:t>removal. It argues that the complainant has failed to demonstrate that he would face a foreseeable, real and personal risk of being subjected to torture, if returned.</w:t>
      </w:r>
    </w:p>
    <w:p w:rsidR="00C10E46" w:rsidRPr="00AF1D5F" w:rsidRDefault="003A71D8" w:rsidP="00D04090">
      <w:pPr>
        <w:pStyle w:val="SingleTxtG"/>
      </w:pPr>
      <w:r w:rsidRPr="00AF1D5F">
        <w:t>4.5</w:t>
      </w:r>
      <w:r w:rsidRPr="00AF1D5F">
        <w:tab/>
      </w:r>
      <w:r w:rsidR="00D04090">
        <w:t>On the question of</w:t>
      </w:r>
      <w:r w:rsidR="00C10E46" w:rsidRPr="00AF1D5F">
        <w:t xml:space="preserve"> allegations of torture or ill-treatment sustained in the recent past</w:t>
      </w:r>
      <w:r w:rsidR="00D04090">
        <w:t>,</w:t>
      </w:r>
      <w:r w:rsidR="00C10E46" w:rsidRPr="00AF1D5F">
        <w:t xml:space="preserve"> and the existence of independent evidence thereof, the State party underlines that the complainant has not claimed to have been subjected to torture or ill-treatment in the past. Although he claimed before the asylum authorities that he had been hit in the van after his arrest on 27 December 2009, he has not mentioned </w:t>
      </w:r>
      <w:r w:rsidR="00D04090">
        <w:t>this</w:t>
      </w:r>
      <w:r w:rsidR="00D04090" w:rsidRPr="00AF1D5F">
        <w:t xml:space="preserve"> </w:t>
      </w:r>
      <w:r w:rsidR="00C10E46" w:rsidRPr="00AF1D5F">
        <w:t>in his communication to the Committee. In addition, the asylum authorities found his account incredible.</w:t>
      </w:r>
    </w:p>
    <w:p w:rsidR="00D96A44" w:rsidRPr="00AF1D5F" w:rsidRDefault="00D96A44" w:rsidP="00D757ED">
      <w:pPr>
        <w:pStyle w:val="SingleTxtG"/>
      </w:pPr>
      <w:r w:rsidRPr="00AF1D5F">
        <w:t>4.6</w:t>
      </w:r>
      <w:r w:rsidRPr="00AF1D5F">
        <w:tab/>
      </w:r>
      <w:r w:rsidR="00D04090">
        <w:t>On the question of</w:t>
      </w:r>
      <w:r w:rsidRPr="00AF1D5F">
        <w:t xml:space="preserve"> political activities pursued by the complainant, the State party notes</w:t>
      </w:r>
      <w:r w:rsidR="00700178" w:rsidRPr="00AF1D5F">
        <w:t xml:space="preserve"> that, </w:t>
      </w:r>
      <w:r w:rsidR="00D04090">
        <w:t>before both</w:t>
      </w:r>
      <w:r w:rsidR="00700178" w:rsidRPr="00AF1D5F">
        <w:t xml:space="preserve"> the Swiss asylum authorities and the Committee, the complainant argued that because of his political activities during his student years, he had been expelled from </w:t>
      </w:r>
      <w:r w:rsidR="00D04090">
        <w:t>u</w:t>
      </w:r>
      <w:r w:rsidR="00AF1D5F" w:rsidRPr="00AF1D5F">
        <w:t>niversity</w:t>
      </w:r>
      <w:r w:rsidR="00D04090">
        <w:t>,</w:t>
      </w:r>
      <w:r w:rsidR="00700178" w:rsidRPr="00AF1D5F">
        <w:t xml:space="preserve"> that he had participated in anti-</w:t>
      </w:r>
      <w:r w:rsidR="00D04090">
        <w:t>p</w:t>
      </w:r>
      <w:r w:rsidR="00700178" w:rsidRPr="00AF1D5F">
        <w:t>residential demonstrations after June 2009</w:t>
      </w:r>
      <w:r w:rsidR="00D04090">
        <w:t>,</w:t>
      </w:r>
      <w:r w:rsidR="00700178" w:rsidRPr="00AF1D5F">
        <w:t xml:space="preserve"> and that he had been arrested at the protest </w:t>
      </w:r>
      <w:r w:rsidR="00AC12EF" w:rsidRPr="00AF1D5F">
        <w:t>rally</w:t>
      </w:r>
      <w:r w:rsidR="00700178" w:rsidRPr="00AF1D5F">
        <w:t xml:space="preserve"> on 27 December 2009. The asylum authorities duly examined his allegations and </w:t>
      </w:r>
      <w:r w:rsidR="00DD12B5" w:rsidRPr="00AF1D5F">
        <w:t>found</w:t>
      </w:r>
      <w:r w:rsidR="00700178" w:rsidRPr="00AF1D5F">
        <w:t xml:space="preserve"> that they lacked credibility,</w:t>
      </w:r>
      <w:r w:rsidR="00581BAC" w:rsidRPr="00AF1D5F">
        <w:t xml:space="preserve"> particularly as they doubted that he had </w:t>
      </w:r>
      <w:r w:rsidR="002577B4">
        <w:t>left</w:t>
      </w:r>
      <w:r w:rsidR="002577B4" w:rsidRPr="00AF1D5F">
        <w:t xml:space="preserve"> </w:t>
      </w:r>
      <w:r w:rsidR="002407F4">
        <w:t xml:space="preserve">the Islamic Republic of </w:t>
      </w:r>
      <w:r w:rsidR="00581BAC" w:rsidRPr="00AF1D5F">
        <w:t xml:space="preserve">Iran </w:t>
      </w:r>
      <w:r w:rsidR="002407F4">
        <w:t>on account</w:t>
      </w:r>
      <w:r w:rsidR="002407F4" w:rsidRPr="00AF1D5F">
        <w:t xml:space="preserve"> </w:t>
      </w:r>
      <w:r w:rsidR="00581BAC" w:rsidRPr="00AF1D5F">
        <w:t xml:space="preserve">of his involvement in the December 2009 protests. </w:t>
      </w:r>
      <w:r w:rsidR="00DD12B5" w:rsidRPr="00AF1D5F">
        <w:t xml:space="preserve">Furthermore, the complainant has not explained how his former political activities would have exposed him to the risk of being subjected to torture upon return to </w:t>
      </w:r>
      <w:r w:rsidR="001616AD">
        <w:t>the Islamic Republic of Iran</w:t>
      </w:r>
      <w:r w:rsidR="00DD12B5" w:rsidRPr="00AF1D5F">
        <w:t xml:space="preserve">. Neither has he </w:t>
      </w:r>
      <w:r w:rsidR="008579B9">
        <w:t>claimed</w:t>
      </w:r>
      <w:r w:rsidR="008579B9" w:rsidRPr="00AF1D5F">
        <w:t xml:space="preserve"> </w:t>
      </w:r>
      <w:r w:rsidR="00DD12B5" w:rsidRPr="00AF1D5F">
        <w:t xml:space="preserve">to have been subjected to such treatment in </w:t>
      </w:r>
      <w:r w:rsidR="001616AD">
        <w:t>the Islamic Republic of Iran</w:t>
      </w:r>
      <w:r w:rsidR="008579B9">
        <w:t xml:space="preserve"> as a result</w:t>
      </w:r>
      <w:r w:rsidR="00DD12B5" w:rsidRPr="00AF1D5F">
        <w:t xml:space="preserve"> of his political activities</w:t>
      </w:r>
      <w:r w:rsidR="002407F4">
        <w:t>.</w:t>
      </w:r>
    </w:p>
    <w:p w:rsidR="00A869C6" w:rsidRPr="00AF1D5F" w:rsidRDefault="00DD12B5" w:rsidP="009B7D6F">
      <w:pPr>
        <w:pStyle w:val="SingleTxtG"/>
      </w:pPr>
      <w:r w:rsidRPr="00AF1D5F">
        <w:t>4.7</w:t>
      </w:r>
      <w:r w:rsidRPr="00AF1D5F">
        <w:tab/>
        <w:t xml:space="preserve">With regard to the credibility of the complainant and the factual consistency of his claims, the Swiss asylum authorities established that the </w:t>
      </w:r>
      <w:r w:rsidR="0033393E" w:rsidRPr="00AF1D5F">
        <w:t>complainant</w:t>
      </w:r>
      <w:r w:rsidRPr="00AF1D5F">
        <w:t>’s account was implausible.</w:t>
      </w:r>
      <w:r w:rsidR="00A869C6" w:rsidRPr="00AF1D5F">
        <w:t xml:space="preserve"> In particular, they found it unrealistic that the </w:t>
      </w:r>
      <w:r w:rsidR="0033393E" w:rsidRPr="00AF1D5F">
        <w:t>complainant</w:t>
      </w:r>
      <w:r w:rsidR="00A869C6" w:rsidRPr="00AF1D5F">
        <w:t xml:space="preserve"> would attack the offic</w:t>
      </w:r>
      <w:r w:rsidR="00222CAF" w:rsidRPr="00AF1D5F">
        <w:t>ials</w:t>
      </w:r>
      <w:r w:rsidR="00A869C6" w:rsidRPr="00AF1D5F">
        <w:t xml:space="preserve">, as he had submitted, </w:t>
      </w:r>
      <w:r w:rsidR="004E0AA8">
        <w:t xml:space="preserve">because </w:t>
      </w:r>
      <w:r w:rsidR="00A869C6" w:rsidRPr="00AF1D5F">
        <w:t xml:space="preserve">they had </w:t>
      </w:r>
      <w:r w:rsidR="004E7A18" w:rsidRPr="00AF1D5F">
        <w:t>harassed</w:t>
      </w:r>
      <w:r w:rsidR="00A869C6" w:rsidRPr="00AF1D5F">
        <w:t xml:space="preserve"> women and children during the 27 December 2009 demonstration. His allegations regarding the arrest in the van also appeared unrealistic. </w:t>
      </w:r>
      <w:r w:rsidR="0089051E">
        <w:t>Whereas</w:t>
      </w:r>
      <w:r w:rsidR="0089051E" w:rsidRPr="00AF1D5F">
        <w:t xml:space="preserve"> </w:t>
      </w:r>
      <w:r w:rsidR="00A869C6" w:rsidRPr="00AF1D5F">
        <w:t xml:space="preserve">at the first asylum interview, on 6 September 2010, he had submitted that the officers had counted the arrestees in the van every 15 minutes, at a later stage he had submitted that his arrest had lasted 10 minutes only. Furthermore, at the second asylum </w:t>
      </w:r>
      <w:r w:rsidR="00A869C6" w:rsidRPr="00AF1D5F">
        <w:lastRenderedPageBreak/>
        <w:t>interview, he had submitted that the officers</w:t>
      </w:r>
      <w:r w:rsidR="00DF1807" w:rsidRPr="00AF1D5F">
        <w:t xml:space="preserve"> had counted arrestees every 10 to 15</w:t>
      </w:r>
      <w:r w:rsidR="002011B6">
        <w:t> </w:t>
      </w:r>
      <w:r w:rsidR="00DF1807" w:rsidRPr="00AF1D5F">
        <w:t xml:space="preserve">minutes, that they had kicked him </w:t>
      </w:r>
      <w:r w:rsidR="009B7D6F">
        <w:t>three</w:t>
      </w:r>
      <w:r w:rsidR="00DF1807" w:rsidRPr="00AF1D5F">
        <w:t xml:space="preserve"> or </w:t>
      </w:r>
      <w:r w:rsidR="009B7D6F">
        <w:t>four</w:t>
      </w:r>
      <w:r w:rsidR="00DF1807" w:rsidRPr="00AF1D5F">
        <w:t xml:space="preserve"> times and that</w:t>
      </w:r>
      <w:r w:rsidR="002011B6">
        <w:t xml:space="preserve"> his arrest had not exceeded 30 </w:t>
      </w:r>
      <w:r w:rsidR="00DF1807" w:rsidRPr="00AF1D5F">
        <w:t>minutes.</w:t>
      </w:r>
      <w:r w:rsidR="00B71BC7" w:rsidRPr="00AF1D5F">
        <w:t xml:space="preserve"> The complainant had replied to the questions regarding the length of his arrest without hesitation</w:t>
      </w:r>
      <w:r w:rsidR="004E7A18" w:rsidRPr="00AF1D5F">
        <w:t xml:space="preserve">, </w:t>
      </w:r>
      <w:r w:rsidR="00B71BC7" w:rsidRPr="00AF1D5F">
        <w:t xml:space="preserve">without mentioning </w:t>
      </w:r>
      <w:r w:rsidR="004E7A18" w:rsidRPr="00AF1D5F">
        <w:t>any potential emotional distress he would have experienced while signing the transcript of the first asylum interview.</w:t>
      </w:r>
    </w:p>
    <w:p w:rsidR="00A869C6" w:rsidRPr="00AF1D5F" w:rsidRDefault="004E7A18" w:rsidP="00D757ED">
      <w:pPr>
        <w:pStyle w:val="SingleTxtG"/>
      </w:pPr>
      <w:r w:rsidRPr="00AF1D5F">
        <w:t>4.8</w:t>
      </w:r>
      <w:r w:rsidRPr="00AF1D5F">
        <w:tab/>
        <w:t xml:space="preserve">Moreover, </w:t>
      </w:r>
      <w:r w:rsidR="004456B1" w:rsidRPr="00AF1D5F">
        <w:t>the asylum authorities found that the complainant’s allegations of the kicks inflicted by the officer on the arrestees in the van</w:t>
      </w:r>
      <w:r w:rsidR="009E6529" w:rsidRPr="00AF1D5F">
        <w:t xml:space="preserve"> and his escape therefrom</w:t>
      </w:r>
      <w:r w:rsidR="004456B1" w:rsidRPr="00AF1D5F">
        <w:t xml:space="preserve"> were superficial in the circumstances. Furthermore, it did not appear credible that the arrestees, including the </w:t>
      </w:r>
      <w:r w:rsidR="0033393E" w:rsidRPr="00AF1D5F">
        <w:t>complainant</w:t>
      </w:r>
      <w:r w:rsidR="004456B1" w:rsidRPr="00AF1D5F">
        <w:t>, had been released from handcuffs, as that could have increased their escape risk. In addition, at the first asylum interview, the complainant had not mentioned that his handcuffs had been removed.</w:t>
      </w:r>
      <w:r w:rsidR="005648F2" w:rsidRPr="00AF1D5F">
        <w:t xml:space="preserve"> The complainant’s description of the escape from the van appeared incredible, particularly given the risk that he would have</w:t>
      </w:r>
      <w:r w:rsidR="004456B1" w:rsidRPr="00AF1D5F">
        <w:t xml:space="preserve"> </w:t>
      </w:r>
      <w:r w:rsidR="00D757ED">
        <w:t>been running by fighting</w:t>
      </w:r>
      <w:r w:rsidR="009A075E" w:rsidRPr="00AF1D5F">
        <w:t xml:space="preserve"> </w:t>
      </w:r>
      <w:r w:rsidR="005648F2" w:rsidRPr="00AF1D5F">
        <w:t xml:space="preserve">the officer in the van and his statement that the other arrestees had remained in the van after his and </w:t>
      </w:r>
      <w:r w:rsidR="00962F61" w:rsidRPr="00AF1D5F">
        <w:t xml:space="preserve">the other demonstrator’s </w:t>
      </w:r>
      <w:r w:rsidR="005648F2" w:rsidRPr="00AF1D5F">
        <w:t xml:space="preserve">escape. He had failed to explain how </w:t>
      </w:r>
      <w:r w:rsidR="00962F61" w:rsidRPr="00AF1D5F">
        <w:t>t</w:t>
      </w:r>
      <w:r w:rsidR="005648F2" w:rsidRPr="00AF1D5F">
        <w:t>he</w:t>
      </w:r>
      <w:r w:rsidR="00962F61" w:rsidRPr="00AF1D5F">
        <w:t>y</w:t>
      </w:r>
      <w:r w:rsidR="005648F2" w:rsidRPr="00AF1D5F">
        <w:t xml:space="preserve"> </w:t>
      </w:r>
      <w:r w:rsidR="009E6529" w:rsidRPr="00AF1D5F">
        <w:t xml:space="preserve">could have passed through </w:t>
      </w:r>
      <w:r w:rsidR="00962F61" w:rsidRPr="00AF1D5F">
        <w:t xml:space="preserve">the </w:t>
      </w:r>
      <w:r w:rsidR="00222CAF" w:rsidRPr="00AF1D5F">
        <w:t>officers</w:t>
      </w:r>
      <w:r w:rsidR="009E6529" w:rsidRPr="00AF1D5F">
        <w:t xml:space="preserve"> </w:t>
      </w:r>
      <w:r w:rsidR="0071082D">
        <w:t xml:space="preserve">who were </w:t>
      </w:r>
      <w:r w:rsidR="00962F61" w:rsidRPr="00AF1D5F">
        <w:t xml:space="preserve">patrolling </w:t>
      </w:r>
      <w:r w:rsidR="009E6529" w:rsidRPr="00AF1D5F">
        <w:t>outside the van.</w:t>
      </w:r>
      <w:r w:rsidR="0071082D">
        <w:t xml:space="preserve"> </w:t>
      </w:r>
    </w:p>
    <w:p w:rsidR="00956E81" w:rsidRPr="00AF1D5F" w:rsidRDefault="009E6529" w:rsidP="00D757ED">
      <w:pPr>
        <w:pStyle w:val="SingleTxtG"/>
      </w:pPr>
      <w:r w:rsidRPr="00AF1D5F">
        <w:t>4.9</w:t>
      </w:r>
      <w:r w:rsidRPr="00AF1D5F">
        <w:tab/>
        <w:t xml:space="preserve">The </w:t>
      </w:r>
      <w:r w:rsidR="009E0CD8">
        <w:t xml:space="preserve">State party submits that the </w:t>
      </w:r>
      <w:r w:rsidRPr="00AF1D5F">
        <w:t xml:space="preserve">asylum authorities considered </w:t>
      </w:r>
      <w:r w:rsidR="00956E81" w:rsidRPr="00AF1D5F">
        <w:t xml:space="preserve">it </w:t>
      </w:r>
      <w:r w:rsidR="00A869C6" w:rsidRPr="00AF1D5F">
        <w:t xml:space="preserve">incredible that </w:t>
      </w:r>
      <w:r w:rsidR="00956E81" w:rsidRPr="00AF1D5F">
        <w:t>the complainant’s</w:t>
      </w:r>
      <w:r w:rsidR="00A869C6" w:rsidRPr="00AF1D5F">
        <w:t xml:space="preserve"> brother’s </w:t>
      </w:r>
      <w:r w:rsidR="00560A30" w:rsidRPr="00AF1D5F">
        <w:t>banned</w:t>
      </w:r>
      <w:r w:rsidR="00A869C6" w:rsidRPr="00AF1D5F">
        <w:t xml:space="preserve"> material had been stored in their shared room</w:t>
      </w:r>
      <w:r w:rsidR="00956E81" w:rsidRPr="00AF1D5F">
        <w:t xml:space="preserve">, despite the alleged political activities of the complainant and his bad reputation with the Iranian authorities. It also found </w:t>
      </w:r>
      <w:r w:rsidR="005C171C">
        <w:t xml:space="preserve">it </w:t>
      </w:r>
      <w:r w:rsidR="00956E81" w:rsidRPr="00AF1D5F">
        <w:t xml:space="preserve">implausible that his brother had not </w:t>
      </w:r>
      <w:r w:rsidR="00560A30" w:rsidRPr="00AF1D5F">
        <w:t>experienced</w:t>
      </w:r>
      <w:r w:rsidR="00956E81" w:rsidRPr="00AF1D5F">
        <w:t xml:space="preserve"> </w:t>
      </w:r>
      <w:r w:rsidR="00560A30" w:rsidRPr="00AF1D5F">
        <w:t xml:space="preserve">problems with the authorities and that the complainant </w:t>
      </w:r>
      <w:r w:rsidR="00D757ED">
        <w:t>did not know</w:t>
      </w:r>
      <w:r w:rsidR="00D757ED" w:rsidRPr="00AF1D5F">
        <w:t xml:space="preserve"> </w:t>
      </w:r>
      <w:r w:rsidR="00560A30" w:rsidRPr="00AF1D5F">
        <w:t xml:space="preserve">where his brother had obtained </w:t>
      </w:r>
      <w:r w:rsidR="00222CAF" w:rsidRPr="00AF1D5F">
        <w:t xml:space="preserve">the </w:t>
      </w:r>
      <w:r w:rsidR="00560A30" w:rsidRPr="00AF1D5F">
        <w:t xml:space="preserve">banned publications. Furthermore, </w:t>
      </w:r>
      <w:r w:rsidR="0012450B" w:rsidRPr="00AF1D5F">
        <w:t>the complainant</w:t>
      </w:r>
      <w:r w:rsidR="00560A30" w:rsidRPr="00AF1D5F">
        <w:t xml:space="preserve"> has not provided any plausible explanation to the Committee as to why he had not </w:t>
      </w:r>
      <w:r w:rsidR="00603813">
        <w:t>made</w:t>
      </w:r>
      <w:r w:rsidR="00603813" w:rsidRPr="00AF1D5F">
        <w:t xml:space="preserve"> </w:t>
      </w:r>
      <w:r w:rsidR="00560A30" w:rsidRPr="00AF1D5F">
        <w:t>arrangements to destroy the banned material and to get hold of his travel documents before the official</w:t>
      </w:r>
      <w:r w:rsidR="00603813">
        <w:t>s</w:t>
      </w:r>
      <w:r w:rsidR="00560A30" w:rsidRPr="00AF1D5F">
        <w:t xml:space="preserve"> searched his parents’ house. The conduct of </w:t>
      </w:r>
      <w:r w:rsidR="00603813">
        <w:t>the</w:t>
      </w:r>
      <w:r w:rsidR="00603813" w:rsidRPr="00AF1D5F">
        <w:t xml:space="preserve"> </w:t>
      </w:r>
      <w:r w:rsidR="00560A30" w:rsidRPr="00AF1D5F">
        <w:t xml:space="preserve">officials during the search </w:t>
      </w:r>
      <w:r w:rsidR="002F5602" w:rsidRPr="00AF1D5F">
        <w:t>appear</w:t>
      </w:r>
      <w:r w:rsidR="00603813">
        <w:t>s</w:t>
      </w:r>
      <w:r w:rsidR="002F5602" w:rsidRPr="00AF1D5F">
        <w:t xml:space="preserve"> unrealistic, especially their alleged threats against the complainant’s father,</w:t>
      </w:r>
      <w:r w:rsidR="0012450B" w:rsidRPr="00AF1D5F">
        <w:t xml:space="preserve"> </w:t>
      </w:r>
      <w:r w:rsidR="002F5602" w:rsidRPr="00AF1D5F">
        <w:t xml:space="preserve">given the complainant’s failure to explain how they could have influenced the proceedings against him. </w:t>
      </w:r>
      <w:r w:rsidR="00222CAF" w:rsidRPr="00AF1D5F">
        <w:t xml:space="preserve">Neither </w:t>
      </w:r>
      <w:r w:rsidR="0088359C">
        <w:t>did the complainant provide</w:t>
      </w:r>
      <w:r w:rsidR="00222CAF" w:rsidRPr="00AF1D5F">
        <w:t xml:space="preserve"> </w:t>
      </w:r>
      <w:r w:rsidR="0012450B" w:rsidRPr="00AF1D5F">
        <w:t xml:space="preserve">a plausible explanation as to why all his documents had been kept in one single bag, except for his </w:t>
      </w:r>
      <w:r w:rsidR="006E6593">
        <w:t>identity</w:t>
      </w:r>
      <w:r w:rsidR="006E6593" w:rsidRPr="00AF1D5F">
        <w:t xml:space="preserve"> </w:t>
      </w:r>
      <w:r w:rsidR="0012450B" w:rsidRPr="00AF1D5F">
        <w:t xml:space="preserve">card which had allegedly </w:t>
      </w:r>
      <w:r w:rsidR="009015E9" w:rsidRPr="00AF1D5F">
        <w:t xml:space="preserve">been </w:t>
      </w:r>
      <w:r w:rsidR="006E6593">
        <w:t>kept</w:t>
      </w:r>
      <w:r w:rsidR="006E6593" w:rsidRPr="00AF1D5F">
        <w:t xml:space="preserve"> </w:t>
      </w:r>
      <w:r w:rsidR="009015E9" w:rsidRPr="00AF1D5F">
        <w:t xml:space="preserve">by </w:t>
      </w:r>
      <w:r w:rsidR="006E0EBA" w:rsidRPr="00AF1D5F">
        <w:t>his father.</w:t>
      </w:r>
      <w:r w:rsidR="00B2209E" w:rsidRPr="00AF1D5F">
        <w:t xml:space="preserve"> According to the asylum authorities, the complainant did not wish to </w:t>
      </w:r>
      <w:r w:rsidR="00D757ED">
        <w:t>show</w:t>
      </w:r>
      <w:r w:rsidR="00D757ED" w:rsidRPr="00AF1D5F">
        <w:t xml:space="preserve"> </w:t>
      </w:r>
      <w:r w:rsidR="00B2209E" w:rsidRPr="00AF1D5F">
        <w:t xml:space="preserve">his identity documents to the </w:t>
      </w:r>
      <w:r w:rsidR="00222CAF" w:rsidRPr="00AF1D5F">
        <w:t xml:space="preserve">asylum </w:t>
      </w:r>
      <w:r w:rsidR="00B2209E" w:rsidRPr="00AF1D5F">
        <w:t>authorities</w:t>
      </w:r>
      <w:r w:rsidR="0088359C">
        <w:t>,</w:t>
      </w:r>
      <w:r w:rsidR="00B2209E" w:rsidRPr="00AF1D5F">
        <w:t xml:space="preserve"> as </w:t>
      </w:r>
      <w:r w:rsidR="004E096A">
        <w:t>the</w:t>
      </w:r>
      <w:r w:rsidR="004E096A" w:rsidRPr="00AF1D5F">
        <w:t xml:space="preserve"> </w:t>
      </w:r>
      <w:r w:rsidR="00B2209E" w:rsidRPr="00AF1D5F">
        <w:t xml:space="preserve">documents would indicate the actual date of his departure from </w:t>
      </w:r>
      <w:r w:rsidR="001616AD">
        <w:t>the Islamic Republic of Iran</w:t>
      </w:r>
      <w:r w:rsidR="00B2209E" w:rsidRPr="00AF1D5F">
        <w:t xml:space="preserve"> and his travel itinerary.</w:t>
      </w:r>
    </w:p>
    <w:p w:rsidR="00560A30" w:rsidRPr="00AF1D5F" w:rsidRDefault="00560A30" w:rsidP="00D06A0C">
      <w:pPr>
        <w:pStyle w:val="SingleTxtG"/>
      </w:pPr>
      <w:r w:rsidRPr="00AF1D5F">
        <w:t>4.10</w:t>
      </w:r>
      <w:r w:rsidRPr="00AF1D5F">
        <w:tab/>
      </w:r>
      <w:r w:rsidR="00CE3105" w:rsidRPr="00AF1D5F">
        <w:t xml:space="preserve">Furthermore, the asylum authorities considered that the complainant’s allegations were unsubstantiated. </w:t>
      </w:r>
      <w:r w:rsidR="00B524F1" w:rsidRPr="00AF1D5F">
        <w:t>H</w:t>
      </w:r>
      <w:r w:rsidR="00020FC3" w:rsidRPr="00AF1D5F">
        <w:t xml:space="preserve">e </w:t>
      </w:r>
      <w:r w:rsidR="00573B81" w:rsidRPr="00AF1D5F">
        <w:t xml:space="preserve">had </w:t>
      </w:r>
      <w:r w:rsidR="00020FC3" w:rsidRPr="00AF1D5F">
        <w:t xml:space="preserve">failed to explain the </w:t>
      </w:r>
      <w:r w:rsidR="00441F1D" w:rsidRPr="00AF1D5F">
        <w:t>origin of his brother’s</w:t>
      </w:r>
      <w:r w:rsidR="00B524F1" w:rsidRPr="00AF1D5F">
        <w:t xml:space="preserve"> </w:t>
      </w:r>
      <w:r w:rsidR="00441F1D" w:rsidRPr="00AF1D5F">
        <w:t>banned publications,</w:t>
      </w:r>
      <w:r w:rsidR="00B524F1" w:rsidRPr="00AF1D5F">
        <w:t xml:space="preserve"> </w:t>
      </w:r>
      <w:r w:rsidR="004F2062" w:rsidRPr="00AF1D5F">
        <w:t xml:space="preserve">and </w:t>
      </w:r>
      <w:r w:rsidR="00573B81" w:rsidRPr="00AF1D5F">
        <w:t>had</w:t>
      </w:r>
      <w:r w:rsidR="00B524F1" w:rsidRPr="00AF1D5F">
        <w:t xml:space="preserve"> </w:t>
      </w:r>
      <w:r w:rsidR="005638D6" w:rsidRPr="00AF1D5F">
        <w:t xml:space="preserve">not </w:t>
      </w:r>
      <w:r w:rsidR="00B524F1" w:rsidRPr="00AF1D5F">
        <w:t>provide</w:t>
      </w:r>
      <w:r w:rsidR="00573B81" w:rsidRPr="00AF1D5F">
        <w:t>d</w:t>
      </w:r>
      <w:r w:rsidR="00B524F1" w:rsidRPr="00AF1D5F">
        <w:t xml:space="preserve"> a detailed description of the demonstrator with whom he had escaped from the van, or of the officer who </w:t>
      </w:r>
      <w:r w:rsidR="004F2062" w:rsidRPr="00AF1D5F">
        <w:t xml:space="preserve">had </w:t>
      </w:r>
      <w:r w:rsidR="00E811E8" w:rsidRPr="00AF1D5F">
        <w:t xml:space="preserve">administrated </w:t>
      </w:r>
      <w:r w:rsidR="00D06A0C">
        <w:t>kicks to them</w:t>
      </w:r>
      <w:r w:rsidR="00B524F1" w:rsidRPr="00AF1D5F">
        <w:t xml:space="preserve"> in the van. Furthermore, he </w:t>
      </w:r>
      <w:r w:rsidR="00573B81" w:rsidRPr="00AF1D5F">
        <w:t>had</w:t>
      </w:r>
      <w:r w:rsidR="00B524F1" w:rsidRPr="00AF1D5F">
        <w:t xml:space="preserve"> not provide</w:t>
      </w:r>
      <w:r w:rsidR="00573B81" w:rsidRPr="00AF1D5F">
        <w:t>d</w:t>
      </w:r>
      <w:r w:rsidR="00B524F1" w:rsidRPr="00AF1D5F">
        <w:t xml:space="preserve"> a sufficiently detailed description of the three visits by officials to his parents’</w:t>
      </w:r>
      <w:r w:rsidR="00146E04" w:rsidRPr="00AF1D5F">
        <w:t xml:space="preserve"> house,</w:t>
      </w:r>
      <w:r w:rsidR="00B50B12" w:rsidRPr="00AF1D5F">
        <w:t xml:space="preserve"> </w:t>
      </w:r>
      <w:r w:rsidR="00146E04" w:rsidRPr="00AF1D5F">
        <w:t>particular</w:t>
      </w:r>
      <w:r w:rsidR="00E9392D" w:rsidRPr="00AF1D5F">
        <w:t>ly of</w:t>
      </w:r>
      <w:r w:rsidR="00B50B12" w:rsidRPr="00AF1D5F">
        <w:t xml:space="preserve"> his </w:t>
      </w:r>
      <w:r w:rsidR="00146E04" w:rsidRPr="00AF1D5F">
        <w:t>parents</w:t>
      </w:r>
      <w:r w:rsidR="00B50B12" w:rsidRPr="00AF1D5F">
        <w:t xml:space="preserve">’ behaviour </w:t>
      </w:r>
      <w:r w:rsidR="00146E04" w:rsidRPr="00AF1D5F">
        <w:t xml:space="preserve">during those visits. </w:t>
      </w:r>
    </w:p>
    <w:p w:rsidR="00375DE7" w:rsidRPr="00AF1D5F" w:rsidRDefault="00647F13" w:rsidP="00E31A55">
      <w:pPr>
        <w:pStyle w:val="SingleTxtG"/>
      </w:pPr>
      <w:r w:rsidRPr="00AF1D5F">
        <w:t>4.11</w:t>
      </w:r>
      <w:r w:rsidRPr="00AF1D5F">
        <w:tab/>
        <w:t>The asylum authorities considered that the summons of the Revolutionary Tribunal had no evidentiary value</w:t>
      </w:r>
      <w:r w:rsidR="001B6717">
        <w:t>,</w:t>
      </w:r>
      <w:r w:rsidRPr="00AF1D5F">
        <w:t xml:space="preserve"> as such documents could be easily falsified in </w:t>
      </w:r>
      <w:r w:rsidR="001616AD">
        <w:t>the Islamic Republic of Iran</w:t>
      </w:r>
      <w:r w:rsidRPr="00AF1D5F">
        <w:t xml:space="preserve">. </w:t>
      </w:r>
      <w:r w:rsidR="00121CC3" w:rsidRPr="00AF1D5F">
        <w:t>The complainant had not provided other judicial document</w:t>
      </w:r>
      <w:r w:rsidR="00E65EC1" w:rsidRPr="00AF1D5F">
        <w:t>s</w:t>
      </w:r>
      <w:r w:rsidR="00E811E8" w:rsidRPr="00AF1D5F">
        <w:t>,</w:t>
      </w:r>
      <w:r w:rsidR="00121CC3" w:rsidRPr="00AF1D5F">
        <w:t xml:space="preserve"> which could be more difficult to forge. The address indicated on the summons was different from the address he had indicated at the asylum interviews. The complainant</w:t>
      </w:r>
      <w:r w:rsidR="00E65EC1" w:rsidRPr="00AF1D5F">
        <w:t xml:space="preserve"> had</w:t>
      </w:r>
      <w:r w:rsidR="00121CC3" w:rsidRPr="00AF1D5F">
        <w:t xml:space="preserve"> specified neither the contents of the summons nor when he had received it</w:t>
      </w:r>
      <w:r w:rsidR="001B6717">
        <w:t>,</w:t>
      </w:r>
      <w:r w:rsidR="00121CC3" w:rsidRPr="00AF1D5F">
        <w:t xml:space="preserve"> </w:t>
      </w:r>
      <w:r w:rsidR="001B6717">
        <w:t>n</w:t>
      </w:r>
      <w:r w:rsidR="00121CC3" w:rsidRPr="00AF1D5F">
        <w:t>or when he had familiari</w:t>
      </w:r>
      <w:r w:rsidR="001B6717">
        <w:t>z</w:t>
      </w:r>
      <w:r w:rsidR="00121CC3" w:rsidRPr="00AF1D5F">
        <w:t xml:space="preserve">ed himself with its contents, although he had allegedly discussed those details in a telephone conversation with his father. </w:t>
      </w:r>
      <w:r w:rsidR="00DE49D6" w:rsidRPr="00AF1D5F">
        <w:t>Given that</w:t>
      </w:r>
      <w:r w:rsidR="008919E9" w:rsidRPr="00AF1D5F">
        <w:t xml:space="preserve"> </w:t>
      </w:r>
      <w:r w:rsidR="001E419F" w:rsidRPr="00AF1D5F">
        <w:t>summons are</w:t>
      </w:r>
      <w:r w:rsidR="008919E9" w:rsidRPr="00AF1D5F">
        <w:t xml:space="preserve"> generally</w:t>
      </w:r>
      <w:r w:rsidR="001E419F" w:rsidRPr="00AF1D5F">
        <w:t xml:space="preserve"> issued in the middle of proceedings</w:t>
      </w:r>
      <w:r w:rsidR="00DE49D6" w:rsidRPr="00AF1D5F">
        <w:t>,</w:t>
      </w:r>
      <w:r w:rsidR="001E419F" w:rsidRPr="00AF1D5F">
        <w:t xml:space="preserve"> the complainant </w:t>
      </w:r>
      <w:r w:rsidR="00E65EC1" w:rsidRPr="00AF1D5F">
        <w:t>had</w:t>
      </w:r>
      <w:r w:rsidR="00DE49D6" w:rsidRPr="00AF1D5F">
        <w:t xml:space="preserve"> </w:t>
      </w:r>
      <w:r w:rsidR="001E419F" w:rsidRPr="00AF1D5F">
        <w:t xml:space="preserve">not </w:t>
      </w:r>
      <w:r w:rsidR="00DE49D6" w:rsidRPr="00AF1D5F">
        <w:t>explain</w:t>
      </w:r>
      <w:r w:rsidR="00E65EC1" w:rsidRPr="00AF1D5F">
        <w:t>ed</w:t>
      </w:r>
      <w:r w:rsidR="001E419F" w:rsidRPr="00AF1D5F">
        <w:t xml:space="preserve"> </w:t>
      </w:r>
      <w:r w:rsidR="00DE49D6" w:rsidRPr="00AF1D5F">
        <w:t xml:space="preserve">what had happened to other procedural documents, which should have been issued at an earlier stage of the proceedings, such as a notification for questioning by the police, </w:t>
      </w:r>
      <w:r w:rsidR="00477F4E">
        <w:t xml:space="preserve">by </w:t>
      </w:r>
      <w:r w:rsidR="00DE49D6" w:rsidRPr="00AF1D5F">
        <w:t xml:space="preserve">an investigating magistrate or </w:t>
      </w:r>
      <w:r w:rsidR="00477F4E">
        <w:t xml:space="preserve">by </w:t>
      </w:r>
      <w:r w:rsidR="00DE49D6" w:rsidRPr="00AF1D5F">
        <w:t>the Ministry of the Interior. Yet</w:t>
      </w:r>
      <w:r w:rsidR="00E31A55">
        <w:t>,</w:t>
      </w:r>
      <w:r w:rsidR="00DE49D6" w:rsidRPr="00AF1D5F">
        <w:t xml:space="preserve"> in </w:t>
      </w:r>
      <w:r w:rsidR="001616AD">
        <w:t>the Islamic Republic of Iran</w:t>
      </w:r>
      <w:r w:rsidR="00DE49D6" w:rsidRPr="00AF1D5F">
        <w:t xml:space="preserve">, </w:t>
      </w:r>
      <w:r w:rsidR="00391A46" w:rsidRPr="00AF1D5F">
        <w:t xml:space="preserve">indictment </w:t>
      </w:r>
      <w:r w:rsidR="00AD4E4C" w:rsidRPr="00AF1D5F">
        <w:t xml:space="preserve">by the Ministry of the Interior, as was alleged in the complainant’s case, </w:t>
      </w:r>
      <w:r w:rsidR="00391A46" w:rsidRPr="00AF1D5F">
        <w:t xml:space="preserve">is preceded by </w:t>
      </w:r>
      <w:r w:rsidR="00AD4E4C" w:rsidRPr="00AF1D5F">
        <w:t xml:space="preserve">investigation. </w:t>
      </w:r>
      <w:r w:rsidR="00E65EC1" w:rsidRPr="00AF1D5F">
        <w:t>The State party submits that t</w:t>
      </w:r>
      <w:r w:rsidR="00BE181F" w:rsidRPr="00AF1D5F">
        <w:t>he conclusions of the asylum authorities cannot be overturned by the</w:t>
      </w:r>
      <w:r w:rsidR="00AD4E4C" w:rsidRPr="00AF1D5F">
        <w:t xml:space="preserve"> </w:t>
      </w:r>
      <w:r w:rsidR="00AD4E4C" w:rsidRPr="00AF1D5F">
        <w:lastRenderedPageBreak/>
        <w:t xml:space="preserve">complainant’s argument that forged documents </w:t>
      </w:r>
      <w:r w:rsidR="00CE139A" w:rsidRPr="00AF1D5F">
        <w:t>were</w:t>
      </w:r>
      <w:r w:rsidR="00AD4E4C" w:rsidRPr="00AF1D5F">
        <w:t xml:space="preserve"> rare</w:t>
      </w:r>
      <w:r w:rsidR="00E811E8" w:rsidRPr="00AF1D5F">
        <w:t>ly</w:t>
      </w:r>
      <w:r w:rsidR="00375DE7" w:rsidRPr="00AF1D5F">
        <w:t xml:space="preserve"> use</w:t>
      </w:r>
      <w:r w:rsidR="004F2062" w:rsidRPr="00AF1D5F">
        <w:t>d</w:t>
      </w:r>
      <w:r w:rsidR="00AD4E4C" w:rsidRPr="00AF1D5F">
        <w:t xml:space="preserve"> in </w:t>
      </w:r>
      <w:r w:rsidR="001616AD">
        <w:t>the Islamic Republic of Iran</w:t>
      </w:r>
      <w:r w:rsidR="00375DE7" w:rsidRPr="00AF1D5F">
        <w:t>, that arrest warrants are normally not handed over to suspects</w:t>
      </w:r>
      <w:r w:rsidR="00E31A55">
        <w:t>,</w:t>
      </w:r>
      <w:r w:rsidR="00375DE7" w:rsidRPr="00AF1D5F">
        <w:t xml:space="preserve"> and that the address indicated on the summons is commonly used as the nearest reference to </w:t>
      </w:r>
      <w:r w:rsidR="00E31A55">
        <w:t>the</w:t>
      </w:r>
      <w:r w:rsidR="00E31A55" w:rsidRPr="00AF1D5F">
        <w:t xml:space="preserve"> </w:t>
      </w:r>
      <w:r w:rsidR="00375DE7" w:rsidRPr="00AF1D5F">
        <w:t xml:space="preserve">exact address. </w:t>
      </w:r>
    </w:p>
    <w:p w:rsidR="009D479D" w:rsidRPr="00AF1D5F" w:rsidRDefault="009D479D" w:rsidP="006D6B67">
      <w:pPr>
        <w:pStyle w:val="SingleTxtG"/>
      </w:pPr>
      <w:r w:rsidRPr="00AF1D5F">
        <w:t>4.12</w:t>
      </w:r>
      <w:r w:rsidRPr="00AF1D5F">
        <w:tab/>
        <w:t>Furthermore, the asylum authorities stated that the complainant had failed to ind</w:t>
      </w:r>
      <w:r w:rsidR="00F676B7" w:rsidRPr="00AF1D5F">
        <w:t>icate his exact travel itinerary, which was unusual from him as a student.</w:t>
      </w:r>
      <w:r w:rsidRPr="00AF1D5F">
        <w:t xml:space="preserve"> </w:t>
      </w:r>
      <w:r w:rsidR="00F676B7" w:rsidRPr="00AF1D5F">
        <w:t xml:space="preserve">His account </w:t>
      </w:r>
      <w:r w:rsidR="00C218DC" w:rsidRPr="00AF1D5F">
        <w:t>lacked personal details, including regarding the charges against him</w:t>
      </w:r>
      <w:r w:rsidR="00E9392D" w:rsidRPr="00AF1D5F">
        <w:t xml:space="preserve"> in </w:t>
      </w:r>
      <w:r w:rsidR="001616AD">
        <w:t>the Islamic Republic of Iran</w:t>
      </w:r>
      <w:r w:rsidR="00C218DC" w:rsidRPr="00AF1D5F">
        <w:t xml:space="preserve">, which </w:t>
      </w:r>
      <w:r w:rsidR="006E501A">
        <w:t>normally should have</w:t>
      </w:r>
      <w:r w:rsidR="00C218DC" w:rsidRPr="00AF1D5F">
        <w:t xml:space="preserve"> prompted him to take the necessary personal security measures. </w:t>
      </w:r>
      <w:r w:rsidR="006E501A">
        <w:t>Moreover</w:t>
      </w:r>
      <w:r w:rsidR="00C218DC" w:rsidRPr="00AF1D5F">
        <w:t>, it had never been alleged, in the course of the asylum proceedings, that the complainant had suffered from post-traumatic stress disorder or that</w:t>
      </w:r>
      <w:r w:rsidR="000D3336" w:rsidRPr="00AF1D5F">
        <w:t xml:space="preserve"> such disorder</w:t>
      </w:r>
      <w:r w:rsidR="00C218DC" w:rsidRPr="00AF1D5F">
        <w:t xml:space="preserve"> had </w:t>
      </w:r>
      <w:r w:rsidR="009827B4" w:rsidRPr="00AF1D5F">
        <w:t xml:space="preserve">caused </w:t>
      </w:r>
      <w:r w:rsidR="006E501A">
        <w:t xml:space="preserve">a </w:t>
      </w:r>
      <w:r w:rsidR="009827B4" w:rsidRPr="00AF1D5F">
        <w:t>divergence in his statements</w:t>
      </w:r>
      <w:r w:rsidR="000D3336" w:rsidRPr="00AF1D5F">
        <w:t xml:space="preserve"> </w:t>
      </w:r>
      <w:r w:rsidR="006E501A">
        <w:t>to</w:t>
      </w:r>
      <w:r w:rsidR="006E501A" w:rsidRPr="00AF1D5F">
        <w:t xml:space="preserve"> </w:t>
      </w:r>
      <w:r w:rsidR="000D3336" w:rsidRPr="00AF1D5F">
        <w:t>the asylum authorities.</w:t>
      </w:r>
    </w:p>
    <w:p w:rsidR="00170805" w:rsidRPr="00AF1D5F" w:rsidRDefault="000D3336" w:rsidP="00B05023">
      <w:pPr>
        <w:pStyle w:val="SingleTxtG"/>
      </w:pPr>
      <w:r w:rsidRPr="00AF1D5F">
        <w:t>4.13</w:t>
      </w:r>
      <w:r w:rsidRPr="00AF1D5F">
        <w:tab/>
        <w:t xml:space="preserve">The asylum authorities established that the complainant had failed to prove that he had left </w:t>
      </w:r>
      <w:r w:rsidR="001616AD">
        <w:t>the Islamic Republic of Iran</w:t>
      </w:r>
      <w:r w:rsidRPr="00AF1D5F">
        <w:t xml:space="preserve"> illegally</w:t>
      </w:r>
      <w:r w:rsidR="00E65EC1" w:rsidRPr="00AF1D5F">
        <w:t>. The State party submits that t</w:t>
      </w:r>
      <w:r w:rsidRPr="00AF1D5F">
        <w:t>he lack of credibility of his allegations of persecution</w:t>
      </w:r>
      <w:r w:rsidR="00E65EC1" w:rsidRPr="00AF1D5F">
        <w:t xml:space="preserve"> confirms th</w:t>
      </w:r>
      <w:r w:rsidR="00AB5BA7">
        <w:t>at</w:t>
      </w:r>
      <w:r w:rsidR="00E65EC1" w:rsidRPr="00AF1D5F">
        <w:t xml:space="preserve"> conclusion</w:t>
      </w:r>
      <w:r w:rsidRPr="00AF1D5F">
        <w:t>. Furthermore, even if the complainant</w:t>
      </w:r>
      <w:r w:rsidR="00F20B8B" w:rsidRPr="00AF1D5F">
        <w:t xml:space="preserve"> had</w:t>
      </w:r>
      <w:r w:rsidRPr="00AF1D5F">
        <w:t xml:space="preserve"> demonstrated that he had departed from his country of origin illegally and that his asylum application had been brought to the attention of the Iranian authorities, </w:t>
      </w:r>
      <w:r w:rsidR="00B05023">
        <w:t>this</w:t>
      </w:r>
      <w:r w:rsidR="00B05023" w:rsidRPr="00AF1D5F">
        <w:t xml:space="preserve"> </w:t>
      </w:r>
      <w:r w:rsidRPr="00AF1D5F">
        <w:t xml:space="preserve">would not </w:t>
      </w:r>
      <w:r w:rsidR="00B05023">
        <w:t>be</w:t>
      </w:r>
      <w:r w:rsidRPr="00AF1D5F">
        <w:t xml:space="preserve"> sufficient</w:t>
      </w:r>
      <w:r w:rsidR="00E811E8" w:rsidRPr="00AF1D5F">
        <w:t xml:space="preserve">, per se, </w:t>
      </w:r>
      <w:r w:rsidRPr="00AF1D5F">
        <w:t>to conclude that he would be at</w:t>
      </w:r>
      <w:r w:rsidR="00627398" w:rsidRPr="00AF1D5F">
        <w:t xml:space="preserve"> </w:t>
      </w:r>
      <w:r w:rsidRPr="00AF1D5F">
        <w:t xml:space="preserve">risk of </w:t>
      </w:r>
      <w:r w:rsidR="00170805" w:rsidRPr="00AF1D5F">
        <w:t xml:space="preserve">being subjected to ill-treatment or persecution in his country of origin. </w:t>
      </w:r>
    </w:p>
    <w:p w:rsidR="004C0E63" w:rsidRPr="00AF1D5F" w:rsidRDefault="004C0E63" w:rsidP="00F57278">
      <w:pPr>
        <w:pStyle w:val="SingleTxtG"/>
      </w:pPr>
      <w:r w:rsidRPr="00AF1D5F">
        <w:t>4.14</w:t>
      </w:r>
      <w:r w:rsidRPr="00AF1D5F">
        <w:tab/>
        <w:t xml:space="preserve">The State party submits that, in </w:t>
      </w:r>
      <w:r w:rsidR="00E65EC1" w:rsidRPr="00AF1D5F">
        <w:t xml:space="preserve">the </w:t>
      </w:r>
      <w:r w:rsidRPr="00AF1D5F">
        <w:t xml:space="preserve">light of the foregoing, there are no substantial grounds to fear that the complainant would be concretely and personally exposed to torture if </w:t>
      </w:r>
      <w:r w:rsidR="00F57278">
        <w:t xml:space="preserve">he were </w:t>
      </w:r>
      <w:r w:rsidRPr="00AF1D5F">
        <w:t xml:space="preserve">returned to </w:t>
      </w:r>
      <w:r w:rsidR="001616AD">
        <w:t>the Islamic Republic of Iran</w:t>
      </w:r>
      <w:r w:rsidRPr="00AF1D5F">
        <w:t xml:space="preserve">. His allegations and </w:t>
      </w:r>
      <w:r w:rsidR="004112FA" w:rsidRPr="00AF1D5F">
        <w:t xml:space="preserve">the </w:t>
      </w:r>
      <w:r w:rsidRPr="00AF1D5F">
        <w:t xml:space="preserve">evidence provided do not </w:t>
      </w:r>
      <w:r w:rsidR="004112FA" w:rsidRPr="00AF1D5F">
        <w:t xml:space="preserve">allow </w:t>
      </w:r>
      <w:r w:rsidR="00F57278">
        <w:t>the conclusion to be drawn</w:t>
      </w:r>
      <w:r w:rsidRPr="00AF1D5F">
        <w:t xml:space="preserve"> that his return would expose him to a foreseeable, real and personal risk of torture. The State party, therefore, invites the Committee to find that the return of the complainant to </w:t>
      </w:r>
      <w:r w:rsidR="001616AD">
        <w:t>the Islamic Republic of Iran</w:t>
      </w:r>
      <w:r w:rsidRPr="00AF1D5F">
        <w:t xml:space="preserve"> would not constitute a violation of the international obligations of Switzerland under </w:t>
      </w:r>
      <w:r w:rsidR="00EE3B01">
        <w:t>article </w:t>
      </w:r>
      <w:r w:rsidRPr="00AF1D5F">
        <w:t>3 of the Convention.</w:t>
      </w:r>
    </w:p>
    <w:p w:rsidR="006B2667" w:rsidRPr="00AF1D5F" w:rsidRDefault="006B2667" w:rsidP="008344D2">
      <w:pPr>
        <w:pStyle w:val="H23G"/>
      </w:pPr>
      <w:r w:rsidRPr="00AF1D5F">
        <w:tab/>
      </w:r>
      <w:r w:rsidRPr="00AF1D5F">
        <w:tab/>
      </w:r>
      <w:r w:rsidR="00C0386D" w:rsidRPr="00AF1D5F">
        <w:t>C</w:t>
      </w:r>
      <w:r w:rsidRPr="00AF1D5F">
        <w:t>omplainant’</w:t>
      </w:r>
      <w:r w:rsidR="000105FF" w:rsidRPr="00AF1D5F">
        <w:t>s</w:t>
      </w:r>
      <w:r w:rsidRPr="00AF1D5F">
        <w:t xml:space="preserve"> comments on the State party’s observations</w:t>
      </w:r>
      <w:r w:rsidR="00477218">
        <w:t>,</w:t>
      </w:r>
      <w:r w:rsidR="000105FF" w:rsidRPr="00AF1D5F">
        <w:t xml:space="preserve"> and further submissions</w:t>
      </w:r>
    </w:p>
    <w:p w:rsidR="000105FF" w:rsidRPr="00AF1D5F" w:rsidRDefault="006B2667" w:rsidP="00432B4F">
      <w:pPr>
        <w:pStyle w:val="SingleTxtG"/>
      </w:pPr>
      <w:r w:rsidRPr="00AF1D5F">
        <w:t>5.1</w:t>
      </w:r>
      <w:r w:rsidRPr="00AF1D5F">
        <w:tab/>
        <w:t xml:space="preserve">On </w:t>
      </w:r>
      <w:r w:rsidR="000105FF" w:rsidRPr="00AF1D5F">
        <w:t>3 April</w:t>
      </w:r>
      <w:r w:rsidRPr="00AF1D5F">
        <w:t xml:space="preserve"> 2012, the complainant </w:t>
      </w:r>
      <w:r w:rsidR="00E811E8" w:rsidRPr="00AF1D5F">
        <w:t xml:space="preserve">presented his </w:t>
      </w:r>
      <w:r w:rsidR="000105FF" w:rsidRPr="00AF1D5F">
        <w:t>comment</w:t>
      </w:r>
      <w:r w:rsidR="00E811E8" w:rsidRPr="00AF1D5F">
        <w:t>s</w:t>
      </w:r>
      <w:r w:rsidR="000105FF" w:rsidRPr="00AF1D5F">
        <w:t xml:space="preserve"> on the State party’s observations. He reiterates </w:t>
      </w:r>
      <w:r w:rsidR="001D64AC" w:rsidRPr="00AF1D5F">
        <w:t xml:space="preserve">that his deportation to </w:t>
      </w:r>
      <w:r w:rsidR="001616AD">
        <w:t>the Islamic Republic of Iran</w:t>
      </w:r>
      <w:r w:rsidR="001D64AC" w:rsidRPr="00AF1D5F">
        <w:t xml:space="preserve"> would expose him to a real and personal risk of being s</w:t>
      </w:r>
      <w:r w:rsidR="00397788" w:rsidRPr="00AF1D5F">
        <w:t xml:space="preserve">ubjected to arrest and torture, particularly in </w:t>
      </w:r>
      <w:r w:rsidR="00E65EC1" w:rsidRPr="00AF1D5F">
        <w:t xml:space="preserve">the </w:t>
      </w:r>
      <w:r w:rsidR="00397788" w:rsidRPr="00AF1D5F">
        <w:t xml:space="preserve">light of his repeated criticism of the </w:t>
      </w:r>
      <w:r w:rsidR="00532B14" w:rsidRPr="00AF1D5F">
        <w:t xml:space="preserve">Iranian </w:t>
      </w:r>
      <w:r w:rsidR="00397788" w:rsidRPr="00AF1D5F">
        <w:t>political regime</w:t>
      </w:r>
      <w:r w:rsidR="00432B4F">
        <w:t>,</w:t>
      </w:r>
      <w:r w:rsidR="00397788" w:rsidRPr="00AF1D5F">
        <w:t xml:space="preserve"> his belonging to a group of politically active students</w:t>
      </w:r>
      <w:r w:rsidR="00432B4F">
        <w:t>,</w:t>
      </w:r>
      <w:r w:rsidR="00397788" w:rsidRPr="00AF1D5F">
        <w:t xml:space="preserve"> his ex</w:t>
      </w:r>
      <w:r w:rsidR="003C2CD0" w:rsidRPr="00AF1D5F">
        <w:t>pulsion</w:t>
      </w:r>
      <w:r w:rsidR="00397788" w:rsidRPr="00AF1D5F">
        <w:t xml:space="preserve"> from </w:t>
      </w:r>
      <w:r w:rsidR="00432B4F">
        <w:t>u</w:t>
      </w:r>
      <w:r w:rsidR="00AF1D5F" w:rsidRPr="00AF1D5F">
        <w:t>niversity</w:t>
      </w:r>
      <w:r w:rsidR="00432B4F">
        <w:t>,</w:t>
      </w:r>
      <w:r w:rsidR="00397788" w:rsidRPr="00AF1D5F">
        <w:t xml:space="preserve"> his accusation of fomenting unrest</w:t>
      </w:r>
      <w:r w:rsidR="00432B4F">
        <w:t>,</w:t>
      </w:r>
      <w:r w:rsidR="00397788" w:rsidRPr="00AF1D5F">
        <w:t xml:space="preserve"> his participatio</w:t>
      </w:r>
      <w:r w:rsidR="00222612" w:rsidRPr="00AF1D5F">
        <w:t xml:space="preserve">n in demonstrations against the Iranian </w:t>
      </w:r>
      <w:r w:rsidR="00432B4F">
        <w:t>G</w:t>
      </w:r>
      <w:r w:rsidR="00222612" w:rsidRPr="00AF1D5F">
        <w:t>overnment</w:t>
      </w:r>
      <w:r w:rsidR="00432B4F">
        <w:t>,</w:t>
      </w:r>
      <w:r w:rsidR="00222612" w:rsidRPr="00AF1D5F">
        <w:t xml:space="preserve"> his arrest during the demonstration of 27 December 2009 and his escape by injuring </w:t>
      </w:r>
      <w:r w:rsidR="00532B14" w:rsidRPr="00AF1D5F">
        <w:t>a</w:t>
      </w:r>
      <w:r w:rsidR="00222612" w:rsidRPr="00AF1D5F">
        <w:t>n official</w:t>
      </w:r>
      <w:r w:rsidR="00432B4F">
        <w:t>,</w:t>
      </w:r>
      <w:r w:rsidR="00532B14" w:rsidRPr="00AF1D5F">
        <w:t xml:space="preserve"> his</w:t>
      </w:r>
      <w:r w:rsidR="00222612" w:rsidRPr="00AF1D5F">
        <w:t xml:space="preserve"> possession of banned material</w:t>
      </w:r>
      <w:r w:rsidR="00432B4F">
        <w:t>,</w:t>
      </w:r>
      <w:r w:rsidR="00222612" w:rsidRPr="00AF1D5F">
        <w:t xml:space="preserve"> the arrest warrant against him</w:t>
      </w:r>
      <w:r w:rsidR="00432B4F">
        <w:t>,</w:t>
      </w:r>
      <w:r w:rsidR="00222612" w:rsidRPr="00AF1D5F">
        <w:t xml:space="preserve"> the summons </w:t>
      </w:r>
      <w:r w:rsidR="002557C9" w:rsidRPr="00AF1D5F">
        <w:t>against him</w:t>
      </w:r>
      <w:r w:rsidR="00222612" w:rsidRPr="00AF1D5F">
        <w:t xml:space="preserve"> by the Revolutionary Tribunal</w:t>
      </w:r>
      <w:r w:rsidR="00432B4F">
        <w:t>,</w:t>
      </w:r>
      <w:r w:rsidR="00222612" w:rsidRPr="00AF1D5F">
        <w:t xml:space="preserve"> </w:t>
      </w:r>
      <w:r w:rsidR="00532B14" w:rsidRPr="00AF1D5F">
        <w:t xml:space="preserve">and his asylum request in Switzerland. </w:t>
      </w:r>
      <w:r w:rsidR="002557C9" w:rsidRPr="00AF1D5F">
        <w:t>H</w:t>
      </w:r>
      <w:r w:rsidR="00E23561" w:rsidRPr="00AF1D5F">
        <w:t xml:space="preserve">e </w:t>
      </w:r>
      <w:r w:rsidR="00532B14" w:rsidRPr="00AF1D5F">
        <w:t xml:space="preserve">underlines that he </w:t>
      </w:r>
      <w:r w:rsidR="00E23561" w:rsidRPr="00AF1D5F">
        <w:t xml:space="preserve">provided a </w:t>
      </w:r>
      <w:r w:rsidR="00532B14" w:rsidRPr="00AF1D5F">
        <w:t xml:space="preserve">detailed </w:t>
      </w:r>
      <w:r w:rsidR="00E23561" w:rsidRPr="00AF1D5F">
        <w:t xml:space="preserve">description of the events to </w:t>
      </w:r>
      <w:r w:rsidR="00532B14" w:rsidRPr="00AF1D5F">
        <w:t>the asylum authorities</w:t>
      </w:r>
      <w:r w:rsidR="00E23561" w:rsidRPr="00AF1D5F">
        <w:t>. His statements are highly credible and plausible, especially in</w:t>
      </w:r>
      <w:r w:rsidR="00E65EC1" w:rsidRPr="00AF1D5F">
        <w:t xml:space="preserve"> the</w:t>
      </w:r>
      <w:r w:rsidR="00E23561" w:rsidRPr="00AF1D5F">
        <w:t xml:space="preserve"> light of his personal situation and the </w:t>
      </w:r>
      <w:r w:rsidR="002557C9" w:rsidRPr="00AF1D5F">
        <w:t xml:space="preserve">general </w:t>
      </w:r>
      <w:r w:rsidR="00E23561" w:rsidRPr="00AF1D5F">
        <w:t xml:space="preserve">situation in </w:t>
      </w:r>
      <w:r w:rsidR="001616AD">
        <w:t>the Islamic Republic of Iran</w:t>
      </w:r>
      <w:r w:rsidR="00E23561" w:rsidRPr="00AF1D5F">
        <w:t xml:space="preserve">, and cannot be considered superficial, contrary to the State party’s assertion. </w:t>
      </w:r>
    </w:p>
    <w:p w:rsidR="00532B14" w:rsidRPr="00AF1D5F" w:rsidRDefault="00532B14" w:rsidP="00D757ED">
      <w:pPr>
        <w:pStyle w:val="SingleTxtG"/>
      </w:pPr>
      <w:r w:rsidRPr="00AF1D5F">
        <w:t>5.2</w:t>
      </w:r>
      <w:r w:rsidRPr="00AF1D5F">
        <w:tab/>
      </w:r>
      <w:r w:rsidR="007E4568" w:rsidRPr="00AF1D5F">
        <w:t xml:space="preserve">The complainant refers to independent reports to underline the seriousness of human rights concerns in </w:t>
      </w:r>
      <w:r w:rsidR="001616AD">
        <w:t>the Islamic Republic of Iran</w:t>
      </w:r>
      <w:r w:rsidR="007E4568" w:rsidRPr="00AF1D5F">
        <w:t xml:space="preserve">, notably the persecution of political opponents and </w:t>
      </w:r>
      <w:r w:rsidR="00D757ED">
        <w:t>the ever-</w:t>
      </w:r>
      <w:r w:rsidR="007E4568" w:rsidRPr="00AF1D5F">
        <w:t xml:space="preserve">increasing number of arrests and public executions, as well as </w:t>
      </w:r>
      <w:r w:rsidR="00393822">
        <w:t xml:space="preserve">the </w:t>
      </w:r>
      <w:r w:rsidR="007E4568" w:rsidRPr="00AF1D5F">
        <w:t>arrest</w:t>
      </w:r>
      <w:r w:rsidR="00393822">
        <w:t>s</w:t>
      </w:r>
      <w:r w:rsidR="007E4568" w:rsidRPr="00AF1D5F">
        <w:t xml:space="preserve"> and ill-treatment of failed asylum seekers. </w:t>
      </w:r>
      <w:r w:rsidR="00741E84" w:rsidRPr="00AF1D5F">
        <w:t xml:space="preserve">Iranians who left </w:t>
      </w:r>
      <w:r w:rsidR="002557C9" w:rsidRPr="00AF1D5F">
        <w:t xml:space="preserve">the country </w:t>
      </w:r>
      <w:r w:rsidR="00741E84" w:rsidRPr="00AF1D5F">
        <w:t xml:space="preserve">illegally are </w:t>
      </w:r>
      <w:r w:rsidR="002557C9" w:rsidRPr="00AF1D5F">
        <w:t xml:space="preserve">systematically </w:t>
      </w:r>
      <w:r w:rsidR="00741E84" w:rsidRPr="00AF1D5F">
        <w:t xml:space="preserve">questioned upon return and can be detained for up to </w:t>
      </w:r>
      <w:r w:rsidR="002E65AE">
        <w:t>seven</w:t>
      </w:r>
      <w:r w:rsidR="00741E84" w:rsidRPr="00AF1D5F">
        <w:t xml:space="preserve"> days and/or brought before the </w:t>
      </w:r>
      <w:r w:rsidR="00393822">
        <w:t>s</w:t>
      </w:r>
      <w:r w:rsidR="00741E84" w:rsidRPr="00AF1D5F">
        <w:t xml:space="preserve">pecial </w:t>
      </w:r>
      <w:r w:rsidR="00393822">
        <w:t>c</w:t>
      </w:r>
      <w:r w:rsidR="00741E84" w:rsidRPr="00AF1D5F">
        <w:t xml:space="preserve">ourt in Merhabad </w:t>
      </w:r>
      <w:r w:rsidR="004B6152">
        <w:t>A</w:t>
      </w:r>
      <w:r w:rsidR="00741E84" w:rsidRPr="00AF1D5F">
        <w:t xml:space="preserve">irport in Tehran, which can sentence them to two years’ imprisonment for having left the country illegally. </w:t>
      </w:r>
      <w:r w:rsidR="00BF4012" w:rsidRPr="00AF1D5F">
        <w:t xml:space="preserve">The European Court of Human Rights found that </w:t>
      </w:r>
      <w:r w:rsidR="0029006E" w:rsidRPr="00AF1D5F">
        <w:t xml:space="preserve">deportation </w:t>
      </w:r>
      <w:r w:rsidR="00BF4012" w:rsidRPr="00AF1D5F">
        <w:t xml:space="preserve">to </w:t>
      </w:r>
      <w:r w:rsidR="001616AD">
        <w:t>the Islamic Republic of Iran</w:t>
      </w:r>
      <w:r w:rsidR="00BF4012" w:rsidRPr="00AF1D5F">
        <w:t xml:space="preserve">, given the country’s </w:t>
      </w:r>
      <w:r w:rsidR="00BF4012" w:rsidRPr="00AF1D5F">
        <w:lastRenderedPageBreak/>
        <w:t xml:space="preserve">human rights situation and the specific risk for </w:t>
      </w:r>
      <w:r w:rsidR="0029006E" w:rsidRPr="00AF1D5F">
        <w:rPr>
          <w:rStyle w:val="sb8d990e2"/>
        </w:rPr>
        <w:t>Iranians returning to their home country in circumstances where they cannot produce evidence of their l</w:t>
      </w:r>
      <w:r w:rsidR="002557C9" w:rsidRPr="00AF1D5F">
        <w:rPr>
          <w:rStyle w:val="sb8d990e2"/>
        </w:rPr>
        <w:t>awful departure from the country</w:t>
      </w:r>
      <w:r w:rsidR="0029006E" w:rsidRPr="00AF1D5F">
        <w:rPr>
          <w:rStyle w:val="sb8d990e2"/>
        </w:rPr>
        <w:t xml:space="preserve">, would </w:t>
      </w:r>
      <w:r w:rsidR="00BF4012" w:rsidRPr="00AF1D5F">
        <w:t xml:space="preserve">violate </w:t>
      </w:r>
      <w:r w:rsidR="00EE3B01">
        <w:t>article </w:t>
      </w:r>
      <w:r w:rsidR="00BF4012" w:rsidRPr="00AF1D5F">
        <w:t>3 of the European Convention</w:t>
      </w:r>
      <w:r w:rsidR="0029006E" w:rsidRPr="00AF1D5F">
        <w:t xml:space="preserve"> on Human Rights</w:t>
      </w:r>
      <w:r w:rsidR="00BF4012" w:rsidRPr="00AF1D5F">
        <w:t>.</w:t>
      </w:r>
      <w:r w:rsidR="008A2F79">
        <w:rPr>
          <w:rStyle w:val="FootnoteReference"/>
        </w:rPr>
        <w:footnoteReference w:id="12"/>
      </w:r>
      <w:r w:rsidR="00BF4012" w:rsidRPr="00AF1D5F">
        <w:t xml:space="preserve"> </w:t>
      </w:r>
      <w:r w:rsidR="00DC2B3F" w:rsidRPr="00AF1D5F">
        <w:t>The complainant therefore refutes</w:t>
      </w:r>
      <w:r w:rsidR="00303C1C" w:rsidRPr="00AF1D5F">
        <w:t xml:space="preserve"> as unsubstantiated</w:t>
      </w:r>
      <w:r w:rsidR="00DC2B3F" w:rsidRPr="00AF1D5F">
        <w:t xml:space="preserve"> the State party’s argument</w:t>
      </w:r>
      <w:r w:rsidR="002557C9" w:rsidRPr="00AF1D5F">
        <w:t>ation</w:t>
      </w:r>
      <w:r w:rsidR="00DC2B3F" w:rsidRPr="00AF1D5F">
        <w:t xml:space="preserve"> about the absence of </w:t>
      </w:r>
      <w:r w:rsidR="002557C9" w:rsidRPr="00AF1D5F">
        <w:t>a</w:t>
      </w:r>
      <w:r w:rsidR="00DC2B3F" w:rsidRPr="00AF1D5F">
        <w:t xml:space="preserve"> risk </w:t>
      </w:r>
      <w:r w:rsidR="00F51105">
        <w:t>to</w:t>
      </w:r>
      <w:r w:rsidR="00DC2B3F" w:rsidRPr="00AF1D5F">
        <w:t xml:space="preserve"> </w:t>
      </w:r>
      <w:r w:rsidR="00303C1C" w:rsidRPr="00AF1D5F">
        <w:t>him</w:t>
      </w:r>
      <w:r w:rsidR="00F51105">
        <w:t xml:space="preserve"> of being</w:t>
      </w:r>
      <w:r w:rsidR="00DC2B3F" w:rsidRPr="00AF1D5F">
        <w:t xml:space="preserve"> subjected to persecution or ill-treatment</w:t>
      </w:r>
      <w:r w:rsidR="00303C1C" w:rsidRPr="00AF1D5F">
        <w:t xml:space="preserve"> on the ground</w:t>
      </w:r>
      <w:r w:rsidR="00F51105">
        <w:t>s</w:t>
      </w:r>
      <w:r w:rsidR="00303C1C" w:rsidRPr="00AF1D5F">
        <w:t xml:space="preserve"> that had left the country illegally</w:t>
      </w:r>
      <w:r w:rsidR="00F51105">
        <w:t>, if he were to be deported.</w:t>
      </w:r>
    </w:p>
    <w:p w:rsidR="003E59C5" w:rsidRPr="00AF1D5F" w:rsidRDefault="00A95973" w:rsidP="00D757ED">
      <w:pPr>
        <w:pStyle w:val="SingleTxtG"/>
      </w:pPr>
      <w:r w:rsidRPr="00AF1D5F">
        <w:t>5.3</w:t>
      </w:r>
      <w:r w:rsidRPr="00AF1D5F">
        <w:tab/>
      </w:r>
      <w:r w:rsidR="002557C9" w:rsidRPr="00AF1D5F">
        <w:t xml:space="preserve">He </w:t>
      </w:r>
      <w:r w:rsidR="00F51105">
        <w:t>also</w:t>
      </w:r>
      <w:r w:rsidR="00F51105" w:rsidRPr="00AF1D5F">
        <w:t xml:space="preserve"> </w:t>
      </w:r>
      <w:r w:rsidRPr="00AF1D5F">
        <w:t>challenges the State party’s argument</w:t>
      </w:r>
      <w:r w:rsidR="002557C9" w:rsidRPr="00AF1D5F">
        <w:t>ation</w:t>
      </w:r>
      <w:r w:rsidRPr="00AF1D5F">
        <w:t xml:space="preserve"> that his submissions lack</w:t>
      </w:r>
      <w:r w:rsidR="004F2062" w:rsidRPr="00AF1D5F">
        <w:t xml:space="preserve"> </w:t>
      </w:r>
      <w:r w:rsidRPr="00AF1D5F">
        <w:t xml:space="preserve">substantiation. He argues that he had attacked </w:t>
      </w:r>
      <w:r w:rsidR="00C03CD4" w:rsidRPr="00AF1D5F">
        <w:t>officials</w:t>
      </w:r>
      <w:r w:rsidRPr="00AF1D5F">
        <w:t xml:space="preserve"> during the</w:t>
      </w:r>
      <w:r w:rsidR="004F2062" w:rsidRPr="00AF1D5F">
        <w:t xml:space="preserve"> December 2009</w:t>
      </w:r>
      <w:r w:rsidRPr="00AF1D5F">
        <w:t xml:space="preserve"> demonstration as a young</w:t>
      </w:r>
      <w:r w:rsidR="00F51105">
        <w:t>,</w:t>
      </w:r>
      <w:r w:rsidRPr="00AF1D5F">
        <w:t xml:space="preserve"> politically involved student with excellent karate skills who was willing to take the risk </w:t>
      </w:r>
      <w:r w:rsidR="00F51105">
        <w:t>to</w:t>
      </w:r>
      <w:r w:rsidR="00F51105" w:rsidRPr="00AF1D5F">
        <w:t xml:space="preserve"> </w:t>
      </w:r>
      <w:r w:rsidRPr="00AF1D5F">
        <w:t xml:space="preserve">defend women and children against harassment. He submits that </w:t>
      </w:r>
      <w:r w:rsidRPr="00AA006C">
        <w:t>the State party’s arguments are ill-founded</w:t>
      </w:r>
      <w:r w:rsidR="00F51105" w:rsidRPr="00AA006C">
        <w:t>,</w:t>
      </w:r>
      <w:r w:rsidR="003E59C5" w:rsidRPr="00AA006C">
        <w:t xml:space="preserve"> as they do not</w:t>
      </w:r>
      <w:r w:rsidRPr="00AA006C">
        <w:t xml:space="preserve"> meet the requirement </w:t>
      </w:r>
      <w:r w:rsidR="00D757ED" w:rsidRPr="00D757ED">
        <w:t>for evaluation of</w:t>
      </w:r>
      <w:r w:rsidRPr="00AA006C">
        <w:t xml:space="preserve"> the credi</w:t>
      </w:r>
      <w:r w:rsidRPr="00AF1D5F">
        <w:t xml:space="preserve">bility </w:t>
      </w:r>
      <w:r w:rsidR="00C03CD4" w:rsidRPr="00AF1D5F">
        <w:t xml:space="preserve">of evidence </w:t>
      </w:r>
      <w:r w:rsidRPr="00AF1D5F">
        <w:t xml:space="preserve">used by the </w:t>
      </w:r>
      <w:r w:rsidR="00401131" w:rsidRPr="00AF1D5F">
        <w:t>a</w:t>
      </w:r>
      <w:r w:rsidRPr="00AF1D5F">
        <w:t xml:space="preserve">dministrative </w:t>
      </w:r>
      <w:r w:rsidR="00401131" w:rsidRPr="00AF1D5F">
        <w:t>t</w:t>
      </w:r>
      <w:r w:rsidRPr="00AF1D5F">
        <w:t>ribunal</w:t>
      </w:r>
      <w:r w:rsidR="003E0CD8" w:rsidRPr="00AF1D5F">
        <w:t xml:space="preserve">. According to the </w:t>
      </w:r>
      <w:r w:rsidR="00401131" w:rsidRPr="00AF1D5F">
        <w:t>t</w:t>
      </w:r>
      <w:r w:rsidR="003E0CD8" w:rsidRPr="00AF1D5F">
        <w:t xml:space="preserve">ribunal’s practice, </w:t>
      </w:r>
      <w:r w:rsidR="003E59C5" w:rsidRPr="00AF1D5F">
        <w:t xml:space="preserve">statements </w:t>
      </w:r>
      <w:r w:rsidR="003E0CD8" w:rsidRPr="00AF1D5F">
        <w:t xml:space="preserve">made by asylum seekers </w:t>
      </w:r>
      <w:r w:rsidR="003E59C5" w:rsidRPr="00AF1D5F">
        <w:t xml:space="preserve">may not be contested solely on </w:t>
      </w:r>
      <w:r w:rsidR="003E0CD8" w:rsidRPr="00AF1D5F">
        <w:t xml:space="preserve">the </w:t>
      </w:r>
      <w:r w:rsidR="003E59C5" w:rsidRPr="00AF1D5F">
        <w:t xml:space="preserve">basis of presumption or </w:t>
      </w:r>
      <w:r w:rsidR="003E0CD8" w:rsidRPr="00AF1D5F">
        <w:t>alleged contradiction</w:t>
      </w:r>
      <w:r w:rsidR="003E59C5" w:rsidRPr="00AF1D5F">
        <w:t>,</w:t>
      </w:r>
      <w:r w:rsidR="003E0CD8" w:rsidRPr="00AF1D5F">
        <w:t xml:space="preserve"> without further substantiation</w:t>
      </w:r>
      <w:r w:rsidR="003E59C5" w:rsidRPr="00AF1D5F">
        <w:t xml:space="preserve"> by the asylum authorities, with a view </w:t>
      </w:r>
      <w:r w:rsidR="004F2062" w:rsidRPr="00AF1D5F">
        <w:t>to</w:t>
      </w:r>
      <w:r w:rsidR="003E59C5" w:rsidRPr="00AF1D5F">
        <w:t xml:space="preserve"> shifting the responsibility for providing irrefutable evidence to asylum seekers. </w:t>
      </w:r>
      <w:r w:rsidR="003E0CD8" w:rsidRPr="00AF1D5F">
        <w:t xml:space="preserve">It is </w:t>
      </w:r>
      <w:r w:rsidR="00A91B00" w:rsidRPr="00AF1D5F">
        <w:t xml:space="preserve">not allowed </w:t>
      </w:r>
      <w:r w:rsidR="00D757ED">
        <w:t>for</w:t>
      </w:r>
      <w:r w:rsidR="00A91B00" w:rsidRPr="00AF1D5F">
        <w:t xml:space="preserve"> the burden of proof only to be on the side of the applicant.</w:t>
      </w:r>
      <w:r w:rsidR="001F6C06">
        <w:rPr>
          <w:rStyle w:val="FootnoteReference"/>
        </w:rPr>
        <w:footnoteReference w:id="13"/>
      </w:r>
    </w:p>
    <w:p w:rsidR="003E59C5" w:rsidRPr="00AF1D5F" w:rsidRDefault="007A6C83" w:rsidP="00D757ED">
      <w:pPr>
        <w:pStyle w:val="SingleTxtG"/>
      </w:pPr>
      <w:r w:rsidRPr="00AF1D5F">
        <w:t>5.4</w:t>
      </w:r>
      <w:r w:rsidRPr="00AF1D5F">
        <w:tab/>
        <w:t xml:space="preserve">The complainant </w:t>
      </w:r>
      <w:r w:rsidR="00097A2E" w:rsidRPr="00AF1D5F">
        <w:t>disputes</w:t>
      </w:r>
      <w:r w:rsidRPr="00AF1D5F">
        <w:t xml:space="preserve"> </w:t>
      </w:r>
      <w:r w:rsidR="00097A2E" w:rsidRPr="00AF1D5F">
        <w:t>the</w:t>
      </w:r>
      <w:r w:rsidRPr="00AF1D5F">
        <w:t xml:space="preserve"> State party’s argument</w:t>
      </w:r>
      <w:r w:rsidR="002557C9" w:rsidRPr="00AF1D5F">
        <w:t>ation</w:t>
      </w:r>
      <w:r w:rsidRPr="00AF1D5F">
        <w:t xml:space="preserve"> that the summons of the </w:t>
      </w:r>
      <w:r w:rsidR="00C03CD4" w:rsidRPr="00AF1D5F">
        <w:t>R</w:t>
      </w:r>
      <w:r w:rsidRPr="00AF1D5F">
        <w:t>evolutionary Tribunal is not authentic</w:t>
      </w:r>
      <w:r w:rsidR="00097A2E" w:rsidRPr="00AF1D5F">
        <w:t xml:space="preserve">, to the extent that </w:t>
      </w:r>
      <w:r w:rsidR="00D757ED">
        <w:t>this argumentation</w:t>
      </w:r>
      <w:r w:rsidR="00097A2E" w:rsidRPr="00AF1D5F">
        <w:t xml:space="preserve"> </w:t>
      </w:r>
      <w:r w:rsidR="004A3D39" w:rsidRPr="00AF1D5F">
        <w:t xml:space="preserve">contradicts the findings of the </w:t>
      </w:r>
      <w:r w:rsidR="00097285" w:rsidRPr="00782640">
        <w:t>a</w:t>
      </w:r>
      <w:r w:rsidR="004A3D39" w:rsidRPr="00782640">
        <w:t xml:space="preserve">dministrative </w:t>
      </w:r>
      <w:r w:rsidR="00097285" w:rsidRPr="00782640">
        <w:t>tribunal</w:t>
      </w:r>
      <w:r w:rsidR="004A3D39" w:rsidRPr="00782640">
        <w:t xml:space="preserve"> in another case: “</w:t>
      </w:r>
      <w:r w:rsidR="00871F5F">
        <w:t>A</w:t>
      </w:r>
      <w:r w:rsidR="00EE3FDE" w:rsidRPr="00782640">
        <w:t>lthough</w:t>
      </w:r>
      <w:r w:rsidR="004A3D39" w:rsidRPr="00782640">
        <w:t xml:space="preserve"> the Federal </w:t>
      </w:r>
      <w:r w:rsidR="00EE3FDE" w:rsidRPr="00782640">
        <w:t>Office for Migration doubts the authenticity of</w:t>
      </w:r>
      <w:r w:rsidR="00871F5F">
        <w:t xml:space="preserve"> the</w:t>
      </w:r>
      <w:r w:rsidR="00EE3FDE" w:rsidRPr="00782640">
        <w:t xml:space="preserve"> evidence, it has not provided any element to support such conclusions. Furthermore, by reason of the principle of free </w:t>
      </w:r>
      <w:r w:rsidR="00097A2E" w:rsidRPr="00782640">
        <w:t>evaluation</w:t>
      </w:r>
      <w:r w:rsidR="00EE3FDE" w:rsidRPr="00782640">
        <w:t xml:space="preserve"> of evidence applicable </w:t>
      </w:r>
      <w:r w:rsidR="00C03CD4" w:rsidRPr="00782640">
        <w:t>in</w:t>
      </w:r>
      <w:r w:rsidR="005D6BC0" w:rsidRPr="00782640">
        <w:t xml:space="preserve"> </w:t>
      </w:r>
      <w:r w:rsidR="00EE3FDE" w:rsidRPr="00782640">
        <w:t>the administrative proce</w:t>
      </w:r>
      <w:r w:rsidR="005D6BC0" w:rsidRPr="00782640">
        <w:t>edings</w:t>
      </w:r>
      <w:r w:rsidR="00EE3FDE" w:rsidRPr="00782640">
        <w:t xml:space="preserve">, it cannot be considered that a photocopy </w:t>
      </w:r>
      <w:r w:rsidR="00871F5F">
        <w:t>has been</w:t>
      </w:r>
      <w:r w:rsidR="00871F5F" w:rsidRPr="00782640">
        <w:t xml:space="preserve"> </w:t>
      </w:r>
      <w:r w:rsidR="00EE3FDE" w:rsidRPr="00782640">
        <w:t xml:space="preserve">manipulated or </w:t>
      </w:r>
      <w:r w:rsidR="00871F5F">
        <w:t xml:space="preserve">is </w:t>
      </w:r>
      <w:r w:rsidR="00EE3FDE" w:rsidRPr="00782640">
        <w:t xml:space="preserve">devoid of </w:t>
      </w:r>
      <w:r w:rsidR="005D6BC0" w:rsidRPr="00782640">
        <w:t xml:space="preserve">evidentiary value </w:t>
      </w:r>
      <w:r w:rsidR="00871F5F">
        <w:t>merely</w:t>
      </w:r>
      <w:r w:rsidR="00871F5F" w:rsidRPr="00782640">
        <w:t xml:space="preserve"> </w:t>
      </w:r>
      <w:r w:rsidR="005D6BC0" w:rsidRPr="00782640">
        <w:t>because of its form</w:t>
      </w:r>
      <w:r w:rsidR="005D6BC0" w:rsidRPr="00871F5F">
        <w:t>, as long as i</w:t>
      </w:r>
      <w:r w:rsidR="005D6BC0" w:rsidRPr="00782640">
        <w:t xml:space="preserve">ts authenticity </w:t>
      </w:r>
      <w:r w:rsidR="00D757ED">
        <w:t>has been</w:t>
      </w:r>
      <w:r w:rsidR="005D6BC0" w:rsidRPr="00782640">
        <w:t xml:space="preserve"> demonstrated by the applicant.”</w:t>
      </w:r>
      <w:r w:rsidR="001F6C06" w:rsidRPr="00782640">
        <w:rPr>
          <w:rStyle w:val="FootnoteReference"/>
        </w:rPr>
        <w:footnoteReference w:id="14"/>
      </w:r>
    </w:p>
    <w:p w:rsidR="007B7DAF" w:rsidRPr="00AF1D5F" w:rsidRDefault="007B7DAF" w:rsidP="00C8222A">
      <w:pPr>
        <w:pStyle w:val="SingleTxtG"/>
      </w:pPr>
      <w:r w:rsidRPr="00AF1D5F">
        <w:t>5.5</w:t>
      </w:r>
      <w:r w:rsidRPr="00AF1D5F">
        <w:tab/>
      </w:r>
      <w:r w:rsidR="00097A2E" w:rsidRPr="00AF1D5F">
        <w:t>With reference to a report by Amnesty International, the complainant refutes the State party’s argument</w:t>
      </w:r>
      <w:r w:rsidR="00B0146E" w:rsidRPr="00AF1D5F">
        <w:t>ation</w:t>
      </w:r>
      <w:r w:rsidR="00097A2E" w:rsidRPr="00AF1D5F">
        <w:t xml:space="preserve"> regarding the stages of criminal proceedings in </w:t>
      </w:r>
      <w:r w:rsidR="001616AD">
        <w:t>the Islamic Republic of Iran</w:t>
      </w:r>
      <w:r w:rsidR="00097A2E" w:rsidRPr="00AF1D5F">
        <w:t xml:space="preserve">. He submits, in particular, that many of those arrested, particularly </w:t>
      </w:r>
      <w:r w:rsidR="00701B53" w:rsidRPr="00AF1D5F">
        <w:t>political dissidents</w:t>
      </w:r>
      <w:r w:rsidR="00097A2E" w:rsidRPr="00AF1D5F">
        <w:t>, are arrested without a warrant.</w:t>
      </w:r>
      <w:r w:rsidR="00CB27CE" w:rsidRPr="00AF1D5F">
        <w:t xml:space="preserve"> The lack of transparency </w:t>
      </w:r>
      <w:r w:rsidR="00C8222A">
        <w:t>with</w:t>
      </w:r>
      <w:r w:rsidR="00C8222A" w:rsidRPr="00AF1D5F">
        <w:t xml:space="preserve"> </w:t>
      </w:r>
      <w:r w:rsidR="00CB27CE" w:rsidRPr="00AF1D5F">
        <w:t>which agencies have the right to carry out arrests</w:t>
      </w:r>
      <w:r w:rsidR="00097A2E" w:rsidRPr="00AF1D5F">
        <w:t xml:space="preserve"> </w:t>
      </w:r>
      <w:r w:rsidR="00CB27CE" w:rsidRPr="00AF1D5F">
        <w:t xml:space="preserve">facilitates abuses and impunity. </w:t>
      </w:r>
      <w:r w:rsidR="00C22CAB" w:rsidRPr="00AF1D5F">
        <w:t xml:space="preserve">Most trials in </w:t>
      </w:r>
      <w:r w:rsidR="001616AD">
        <w:t>the Islamic Republic of Iran</w:t>
      </w:r>
      <w:r w:rsidR="00C22CAB" w:rsidRPr="00AF1D5F">
        <w:t xml:space="preserve"> are grossly unfair, particularly those before Revolutionary Courts. Judges presiding over political cases in such courts are in </w:t>
      </w:r>
      <w:r w:rsidR="004F2062" w:rsidRPr="00AF1D5F">
        <w:t>fact</w:t>
      </w:r>
      <w:r w:rsidR="00C22CAB" w:rsidRPr="00AF1D5F">
        <w:t xml:space="preserve"> mercenaries responsible for the execution of security policies of the regime.</w:t>
      </w:r>
      <w:r w:rsidR="001F6C06">
        <w:rPr>
          <w:rStyle w:val="FootnoteReference"/>
        </w:rPr>
        <w:footnoteReference w:id="15"/>
      </w:r>
      <w:r w:rsidR="00C22CAB" w:rsidRPr="00AF1D5F">
        <w:t xml:space="preserve"> The complainant reiterates that an arrest warrant in </w:t>
      </w:r>
      <w:r w:rsidR="001616AD">
        <w:t>the Islamic Republic of Iran</w:t>
      </w:r>
      <w:r w:rsidR="00C22CAB" w:rsidRPr="00AF1D5F">
        <w:t xml:space="preserve"> is presented as an authorisation for arrest or search</w:t>
      </w:r>
      <w:r w:rsidR="00F331D6">
        <w:t>,</w:t>
      </w:r>
      <w:r w:rsidR="00C22CAB" w:rsidRPr="00AF1D5F">
        <w:t xml:space="preserve"> rather than being sent to, or served on, the person concerned. The manner in which the search of his parents’ house was conducted demonstrates that the authorities </w:t>
      </w:r>
      <w:r w:rsidR="00CB27CE" w:rsidRPr="00AF1D5F">
        <w:t>had been</w:t>
      </w:r>
      <w:r w:rsidR="00C22CAB" w:rsidRPr="00AF1D5F">
        <w:t xml:space="preserve"> well informed about </w:t>
      </w:r>
      <w:r w:rsidR="00CB27CE" w:rsidRPr="00AF1D5F">
        <w:t>him</w:t>
      </w:r>
      <w:r w:rsidR="00C22CAB" w:rsidRPr="00AF1D5F">
        <w:t xml:space="preserve">. </w:t>
      </w:r>
    </w:p>
    <w:p w:rsidR="00CC654B" w:rsidRPr="00AF1D5F" w:rsidRDefault="00CC654B" w:rsidP="00F331D6">
      <w:pPr>
        <w:pStyle w:val="SingleTxtG"/>
      </w:pPr>
      <w:r w:rsidRPr="00AF1D5F">
        <w:t>5.6</w:t>
      </w:r>
      <w:r w:rsidRPr="00AF1D5F">
        <w:tab/>
      </w:r>
      <w:r w:rsidR="00D43999" w:rsidRPr="00AF1D5F">
        <w:t xml:space="preserve">The complainant confirms </w:t>
      </w:r>
      <w:r w:rsidR="00701B53" w:rsidRPr="00AF1D5F">
        <w:t>that he has</w:t>
      </w:r>
      <w:r w:rsidR="00C03CD4" w:rsidRPr="00AF1D5F">
        <w:t xml:space="preserve"> not</w:t>
      </w:r>
      <w:r w:rsidR="00D43999" w:rsidRPr="00AF1D5F">
        <w:t xml:space="preserve"> allege</w:t>
      </w:r>
      <w:r w:rsidR="00701B53" w:rsidRPr="00AF1D5F">
        <w:t>d</w:t>
      </w:r>
      <w:r w:rsidR="00D43999" w:rsidRPr="00AF1D5F">
        <w:t xml:space="preserve"> </w:t>
      </w:r>
      <w:r w:rsidR="00F331D6">
        <w:t>having suffered</w:t>
      </w:r>
      <w:r w:rsidR="00F331D6" w:rsidRPr="00AF1D5F">
        <w:t xml:space="preserve"> </w:t>
      </w:r>
      <w:r w:rsidR="00D43999" w:rsidRPr="00AF1D5F">
        <w:t>from</w:t>
      </w:r>
      <w:r w:rsidR="006D6B67">
        <w:t xml:space="preserve"> post-traumatic stress disorder</w:t>
      </w:r>
      <w:r w:rsidR="00D43999" w:rsidRPr="00AF1D5F">
        <w:t xml:space="preserve"> and rejected offers of psychological assistance during the asylum proceedings. However, psychological studies show that discrepancies in submissions between interviews are common </w:t>
      </w:r>
      <w:r w:rsidR="00F331D6">
        <w:t>among</w:t>
      </w:r>
      <w:r w:rsidR="00D43999" w:rsidRPr="00AF1D5F">
        <w:t xml:space="preserve"> asylum seekers, even in the absence of</w:t>
      </w:r>
      <w:r w:rsidR="006D6B67">
        <w:t xml:space="preserve"> post-traumatic stress disorder</w:t>
      </w:r>
      <w:r w:rsidR="00D43999" w:rsidRPr="00AF1D5F">
        <w:t>. Discrepa</w:t>
      </w:r>
      <w:r w:rsidR="00CC70E8" w:rsidRPr="00AF1D5F">
        <w:t xml:space="preserve">ncies are likely to arise when </w:t>
      </w:r>
      <w:r w:rsidR="00D43999" w:rsidRPr="00AF1D5F">
        <w:t>details require</w:t>
      </w:r>
      <w:r w:rsidR="00581848" w:rsidRPr="00AF1D5F">
        <w:t>d</w:t>
      </w:r>
      <w:r w:rsidR="00D43999" w:rsidRPr="00AF1D5F">
        <w:t xml:space="preserve"> are peripheral to interviewees’ experience and when the contents are traumatic to them. </w:t>
      </w:r>
      <w:r w:rsidR="00562D96" w:rsidRPr="00AF1D5F">
        <w:t xml:space="preserve">Such </w:t>
      </w:r>
      <w:r w:rsidR="00562D96" w:rsidRPr="00AF1D5F">
        <w:lastRenderedPageBreak/>
        <w:t xml:space="preserve">discrepancies are present in many asylum applications and there is a mounting risk of finding that asylum seekers </w:t>
      </w:r>
      <w:r w:rsidR="00F331D6">
        <w:t xml:space="preserve">have </w:t>
      </w:r>
      <w:r w:rsidR="00562D96" w:rsidRPr="00AF1D5F">
        <w:t>fabricate</w:t>
      </w:r>
      <w:r w:rsidR="00F331D6">
        <w:t>d</w:t>
      </w:r>
      <w:r w:rsidR="00562D96" w:rsidRPr="00AF1D5F">
        <w:t xml:space="preserve"> their statements, solely on the basis of discrepancies between interviews, and of </w:t>
      </w:r>
      <w:r w:rsidR="00C03CD4" w:rsidRPr="00AF1D5F">
        <w:t xml:space="preserve">making </w:t>
      </w:r>
      <w:r w:rsidR="007A456B" w:rsidRPr="00AF1D5F">
        <w:t>incorrect judg</w:t>
      </w:r>
      <w:r w:rsidR="00F331D6">
        <w:t>e</w:t>
      </w:r>
      <w:r w:rsidR="007A456B" w:rsidRPr="00AF1D5F">
        <w:t>ments</w:t>
      </w:r>
      <w:r w:rsidR="00562D96" w:rsidRPr="00AF1D5F">
        <w:t>.</w:t>
      </w:r>
      <w:r w:rsidR="001F6C06">
        <w:rPr>
          <w:rStyle w:val="FootnoteReference"/>
        </w:rPr>
        <w:footnoteReference w:id="16"/>
      </w:r>
      <w:r w:rsidR="00562D96" w:rsidRPr="00AF1D5F">
        <w:t xml:space="preserve"> </w:t>
      </w:r>
    </w:p>
    <w:p w:rsidR="00086106" w:rsidRPr="00AF1D5F" w:rsidRDefault="00086106" w:rsidP="00F331D6">
      <w:pPr>
        <w:pStyle w:val="SingleTxtG"/>
      </w:pPr>
      <w:r w:rsidRPr="00AF1D5F">
        <w:t>5.7</w:t>
      </w:r>
      <w:r w:rsidRPr="00AF1D5F">
        <w:tab/>
        <w:t xml:space="preserve">The complainant concludes that there is no well-founded reason to doubt his statements and that his description of the events is precise and highly credible. Therefore, in </w:t>
      </w:r>
      <w:r w:rsidR="00E65EC1" w:rsidRPr="00AF1D5F">
        <w:t xml:space="preserve">the </w:t>
      </w:r>
      <w:r w:rsidRPr="00AF1D5F">
        <w:t xml:space="preserve">light of his personal situation and the human rights situation in </w:t>
      </w:r>
      <w:r w:rsidR="001616AD">
        <w:t>the Islamic Republic of Iran</w:t>
      </w:r>
      <w:r w:rsidRPr="00AF1D5F">
        <w:t xml:space="preserve">, he has a well-founded fear </w:t>
      </w:r>
      <w:r w:rsidR="00F331D6">
        <w:t>of being</w:t>
      </w:r>
      <w:r w:rsidRPr="00AF1D5F">
        <w:t xml:space="preserve"> subjected to torture, if forcibly returned to </w:t>
      </w:r>
      <w:r w:rsidR="001616AD">
        <w:t>the Islamic Republic of Iran</w:t>
      </w:r>
      <w:r w:rsidRPr="00AF1D5F">
        <w:t>.</w:t>
      </w:r>
    </w:p>
    <w:p w:rsidR="00086106" w:rsidRPr="00AF1D5F" w:rsidRDefault="007A456B" w:rsidP="00624CD6">
      <w:pPr>
        <w:pStyle w:val="SingleTxtG"/>
      </w:pPr>
      <w:r w:rsidRPr="00AF1D5F">
        <w:t>5.8</w:t>
      </w:r>
      <w:r w:rsidRPr="00AF1D5F">
        <w:tab/>
        <w:t>On 24 October 2013, the complainant submitted a statement by the Iranian Public Prosecutor</w:t>
      </w:r>
      <w:r w:rsidR="00F331D6">
        <w:t xml:space="preserve">, </w:t>
      </w:r>
      <w:r w:rsidR="00F331D6" w:rsidRPr="00AF1D5F">
        <w:t xml:space="preserve">dated 22 July 2013, </w:t>
      </w:r>
      <w:r w:rsidR="00F331D6">
        <w:t>saying</w:t>
      </w:r>
      <w:r w:rsidRPr="00AF1D5F">
        <w:t xml:space="preserve"> that persons who had left the country in connection with the events of 2009 w</w:t>
      </w:r>
      <w:r w:rsidR="003F7F51" w:rsidRPr="00AF1D5F">
        <w:t xml:space="preserve">ould </w:t>
      </w:r>
      <w:r w:rsidRPr="00AF1D5F">
        <w:t xml:space="preserve">be detained upon entry and prosecuted upon return. </w:t>
      </w:r>
      <w:r w:rsidR="00701B53" w:rsidRPr="00AF1D5F">
        <w:t>The complainant</w:t>
      </w:r>
      <w:r w:rsidRPr="00AF1D5F">
        <w:t xml:space="preserve"> also states that he has been actively supporting atheistic and agnostic views and has translated three atheis</w:t>
      </w:r>
      <w:r w:rsidR="00C110FD" w:rsidRPr="00AF1D5F">
        <w:t xml:space="preserve">tic videos from English </w:t>
      </w:r>
      <w:r w:rsidR="00EC7C14">
        <w:t>in</w:t>
      </w:r>
      <w:r w:rsidR="00C110FD" w:rsidRPr="00AF1D5F">
        <w:t>to Fars</w:t>
      </w:r>
      <w:r w:rsidR="00701B53" w:rsidRPr="00AF1D5F">
        <w:t>i</w:t>
      </w:r>
      <w:r w:rsidRPr="00AF1D5F">
        <w:t>. These videos are not available online. He claims that his atheistic and agnostic views, in addition to his previous submissions and the banned publications found in his parents’ house during the search</w:t>
      </w:r>
      <w:r w:rsidR="003F7F51" w:rsidRPr="00AF1D5F">
        <w:t xml:space="preserve"> o</w:t>
      </w:r>
      <w:r w:rsidR="00701B53" w:rsidRPr="00AF1D5F">
        <w:t xml:space="preserve">f </w:t>
      </w:r>
      <w:r w:rsidR="003F7F51" w:rsidRPr="00AF1D5F">
        <w:t>27 December 2009</w:t>
      </w:r>
      <w:r w:rsidRPr="00AF1D5F">
        <w:t xml:space="preserve">, </w:t>
      </w:r>
      <w:r w:rsidR="00E11AD8" w:rsidRPr="00AF1D5F">
        <w:t xml:space="preserve">enhance his </w:t>
      </w:r>
      <w:r w:rsidR="003F7F51" w:rsidRPr="00AF1D5F">
        <w:t xml:space="preserve">well-founded </w:t>
      </w:r>
      <w:r w:rsidR="00E11AD8" w:rsidRPr="00AF1D5F">
        <w:t xml:space="preserve">fear of prosecution, if </w:t>
      </w:r>
      <w:r w:rsidR="00973ABD" w:rsidRPr="00AF1D5F">
        <w:t xml:space="preserve">deported </w:t>
      </w:r>
      <w:r w:rsidR="00E11AD8" w:rsidRPr="00AF1D5F">
        <w:t xml:space="preserve">to </w:t>
      </w:r>
      <w:r w:rsidR="001616AD">
        <w:t>the Islamic Republic of Iran</w:t>
      </w:r>
      <w:r w:rsidR="00E11AD8" w:rsidRPr="00AF1D5F">
        <w:t>.</w:t>
      </w:r>
      <w:r w:rsidR="00C110FD" w:rsidRPr="00AF1D5F">
        <w:t xml:space="preserve"> </w:t>
      </w:r>
      <w:r w:rsidR="00C110FD" w:rsidRPr="00AA006C">
        <w:t>He explains that apostasy or abandonment of one’s religious faith</w:t>
      </w:r>
      <w:r w:rsidR="00624CD6" w:rsidRPr="00AA006C">
        <w:t xml:space="preserve"> —</w:t>
      </w:r>
      <w:r w:rsidR="00C110FD" w:rsidRPr="00AF1D5F">
        <w:t xml:space="preserve"> Islam</w:t>
      </w:r>
      <w:r w:rsidR="00624CD6">
        <w:t>,</w:t>
      </w:r>
      <w:r w:rsidR="00C110FD" w:rsidRPr="00AF1D5F">
        <w:t xml:space="preserve"> in his case</w:t>
      </w:r>
      <w:r w:rsidR="00624CD6">
        <w:t xml:space="preserve"> —</w:t>
      </w:r>
      <w:r w:rsidR="00624CD6" w:rsidRPr="00AF1D5F">
        <w:t xml:space="preserve"> </w:t>
      </w:r>
      <w:r w:rsidR="00C110FD" w:rsidRPr="00AF1D5F">
        <w:t>can be punishable by death</w:t>
      </w:r>
      <w:r w:rsidR="00701B53" w:rsidRPr="00AF1D5F">
        <w:t xml:space="preserve"> in </w:t>
      </w:r>
      <w:r w:rsidR="001616AD">
        <w:t>the Islamic Republic of Iran</w:t>
      </w:r>
      <w:r w:rsidR="00C110FD" w:rsidRPr="00AF1D5F">
        <w:t>.</w:t>
      </w:r>
    </w:p>
    <w:p w:rsidR="006B2667" w:rsidRPr="00AF1D5F" w:rsidRDefault="006B2667" w:rsidP="008344D2">
      <w:pPr>
        <w:pStyle w:val="H23G"/>
      </w:pPr>
      <w:r w:rsidRPr="00AF1D5F">
        <w:tab/>
      </w:r>
      <w:r w:rsidRPr="00AF1D5F">
        <w:tab/>
        <w:t>Issues and proceedings before the Committee</w:t>
      </w:r>
    </w:p>
    <w:p w:rsidR="006B2667" w:rsidRPr="00AF1D5F" w:rsidRDefault="006B2667" w:rsidP="008344D2">
      <w:pPr>
        <w:pStyle w:val="H4G"/>
      </w:pPr>
      <w:r w:rsidRPr="00AF1D5F">
        <w:tab/>
      </w:r>
      <w:r w:rsidRPr="00AF1D5F">
        <w:tab/>
        <w:t>Consideration of admissibility</w:t>
      </w:r>
    </w:p>
    <w:p w:rsidR="006B2667" w:rsidRPr="00AF1D5F" w:rsidRDefault="00CA7771" w:rsidP="008344D2">
      <w:pPr>
        <w:pStyle w:val="SingleTxtG"/>
      </w:pPr>
      <w:r w:rsidRPr="00AF1D5F">
        <w:t>6</w:t>
      </w:r>
      <w:r w:rsidR="006B2667" w:rsidRPr="00AF1D5F">
        <w:t>.1</w:t>
      </w:r>
      <w:r w:rsidR="006B2667" w:rsidRPr="00AF1D5F">
        <w:tab/>
        <w:t>Before considering a</w:t>
      </w:r>
      <w:r w:rsidR="004049B9">
        <w:t>ny</w:t>
      </w:r>
      <w:r w:rsidR="006B2667" w:rsidRPr="00AF1D5F">
        <w:t xml:space="preserve"> claim contained in a communication, the Committee must decide whether it is admissible under </w:t>
      </w:r>
      <w:r w:rsidR="00EE3B01">
        <w:t>article </w:t>
      </w:r>
      <w:r w:rsidR="006B2667" w:rsidRPr="00AF1D5F">
        <w:t xml:space="preserve">22 of the Convention. The Committee has ascertained, as it is required to do under </w:t>
      </w:r>
      <w:r w:rsidR="00EE3B01">
        <w:t>article </w:t>
      </w:r>
      <w:r w:rsidR="006B2667" w:rsidRPr="00AF1D5F">
        <w:t xml:space="preserve">22, </w:t>
      </w:r>
      <w:r w:rsidR="00EE3B01">
        <w:t>paragraph </w:t>
      </w:r>
      <w:r w:rsidR="006B2667" w:rsidRPr="00AF1D5F">
        <w:t>5</w:t>
      </w:r>
      <w:r w:rsidR="00095A4F">
        <w:t> </w:t>
      </w:r>
      <w:r w:rsidR="006B2667" w:rsidRPr="00AF1D5F">
        <w:t>(a), of the Convention, that the same matter has not been and is not being examined under another procedure of international investigation or settlement.</w:t>
      </w:r>
    </w:p>
    <w:p w:rsidR="00995E66" w:rsidRPr="00AF1D5F" w:rsidRDefault="00CA7771" w:rsidP="008344D2">
      <w:pPr>
        <w:pStyle w:val="SingleTxtG"/>
      </w:pPr>
      <w:r w:rsidRPr="00AF1D5F">
        <w:t>6</w:t>
      </w:r>
      <w:r w:rsidR="006B2667" w:rsidRPr="00AF1D5F">
        <w:t>.2</w:t>
      </w:r>
      <w:r w:rsidR="006B2667" w:rsidRPr="00AF1D5F">
        <w:tab/>
        <w:t xml:space="preserve">The Committee recalls that, in accordance with </w:t>
      </w:r>
      <w:r w:rsidR="00EE3B01">
        <w:t>article </w:t>
      </w:r>
      <w:r w:rsidR="006B2667" w:rsidRPr="00AF1D5F">
        <w:t xml:space="preserve">22, </w:t>
      </w:r>
      <w:r w:rsidR="00EE3B01">
        <w:t>paragraph </w:t>
      </w:r>
      <w:r w:rsidR="006B2667" w:rsidRPr="00AF1D5F">
        <w:t>5</w:t>
      </w:r>
      <w:r w:rsidR="00095A4F">
        <w:t> </w:t>
      </w:r>
      <w:r w:rsidR="006B2667" w:rsidRPr="00AF1D5F">
        <w:t>(b), of the Convention, it shall not consider any communication from an individual unless it has ascertained that the individual has exhausted all available domestic remedies. The Committee notes that</w:t>
      </w:r>
      <w:r w:rsidR="004049B9">
        <w:t>,</w:t>
      </w:r>
      <w:r w:rsidR="006B2667" w:rsidRPr="00AF1D5F">
        <w:t xml:space="preserve"> in the instant case</w:t>
      </w:r>
      <w:r w:rsidR="004049B9">
        <w:t>,</w:t>
      </w:r>
      <w:r w:rsidR="006B2667" w:rsidRPr="00AF1D5F">
        <w:t xml:space="preserve"> the State party </w:t>
      </w:r>
      <w:r w:rsidR="007D5622" w:rsidRPr="00AF1D5F">
        <w:t>has contested</w:t>
      </w:r>
      <w:r w:rsidR="006B2667" w:rsidRPr="00AF1D5F">
        <w:t xml:space="preserve"> </w:t>
      </w:r>
      <w:r w:rsidR="007D5622" w:rsidRPr="00AF1D5F">
        <w:t xml:space="preserve">neither the exhaustion of </w:t>
      </w:r>
      <w:r w:rsidR="006B2667" w:rsidRPr="00AF1D5F">
        <w:t>all available domestic remedies</w:t>
      </w:r>
      <w:r w:rsidR="007D5622" w:rsidRPr="00AF1D5F">
        <w:t xml:space="preserve"> by the complainant nor the admissibility of the complaint</w:t>
      </w:r>
      <w:r w:rsidR="006B2667" w:rsidRPr="00AF1D5F">
        <w:t xml:space="preserve">. </w:t>
      </w:r>
    </w:p>
    <w:p w:rsidR="00995E66" w:rsidRPr="00AF1D5F" w:rsidRDefault="00CA7771" w:rsidP="004049B9">
      <w:pPr>
        <w:pStyle w:val="SingleTxtG"/>
      </w:pPr>
      <w:r w:rsidRPr="00AF1D5F">
        <w:t>6</w:t>
      </w:r>
      <w:r w:rsidR="00995E66" w:rsidRPr="00AF1D5F">
        <w:t>.3</w:t>
      </w:r>
      <w:r w:rsidR="00995E66" w:rsidRPr="00AF1D5F">
        <w:tab/>
        <w:t>The Committee considers</w:t>
      </w:r>
      <w:r w:rsidR="007D5622" w:rsidRPr="00AF1D5F">
        <w:t xml:space="preserve"> </w:t>
      </w:r>
      <w:r w:rsidR="00995E66" w:rsidRPr="00AF1D5F">
        <w:t>that the complain</w:t>
      </w:r>
      <w:r w:rsidR="007D5622" w:rsidRPr="00AF1D5F">
        <w:t xml:space="preserve">t </w:t>
      </w:r>
      <w:r w:rsidR="00995E66" w:rsidRPr="00AF1D5F">
        <w:t>raise</w:t>
      </w:r>
      <w:r w:rsidR="007D5622" w:rsidRPr="00AF1D5F">
        <w:t>s</w:t>
      </w:r>
      <w:r w:rsidR="00995E66" w:rsidRPr="00AF1D5F">
        <w:t xml:space="preserve"> substantive issues</w:t>
      </w:r>
      <w:r w:rsidR="007D5622" w:rsidRPr="00AF1D5F">
        <w:t xml:space="preserve"> under </w:t>
      </w:r>
      <w:r w:rsidR="00EE3B01">
        <w:t>article </w:t>
      </w:r>
      <w:r w:rsidR="007D5622" w:rsidRPr="00AF1D5F">
        <w:t>3 of the Convention and that th</w:t>
      </w:r>
      <w:r w:rsidR="004049B9">
        <w:t>o</w:t>
      </w:r>
      <w:r w:rsidR="007D5622" w:rsidRPr="00AF1D5F">
        <w:t>se issues s</w:t>
      </w:r>
      <w:r w:rsidR="00995E66" w:rsidRPr="00AF1D5F">
        <w:t xml:space="preserve">hould be </w:t>
      </w:r>
      <w:r w:rsidR="007D5622" w:rsidRPr="00AF1D5F">
        <w:t xml:space="preserve">examined </w:t>
      </w:r>
      <w:r w:rsidR="00995E66" w:rsidRPr="00AF1D5F">
        <w:t xml:space="preserve">on the merits. </w:t>
      </w:r>
      <w:r w:rsidR="007D5622" w:rsidRPr="00AF1D5F">
        <w:t xml:space="preserve">As </w:t>
      </w:r>
      <w:r w:rsidR="00995E66" w:rsidRPr="00AF1D5F">
        <w:t>the Committee finds no obstacles to the admissibility</w:t>
      </w:r>
      <w:r w:rsidR="007D5622" w:rsidRPr="00AF1D5F">
        <w:t xml:space="preserve">, it </w:t>
      </w:r>
      <w:r w:rsidR="00995E66" w:rsidRPr="00AF1D5F">
        <w:t xml:space="preserve">declares the communication admissible. </w:t>
      </w:r>
    </w:p>
    <w:p w:rsidR="006B2667" w:rsidRPr="00AF1D5F" w:rsidRDefault="006B2667" w:rsidP="008344D2">
      <w:pPr>
        <w:pStyle w:val="H4G"/>
      </w:pPr>
      <w:r w:rsidRPr="00AF1D5F">
        <w:tab/>
      </w:r>
      <w:r w:rsidRPr="00AF1D5F">
        <w:tab/>
        <w:t>Consideration of the merits</w:t>
      </w:r>
    </w:p>
    <w:p w:rsidR="006B2667" w:rsidRPr="00AF1D5F" w:rsidRDefault="00CA7771" w:rsidP="008344D2">
      <w:pPr>
        <w:pStyle w:val="SingleTxtG"/>
      </w:pPr>
      <w:r w:rsidRPr="00AF1D5F">
        <w:t>7</w:t>
      </w:r>
      <w:r w:rsidR="006B2667" w:rsidRPr="00AF1D5F">
        <w:rPr>
          <w:lang w:val="en-US"/>
        </w:rPr>
        <w:t>.1</w:t>
      </w:r>
      <w:r w:rsidR="006B2667" w:rsidRPr="00AF1D5F">
        <w:rPr>
          <w:lang w:val="en-US"/>
        </w:rPr>
        <w:tab/>
      </w:r>
      <w:r w:rsidR="006B2667" w:rsidRPr="00AF1D5F">
        <w:t xml:space="preserve">In accordance with </w:t>
      </w:r>
      <w:r w:rsidR="00EE3B01">
        <w:t>article </w:t>
      </w:r>
      <w:r w:rsidR="006B2667" w:rsidRPr="00AF1D5F">
        <w:t xml:space="preserve">22, </w:t>
      </w:r>
      <w:r w:rsidR="00EE3B01">
        <w:t>paragraph </w:t>
      </w:r>
      <w:r w:rsidR="006B2667" w:rsidRPr="00AF1D5F">
        <w:t>4, of the Convention, the Committee has considered the present communication in the light of all information made available to it by the parties concerned.</w:t>
      </w:r>
    </w:p>
    <w:p w:rsidR="00995E66" w:rsidRPr="00AF1D5F" w:rsidRDefault="00CA7771" w:rsidP="00B547AD">
      <w:pPr>
        <w:pStyle w:val="SingleTxtG"/>
        <w:rPr>
          <w:lang w:val="en-US"/>
        </w:rPr>
      </w:pPr>
      <w:r w:rsidRPr="00AF1D5F">
        <w:rPr>
          <w:lang w:val="en-US"/>
        </w:rPr>
        <w:t>7</w:t>
      </w:r>
      <w:r w:rsidR="006B2667" w:rsidRPr="00AF1D5F">
        <w:rPr>
          <w:lang w:val="en-US"/>
        </w:rPr>
        <w:t>.2</w:t>
      </w:r>
      <w:r w:rsidR="006B2667" w:rsidRPr="00AF1D5F">
        <w:rPr>
          <w:lang w:val="en-US"/>
        </w:rPr>
        <w:tab/>
      </w:r>
      <w:r w:rsidR="00701B53" w:rsidRPr="00AF1D5F">
        <w:rPr>
          <w:lang w:val="en-US"/>
        </w:rPr>
        <w:t>With regard to the complainant’</w:t>
      </w:r>
      <w:r w:rsidR="00995E66" w:rsidRPr="00AF1D5F">
        <w:rPr>
          <w:lang w:val="en-US"/>
        </w:rPr>
        <w:t>s claim</w:t>
      </w:r>
      <w:r w:rsidR="00E96E54" w:rsidRPr="00AF1D5F">
        <w:rPr>
          <w:lang w:val="en-US"/>
        </w:rPr>
        <w:t xml:space="preserve"> under </w:t>
      </w:r>
      <w:r w:rsidR="00EE3B01">
        <w:rPr>
          <w:lang w:val="en-US"/>
        </w:rPr>
        <w:t>article </w:t>
      </w:r>
      <w:r w:rsidR="00E96E54" w:rsidRPr="00AF1D5F">
        <w:rPr>
          <w:lang w:val="en-US"/>
        </w:rPr>
        <w:t>3 of the Convention</w:t>
      </w:r>
      <w:r w:rsidR="00995E66" w:rsidRPr="00AF1D5F">
        <w:rPr>
          <w:lang w:val="en-US"/>
        </w:rPr>
        <w:t xml:space="preserve">, </w:t>
      </w:r>
      <w:r w:rsidR="006B2667" w:rsidRPr="00AF1D5F">
        <w:rPr>
          <w:lang w:val="en-US"/>
        </w:rPr>
        <w:t>the Committee</w:t>
      </w:r>
      <w:r w:rsidR="00995E66" w:rsidRPr="00AF1D5F">
        <w:rPr>
          <w:lang w:val="en-US"/>
        </w:rPr>
        <w:t xml:space="preserve"> must evaluate whether there are substantial grounds for believing that he would be personally in danger of being subjected to torture</w:t>
      </w:r>
      <w:r w:rsidR="004073B9" w:rsidRPr="00AF1D5F">
        <w:rPr>
          <w:lang w:val="en-US"/>
        </w:rPr>
        <w:t xml:space="preserve">, should he be </w:t>
      </w:r>
      <w:r w:rsidR="00995E66" w:rsidRPr="00AF1D5F">
        <w:rPr>
          <w:lang w:val="en-US"/>
        </w:rPr>
        <w:t>return</w:t>
      </w:r>
      <w:r w:rsidR="004073B9" w:rsidRPr="00AF1D5F">
        <w:rPr>
          <w:lang w:val="en-US"/>
        </w:rPr>
        <w:t>ed</w:t>
      </w:r>
      <w:r w:rsidR="00995E66" w:rsidRPr="00AF1D5F">
        <w:rPr>
          <w:lang w:val="en-US"/>
        </w:rPr>
        <w:t xml:space="preserve"> to </w:t>
      </w:r>
      <w:r w:rsidR="001616AD">
        <w:rPr>
          <w:lang w:val="en-US"/>
        </w:rPr>
        <w:t xml:space="preserve">the Islamic </w:t>
      </w:r>
      <w:r w:rsidR="001616AD">
        <w:rPr>
          <w:lang w:val="en-US"/>
        </w:rPr>
        <w:lastRenderedPageBreak/>
        <w:t>Republic of Iran</w:t>
      </w:r>
      <w:r w:rsidR="00995E66" w:rsidRPr="00AF1D5F">
        <w:rPr>
          <w:lang w:val="en-US"/>
        </w:rPr>
        <w:t>. In assessing th</w:t>
      </w:r>
      <w:r w:rsidR="002800FA">
        <w:rPr>
          <w:lang w:val="en-US"/>
        </w:rPr>
        <w:t>at</w:t>
      </w:r>
      <w:r w:rsidR="00995E66" w:rsidRPr="00AF1D5F">
        <w:rPr>
          <w:lang w:val="en-US"/>
        </w:rPr>
        <w:t xml:space="preserve"> risk, the Committee must take into account all relevant considerations, pursuant to </w:t>
      </w:r>
      <w:r w:rsidR="00EE3B01">
        <w:rPr>
          <w:lang w:val="en-US"/>
        </w:rPr>
        <w:t>article</w:t>
      </w:r>
      <w:r w:rsidR="00B547AD">
        <w:rPr>
          <w:lang w:val="en-US"/>
        </w:rPr>
        <w:t xml:space="preserve"> </w:t>
      </w:r>
      <w:r w:rsidR="00995E66" w:rsidRPr="00AF1D5F">
        <w:rPr>
          <w:lang w:val="en-US"/>
        </w:rPr>
        <w:t xml:space="preserve">3, </w:t>
      </w:r>
      <w:r w:rsidR="00EE3B01">
        <w:rPr>
          <w:lang w:val="en-US"/>
        </w:rPr>
        <w:t>paragraph</w:t>
      </w:r>
      <w:r w:rsidR="00B547AD">
        <w:rPr>
          <w:lang w:val="en-US"/>
        </w:rPr>
        <w:t xml:space="preserve"> </w:t>
      </w:r>
      <w:r w:rsidR="00995E66" w:rsidRPr="00AF1D5F">
        <w:rPr>
          <w:lang w:val="en-US"/>
        </w:rPr>
        <w:t>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w:t>
      </w:r>
      <w:r w:rsidR="00B547AD">
        <w:rPr>
          <w:lang w:val="en-US"/>
        </w:rPr>
        <w:t>,</w:t>
      </w:r>
      <w:r w:rsidR="00995E66" w:rsidRPr="00AF1D5F">
        <w:rPr>
          <w:lang w:val="en-US"/>
        </w:rPr>
        <w:t xml:space="preserve"> as such</w:t>
      </w:r>
      <w:r w:rsidR="00B547AD">
        <w:rPr>
          <w:lang w:val="en-US"/>
        </w:rPr>
        <w:t>,</w:t>
      </w:r>
      <w:r w:rsidR="00995E66" w:rsidRPr="00AF1D5F">
        <w:rPr>
          <w:lang w:val="en-US"/>
        </w:rPr>
        <w:t xml:space="preserve">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6B2667" w:rsidRPr="00AF1D5F" w:rsidRDefault="00CA7771" w:rsidP="008344D2">
      <w:pPr>
        <w:pStyle w:val="SingleTxtG"/>
      </w:pPr>
      <w:r w:rsidRPr="00AF1D5F">
        <w:t>7</w:t>
      </w:r>
      <w:r w:rsidR="006B2667" w:rsidRPr="00AF1D5F">
        <w:t>.3</w:t>
      </w:r>
      <w:r w:rsidR="006B2667" w:rsidRPr="00AF1D5F">
        <w:tab/>
        <w:t xml:space="preserve">The Committee </w:t>
      </w:r>
      <w:r w:rsidR="00095A4F">
        <w:t>recalls its general comment No. </w:t>
      </w:r>
      <w:r w:rsidR="006B2667" w:rsidRPr="00AF1D5F">
        <w:t>1, according to which the risk of torture must be assessed on grounds that go beyond mere theory or suspicion. While the risk does not have to meet the test of being “highly probable”, the Committee notes that the burden of proof generally falls on the complainant, who must present an arguable case that he or she faces a “foreseeable, real and personal” risk.</w:t>
      </w:r>
      <w:r w:rsidR="00EA4812">
        <w:rPr>
          <w:rStyle w:val="FootnoteReference"/>
        </w:rPr>
        <w:footnoteReference w:id="17"/>
      </w:r>
      <w:r w:rsidR="006B2667" w:rsidRPr="00AF1D5F">
        <w:t xml:space="preserve"> The Committee further recalls that</w:t>
      </w:r>
      <w:r w:rsidR="000A6DA3">
        <w:t>,</w:t>
      </w:r>
      <w:r w:rsidR="006B2667" w:rsidRPr="00AF1D5F">
        <w:t xml:space="preserve"> in accordan</w:t>
      </w:r>
      <w:r w:rsidR="00095A4F">
        <w:t>ce with its general comment No. </w:t>
      </w:r>
      <w:r w:rsidR="006B2667" w:rsidRPr="00AF1D5F">
        <w:t>1, it gives considerable weight to findings of fact that are made by organs of the State party concerned,</w:t>
      </w:r>
      <w:r w:rsidR="00EA4812">
        <w:rPr>
          <w:rStyle w:val="FootnoteReference"/>
        </w:rPr>
        <w:footnoteReference w:id="18"/>
      </w:r>
      <w:r w:rsidR="006B2667" w:rsidRPr="00AF1D5F">
        <w:t xml:space="preserve"> while at the same time it is not bound by such findings and instead has the power, provided by </w:t>
      </w:r>
      <w:r w:rsidR="00EE3B01">
        <w:t>article </w:t>
      </w:r>
      <w:r w:rsidR="006B2667" w:rsidRPr="00AF1D5F">
        <w:t xml:space="preserve">22, </w:t>
      </w:r>
      <w:r w:rsidR="00EE3B01">
        <w:t>paragraph </w:t>
      </w:r>
      <w:r w:rsidR="006B2667" w:rsidRPr="00AF1D5F">
        <w:t xml:space="preserve">4, of the Convention, of free assessment of the facts based upon the full set of circumstances in every case. </w:t>
      </w:r>
    </w:p>
    <w:p w:rsidR="001B7C47" w:rsidRPr="00AF1D5F" w:rsidRDefault="00CA7771" w:rsidP="00582314">
      <w:pPr>
        <w:pStyle w:val="SingleTxtG"/>
      </w:pPr>
      <w:r w:rsidRPr="00AF1D5F">
        <w:t>7</w:t>
      </w:r>
      <w:r w:rsidR="00CB076C" w:rsidRPr="00AF1D5F">
        <w:t>.4</w:t>
      </w:r>
      <w:r w:rsidR="00CB076C" w:rsidRPr="00AF1D5F">
        <w:tab/>
      </w:r>
      <w:r w:rsidR="001B7C47" w:rsidRPr="00AF1D5F">
        <w:t>In assessing the risk of torture in the present case, the Committee notes the complainant’s contention that there is a foreseeable, real and personal risk that he will be persecuted, tortured</w:t>
      </w:r>
      <w:r w:rsidR="000A6DA3">
        <w:t>,</w:t>
      </w:r>
      <w:r w:rsidR="001B7C47" w:rsidRPr="00AF1D5F">
        <w:t xml:space="preserve"> and</w:t>
      </w:r>
      <w:r w:rsidR="00143E3C" w:rsidRPr="00AF1D5F">
        <w:t xml:space="preserve"> eventually sentenced to death and</w:t>
      </w:r>
      <w:r w:rsidR="001B7C47" w:rsidRPr="00AF1D5F">
        <w:t xml:space="preserve"> executed, if returned to </w:t>
      </w:r>
      <w:r w:rsidR="001616AD">
        <w:t>the Islamic Republic of Iran</w:t>
      </w:r>
      <w:r w:rsidR="001B7C47" w:rsidRPr="00AF1D5F">
        <w:t xml:space="preserve">, based on his past political activities there, his illegal departure from the country, his failed asylum application, and his atheistic and agnostic views and related activities </w:t>
      </w:r>
      <w:r w:rsidR="00143E3C" w:rsidRPr="00AF1D5F">
        <w:t xml:space="preserve">as </w:t>
      </w:r>
      <w:r w:rsidR="001B7C47" w:rsidRPr="00AF1D5F">
        <w:t>pursued in Switzerland. It also notes the State party’s observations concerning the complainant’s lack of credibility</w:t>
      </w:r>
      <w:r w:rsidR="00163E36" w:rsidRPr="00AF1D5F">
        <w:t xml:space="preserve">, </w:t>
      </w:r>
      <w:r w:rsidR="00143E3C" w:rsidRPr="00AF1D5F">
        <w:t xml:space="preserve">in particular the doubts regarding his departure from </w:t>
      </w:r>
      <w:r w:rsidR="001616AD">
        <w:t>the Islamic Republic of Iran</w:t>
      </w:r>
      <w:r w:rsidR="00163E36" w:rsidRPr="00AF1D5F">
        <w:t xml:space="preserve"> </w:t>
      </w:r>
      <w:r w:rsidR="00582314" w:rsidRPr="00582314">
        <w:t>because of his alleged involvement</w:t>
      </w:r>
      <w:r w:rsidR="00143E3C" w:rsidRPr="00AF1D5F">
        <w:t xml:space="preserve"> in </w:t>
      </w:r>
      <w:r w:rsidR="00163E36" w:rsidRPr="00AF1D5F">
        <w:t xml:space="preserve">the December 2009 protests. </w:t>
      </w:r>
      <w:r w:rsidR="00C169B7" w:rsidRPr="00AF1D5F">
        <w:t>It notes that the</w:t>
      </w:r>
      <w:r w:rsidR="00143E3C" w:rsidRPr="00AF1D5F">
        <w:t xml:space="preserve"> State party’s </w:t>
      </w:r>
      <w:r w:rsidR="001B7C47" w:rsidRPr="00AF1D5F">
        <w:t>concerns are based</w:t>
      </w:r>
      <w:r w:rsidR="00EA49BB" w:rsidRPr="00AF1D5F">
        <w:t xml:space="preserve"> on</w:t>
      </w:r>
      <w:r w:rsidR="001B7C47" w:rsidRPr="00AF1D5F">
        <w:t>, inter alia</w:t>
      </w:r>
      <w:r w:rsidR="00661962">
        <w:t>:</w:t>
      </w:r>
      <w:r w:rsidR="001B7C47" w:rsidRPr="00AF1D5F">
        <w:t xml:space="preserve"> his allegedly unrealistic description of </w:t>
      </w:r>
      <w:r w:rsidR="00EA49BB" w:rsidRPr="00AF1D5F">
        <w:t xml:space="preserve">the reasons for his attacking the officials during the demonstration of 27 December 2009, </w:t>
      </w:r>
      <w:r w:rsidR="003B031D" w:rsidRPr="00AF1D5F">
        <w:t xml:space="preserve">as well as of </w:t>
      </w:r>
      <w:r w:rsidR="00EA49BB" w:rsidRPr="00AF1D5F">
        <w:t>his arrest and escape</w:t>
      </w:r>
      <w:r w:rsidR="001B7C47" w:rsidRPr="00AF1D5F">
        <w:t xml:space="preserve">; </w:t>
      </w:r>
      <w:r w:rsidR="00701B53" w:rsidRPr="00AF1D5F">
        <w:t xml:space="preserve">the discrepancy in his description of the duration of his </w:t>
      </w:r>
      <w:r w:rsidR="00EA49BB" w:rsidRPr="00AF1D5F">
        <w:t>detention</w:t>
      </w:r>
      <w:r w:rsidR="00701B53" w:rsidRPr="00AF1D5F">
        <w:t xml:space="preserve"> in the </w:t>
      </w:r>
      <w:r w:rsidR="00C169B7" w:rsidRPr="00AF1D5F">
        <w:t xml:space="preserve">police </w:t>
      </w:r>
      <w:r w:rsidR="00701B53" w:rsidRPr="00AF1D5F">
        <w:t>van;</w:t>
      </w:r>
      <w:r w:rsidR="00EA49BB" w:rsidRPr="00AF1D5F">
        <w:t xml:space="preserve"> </w:t>
      </w:r>
      <w:r w:rsidR="001B7C47" w:rsidRPr="00AF1D5F">
        <w:t xml:space="preserve">the allegedly unrealistic </w:t>
      </w:r>
      <w:r w:rsidR="00582314">
        <w:t>statements</w:t>
      </w:r>
      <w:r w:rsidR="001B7C47" w:rsidRPr="00AF1D5F">
        <w:t xml:space="preserve">, </w:t>
      </w:r>
      <w:r w:rsidR="00EA49BB" w:rsidRPr="00AF1D5F">
        <w:t xml:space="preserve">made </w:t>
      </w:r>
      <w:r w:rsidR="001B7C47" w:rsidRPr="00AF1D5F">
        <w:t>by</w:t>
      </w:r>
      <w:r w:rsidR="00EA49BB" w:rsidRPr="00AF1D5F">
        <w:t xml:space="preserve"> the</w:t>
      </w:r>
      <w:r w:rsidR="001B7C47" w:rsidRPr="00AF1D5F">
        <w:t xml:space="preserve"> officials during t</w:t>
      </w:r>
      <w:r w:rsidR="00EA49BB" w:rsidRPr="00AF1D5F">
        <w:t>he search of his parents’</w:t>
      </w:r>
      <w:r w:rsidR="001B7C47" w:rsidRPr="00AF1D5F">
        <w:t xml:space="preserve"> house, regarding the grounds for his prosecution; the alleged inauthenticity of the summons by</w:t>
      </w:r>
      <w:r w:rsidR="00EA49BB" w:rsidRPr="00AF1D5F">
        <w:t xml:space="preserve"> the Revolutionary Tribunal; and </w:t>
      </w:r>
      <w:r w:rsidR="001B7C47" w:rsidRPr="00AF1D5F">
        <w:t xml:space="preserve">his failure to indicate his exact travel itinerary and to prove that he had left </w:t>
      </w:r>
      <w:r w:rsidR="001616AD">
        <w:t>the Islamic Republic of Iran</w:t>
      </w:r>
      <w:r w:rsidR="001B7C47" w:rsidRPr="00AF1D5F">
        <w:t xml:space="preserve"> illegally. The Committee also notes the State party’s argument</w:t>
      </w:r>
      <w:r w:rsidR="00C169B7" w:rsidRPr="00AF1D5F">
        <w:t>ation</w:t>
      </w:r>
      <w:r w:rsidR="001B7C47" w:rsidRPr="00AF1D5F">
        <w:t xml:space="preserve"> </w:t>
      </w:r>
      <w:r w:rsidR="00C169B7" w:rsidRPr="00AF1D5F">
        <w:t xml:space="preserve">to the effect </w:t>
      </w:r>
      <w:r w:rsidR="001B7C47" w:rsidRPr="00AF1D5F">
        <w:t xml:space="preserve">that the complainant had not been tortured in </w:t>
      </w:r>
      <w:r w:rsidR="001616AD">
        <w:t>the Islamic Republic of Iran</w:t>
      </w:r>
      <w:r w:rsidR="001B7C47" w:rsidRPr="00AF1D5F">
        <w:t>, which has not been challenged by the complainant.</w:t>
      </w:r>
    </w:p>
    <w:p w:rsidR="004073B9" w:rsidRPr="00AF1D5F" w:rsidRDefault="00CA7771" w:rsidP="00F3539B">
      <w:pPr>
        <w:pStyle w:val="SingleTxtG"/>
        <w:rPr>
          <w:bCs/>
        </w:rPr>
      </w:pPr>
      <w:r w:rsidRPr="00AF1D5F">
        <w:t>7</w:t>
      </w:r>
      <w:r w:rsidR="001B7C47" w:rsidRPr="00AF1D5F">
        <w:t>.5</w:t>
      </w:r>
      <w:r w:rsidR="001B7C47" w:rsidRPr="00AF1D5F">
        <w:tab/>
      </w:r>
      <w:r w:rsidR="004073B9" w:rsidRPr="00AF1D5F">
        <w:t>Referring to its recent jurisprudence</w:t>
      </w:r>
      <w:r w:rsidR="00095A4F">
        <w:t>,</w:t>
      </w:r>
      <w:r w:rsidR="00006F44">
        <w:rPr>
          <w:rStyle w:val="FootnoteReference"/>
          <w:bCs/>
          <w:lang w:val="en-US"/>
        </w:rPr>
        <w:footnoteReference w:id="19"/>
      </w:r>
      <w:r w:rsidR="004073B9" w:rsidRPr="00AF1D5F">
        <w:t xml:space="preserve"> the Committee recalls</w:t>
      </w:r>
      <w:r w:rsidR="00006F44">
        <w:t xml:space="preserve"> that </w:t>
      </w:r>
      <w:r w:rsidR="00006F44" w:rsidRPr="00E45A21">
        <w:rPr>
          <w:bCs/>
          <w:lang w:val="en-US"/>
        </w:rPr>
        <w:t xml:space="preserve">there are continuing reports regarding the use of psychological and physical torture to solicit confessions in </w:t>
      </w:r>
      <w:r w:rsidR="001616AD">
        <w:rPr>
          <w:bCs/>
          <w:lang w:val="en-US"/>
        </w:rPr>
        <w:t>the Islamic Republic of Iran</w:t>
      </w:r>
      <w:r w:rsidR="00006F44" w:rsidRPr="00E45A21">
        <w:rPr>
          <w:bCs/>
          <w:lang w:val="en-US"/>
        </w:rPr>
        <w:t xml:space="preserve">, which indicate the widespread and systematic </w:t>
      </w:r>
      <w:r w:rsidR="00006F44" w:rsidRPr="00E45A21">
        <w:rPr>
          <w:bCs/>
          <w:lang w:val="en-US"/>
        </w:rPr>
        <w:lastRenderedPageBreak/>
        <w:t>use of such pr</w:t>
      </w:r>
      <w:r w:rsidR="00006F44" w:rsidRPr="00F3539B">
        <w:rPr>
          <w:bCs/>
          <w:lang w:val="en-US"/>
        </w:rPr>
        <w:t>actices</w:t>
      </w:r>
      <w:r w:rsidR="00095A4F" w:rsidRPr="00F3539B">
        <w:rPr>
          <w:bCs/>
          <w:lang w:val="en-US"/>
        </w:rPr>
        <w:t>.</w:t>
      </w:r>
      <w:r w:rsidR="00F3539B">
        <w:rPr>
          <w:rStyle w:val="FootnoteReference"/>
          <w:bCs/>
          <w:lang w:val="en-US"/>
        </w:rPr>
        <w:footnoteReference w:id="20"/>
      </w:r>
      <w:r w:rsidR="00EE3B01" w:rsidRPr="00F3539B">
        <w:rPr>
          <w:bCs/>
          <w:lang w:val="en-US"/>
        </w:rPr>
        <w:t xml:space="preserve"> </w:t>
      </w:r>
      <w:r w:rsidR="004073B9" w:rsidRPr="00F3539B">
        <w:rPr>
          <w:bCs/>
        </w:rPr>
        <w:t>The Com</w:t>
      </w:r>
      <w:r w:rsidR="004073B9" w:rsidRPr="00AF1D5F">
        <w:rPr>
          <w:bCs/>
        </w:rPr>
        <w:t xml:space="preserve">mittee does not have information that this situation has significantly improved </w:t>
      </w:r>
      <w:r w:rsidR="00255302">
        <w:rPr>
          <w:bCs/>
        </w:rPr>
        <w:t>since</w:t>
      </w:r>
      <w:r w:rsidR="00255302" w:rsidRPr="00AF1D5F">
        <w:rPr>
          <w:bCs/>
        </w:rPr>
        <w:t xml:space="preserve"> </w:t>
      </w:r>
      <w:r w:rsidR="004073B9" w:rsidRPr="00AF1D5F">
        <w:rPr>
          <w:bCs/>
        </w:rPr>
        <w:t>the change in leadership in 2013.</w:t>
      </w:r>
      <w:r w:rsidR="00C52172">
        <w:rPr>
          <w:rStyle w:val="FootnoteReference"/>
          <w:bCs/>
        </w:rPr>
        <w:footnoteReference w:id="21"/>
      </w:r>
      <w:r w:rsidR="004073B9" w:rsidRPr="00AF1D5F">
        <w:rPr>
          <w:bCs/>
        </w:rPr>
        <w:t xml:space="preserve"> In this regard, the Committee takes into consideration ongoing reports of in</w:t>
      </w:r>
      <w:r w:rsidR="003B031D" w:rsidRPr="00AF1D5F">
        <w:rPr>
          <w:bCs/>
        </w:rPr>
        <w:t xml:space="preserve">cidents </w:t>
      </w:r>
      <w:r w:rsidR="004073B9" w:rsidRPr="00AF1D5F">
        <w:rPr>
          <w:bCs/>
        </w:rPr>
        <w:t xml:space="preserve">of </w:t>
      </w:r>
      <w:r w:rsidR="00255302">
        <w:rPr>
          <w:bCs/>
        </w:rPr>
        <w:t xml:space="preserve">the </w:t>
      </w:r>
      <w:r w:rsidR="004073B9" w:rsidRPr="00AF1D5F">
        <w:rPr>
          <w:bCs/>
        </w:rPr>
        <w:t>detention and torture of political opponents.</w:t>
      </w:r>
      <w:r w:rsidR="00C52172">
        <w:rPr>
          <w:rStyle w:val="FootnoteReference"/>
          <w:bCs/>
        </w:rPr>
        <w:footnoteReference w:id="22"/>
      </w:r>
      <w:r w:rsidR="004073B9" w:rsidRPr="00AF1D5F">
        <w:rPr>
          <w:bCs/>
        </w:rPr>
        <w:t xml:space="preserve"> The Committee considers that this is all the more worrying in </w:t>
      </w:r>
      <w:r w:rsidR="00E65EC1" w:rsidRPr="00AF1D5F">
        <w:rPr>
          <w:bCs/>
        </w:rPr>
        <w:t xml:space="preserve">the </w:t>
      </w:r>
      <w:r w:rsidR="004073B9" w:rsidRPr="00AF1D5F">
        <w:rPr>
          <w:bCs/>
        </w:rPr>
        <w:t xml:space="preserve">light of the fact that </w:t>
      </w:r>
      <w:r w:rsidR="001616AD">
        <w:rPr>
          <w:bCs/>
        </w:rPr>
        <w:t>the Islamic Republic of Iran</w:t>
      </w:r>
      <w:r w:rsidR="004073B9" w:rsidRPr="00AF1D5F">
        <w:rPr>
          <w:bCs/>
        </w:rPr>
        <w:t xml:space="preserve"> frequently administers the death penalty, including public executions </w:t>
      </w:r>
      <w:r w:rsidR="00255302">
        <w:rPr>
          <w:bCs/>
        </w:rPr>
        <w:t>of</w:t>
      </w:r>
      <w:r w:rsidR="00255302" w:rsidRPr="00AF1D5F">
        <w:rPr>
          <w:bCs/>
        </w:rPr>
        <w:t xml:space="preserve"> </w:t>
      </w:r>
      <w:r w:rsidR="004073B9" w:rsidRPr="00AF1D5F">
        <w:rPr>
          <w:bCs/>
        </w:rPr>
        <w:t>political prisoners,</w:t>
      </w:r>
      <w:r w:rsidR="00402FC0">
        <w:rPr>
          <w:rStyle w:val="FootnoteReference"/>
          <w:bCs/>
        </w:rPr>
        <w:footnoteReference w:id="23"/>
      </w:r>
      <w:r w:rsidR="004073B9" w:rsidRPr="00AF1D5F">
        <w:rPr>
          <w:bCs/>
        </w:rPr>
        <w:t xml:space="preserve"> and applies it without due process and in cases involving certain crimes </w:t>
      </w:r>
      <w:r w:rsidR="00255302">
        <w:rPr>
          <w:bCs/>
        </w:rPr>
        <w:t>that do not meet</w:t>
      </w:r>
      <w:r w:rsidR="004073B9" w:rsidRPr="00AF1D5F">
        <w:rPr>
          <w:bCs/>
        </w:rPr>
        <w:t xml:space="preserve"> international standards for “most serious” offences.</w:t>
      </w:r>
      <w:r w:rsidR="00524CC3">
        <w:rPr>
          <w:rStyle w:val="FootnoteReference"/>
          <w:bCs/>
        </w:rPr>
        <w:footnoteReference w:id="24"/>
      </w:r>
      <w:r w:rsidR="004073B9" w:rsidRPr="00AF1D5F">
        <w:rPr>
          <w:bCs/>
        </w:rPr>
        <w:t xml:space="preserve"> The Committee notes that the State party itself has recognized that the human rights situation in </w:t>
      </w:r>
      <w:r w:rsidR="001616AD">
        <w:rPr>
          <w:bCs/>
        </w:rPr>
        <w:t>the Islamic Republic of Iran</w:t>
      </w:r>
      <w:r w:rsidR="004073B9" w:rsidRPr="00AF1D5F">
        <w:rPr>
          <w:bCs/>
        </w:rPr>
        <w:t xml:space="preserve"> is preoccupying.</w:t>
      </w:r>
      <w:r w:rsidR="00524CC3">
        <w:rPr>
          <w:rStyle w:val="FootnoteReference"/>
          <w:bCs/>
        </w:rPr>
        <w:footnoteReference w:id="25"/>
      </w:r>
    </w:p>
    <w:p w:rsidR="00BE328E" w:rsidRPr="00AF1D5F" w:rsidRDefault="00CA7771" w:rsidP="003B28E8">
      <w:pPr>
        <w:pStyle w:val="SingleTxtG"/>
        <w:rPr>
          <w:bCs/>
        </w:rPr>
      </w:pPr>
      <w:r w:rsidRPr="00AF1D5F">
        <w:rPr>
          <w:bCs/>
        </w:rPr>
        <w:t>7</w:t>
      </w:r>
      <w:r w:rsidR="00477F44" w:rsidRPr="00AF1D5F">
        <w:rPr>
          <w:bCs/>
        </w:rPr>
        <w:t>.6</w:t>
      </w:r>
      <w:r w:rsidR="00477F44" w:rsidRPr="00AF1D5F">
        <w:rPr>
          <w:bCs/>
        </w:rPr>
        <w:tab/>
      </w:r>
      <w:r w:rsidR="001B7C47" w:rsidRPr="00AF1D5F">
        <w:rPr>
          <w:bCs/>
        </w:rPr>
        <w:t>In</w:t>
      </w:r>
      <w:r w:rsidR="00477F44" w:rsidRPr="00AF1D5F">
        <w:rPr>
          <w:bCs/>
        </w:rPr>
        <w:t xml:space="preserve"> the present case, the Committee notes the complainant’s claims that he was </w:t>
      </w:r>
      <w:r w:rsidRPr="00AF1D5F">
        <w:rPr>
          <w:bCs/>
        </w:rPr>
        <w:t xml:space="preserve">expelled from </w:t>
      </w:r>
      <w:r w:rsidR="00F623EE">
        <w:rPr>
          <w:bCs/>
        </w:rPr>
        <w:t>u</w:t>
      </w:r>
      <w:r w:rsidR="00AF1D5F" w:rsidRPr="00AF1D5F">
        <w:rPr>
          <w:bCs/>
        </w:rPr>
        <w:t>niversity</w:t>
      </w:r>
      <w:r w:rsidRPr="00AF1D5F">
        <w:rPr>
          <w:bCs/>
        </w:rPr>
        <w:t xml:space="preserve"> </w:t>
      </w:r>
      <w:r w:rsidR="00F623EE">
        <w:rPr>
          <w:bCs/>
        </w:rPr>
        <w:t>on account of</w:t>
      </w:r>
      <w:r w:rsidR="00C169B7" w:rsidRPr="00AF1D5F">
        <w:rPr>
          <w:bCs/>
        </w:rPr>
        <w:t xml:space="preserve"> </w:t>
      </w:r>
      <w:r w:rsidRPr="00AF1D5F">
        <w:rPr>
          <w:bCs/>
        </w:rPr>
        <w:t>his political views</w:t>
      </w:r>
      <w:r w:rsidR="00F623EE">
        <w:rPr>
          <w:bCs/>
        </w:rPr>
        <w:t>,</w:t>
      </w:r>
      <w:r w:rsidRPr="00AF1D5F">
        <w:rPr>
          <w:bCs/>
        </w:rPr>
        <w:t xml:space="preserve"> that he was </w:t>
      </w:r>
      <w:r w:rsidR="00477F44" w:rsidRPr="00AF1D5F">
        <w:rPr>
          <w:bCs/>
        </w:rPr>
        <w:t xml:space="preserve">arrested by the Iranian police and </w:t>
      </w:r>
      <w:r w:rsidR="00C533CC" w:rsidRPr="00AF1D5F">
        <w:rPr>
          <w:bCs/>
        </w:rPr>
        <w:t>detained</w:t>
      </w:r>
      <w:r w:rsidR="00477F44" w:rsidRPr="00AF1D5F">
        <w:rPr>
          <w:bCs/>
        </w:rPr>
        <w:t xml:space="preserve"> </w:t>
      </w:r>
      <w:r w:rsidRPr="00AF1D5F">
        <w:rPr>
          <w:bCs/>
        </w:rPr>
        <w:t xml:space="preserve">and beaten </w:t>
      </w:r>
      <w:r w:rsidR="00477F44" w:rsidRPr="00AF1D5F">
        <w:rPr>
          <w:bCs/>
        </w:rPr>
        <w:t xml:space="preserve">in a van during the </w:t>
      </w:r>
      <w:r w:rsidR="002A668B" w:rsidRPr="00AF1D5F">
        <w:t>27 December 2009 demonstration against the regime in power</w:t>
      </w:r>
      <w:r w:rsidR="00F623EE">
        <w:t>,</w:t>
      </w:r>
      <w:r w:rsidR="002A668B" w:rsidRPr="00AF1D5F">
        <w:t xml:space="preserve"> that his parents’ house was searched </w:t>
      </w:r>
      <w:r w:rsidR="00AA6729" w:rsidRPr="00AF1D5F">
        <w:t xml:space="preserve">subsequently on </w:t>
      </w:r>
      <w:r w:rsidR="002A668B" w:rsidRPr="00AF1D5F">
        <w:t xml:space="preserve">three </w:t>
      </w:r>
      <w:r w:rsidR="00AA6729" w:rsidRPr="00AF1D5F">
        <w:t>occasions</w:t>
      </w:r>
      <w:r w:rsidR="002A668B" w:rsidRPr="00AF1D5F">
        <w:t xml:space="preserve"> in that connection and </w:t>
      </w:r>
      <w:r w:rsidR="00F623EE">
        <w:t xml:space="preserve">that </w:t>
      </w:r>
      <w:r w:rsidR="002A668B" w:rsidRPr="00AF1D5F">
        <w:t>officials confiscated banned publications therefrom</w:t>
      </w:r>
      <w:r w:rsidR="00F623EE">
        <w:t>,</w:t>
      </w:r>
      <w:r w:rsidR="002A668B" w:rsidRPr="00AF1D5F">
        <w:t xml:space="preserve"> </w:t>
      </w:r>
      <w:r w:rsidR="00AA6729" w:rsidRPr="00AF1D5F">
        <w:t xml:space="preserve">that he left </w:t>
      </w:r>
      <w:r w:rsidR="001616AD">
        <w:t>the Islamic Republic of Iran</w:t>
      </w:r>
      <w:r w:rsidR="00AA6729" w:rsidRPr="00AF1D5F">
        <w:t xml:space="preserve"> illegally fearing persecution</w:t>
      </w:r>
      <w:r w:rsidR="00F623EE">
        <w:t>,</w:t>
      </w:r>
      <w:r w:rsidR="00AA6729" w:rsidRPr="00AF1D5F">
        <w:t xml:space="preserve"> </w:t>
      </w:r>
      <w:r w:rsidR="002A668B" w:rsidRPr="00AF1D5F">
        <w:t xml:space="preserve">that the Revolutionary Tribunal </w:t>
      </w:r>
      <w:r w:rsidR="009A5E2D" w:rsidRPr="00AF1D5F">
        <w:t>summoned him</w:t>
      </w:r>
      <w:r w:rsidR="00F623EE">
        <w:t>,</w:t>
      </w:r>
      <w:r w:rsidR="009A5E2D" w:rsidRPr="00AF1D5F">
        <w:t xml:space="preserve"> </w:t>
      </w:r>
      <w:r w:rsidR="00F623EE">
        <w:t>that he sought asylum in Switzerland but his asylum application was rejected,</w:t>
      </w:r>
      <w:r w:rsidR="002F40D8" w:rsidRPr="00AF1D5F">
        <w:t xml:space="preserve"> </w:t>
      </w:r>
      <w:r w:rsidR="002A668B" w:rsidRPr="00AF1D5F">
        <w:t xml:space="preserve">and that he has adopted atheistic and agnostic views and translated </w:t>
      </w:r>
      <w:r w:rsidR="009A5E2D" w:rsidRPr="00AF1D5F">
        <w:t xml:space="preserve">related publications </w:t>
      </w:r>
      <w:r w:rsidR="002A668B" w:rsidRPr="00AF1D5F">
        <w:t>into Farsi</w:t>
      </w:r>
      <w:r w:rsidR="009A5E2D" w:rsidRPr="00AF1D5F">
        <w:t xml:space="preserve"> while in Switzerland. The Committee notes the complainant’s submissions that those elements </w:t>
      </w:r>
      <w:r w:rsidR="00AA6729" w:rsidRPr="00AF1D5F">
        <w:t xml:space="preserve">demonstrate the existence of </w:t>
      </w:r>
      <w:r w:rsidR="009A5E2D" w:rsidRPr="00AF1D5F">
        <w:t xml:space="preserve">a real and personal risk of torture, should he be returned to </w:t>
      </w:r>
      <w:r w:rsidR="001616AD">
        <w:t>the Islamic Republic of Iran</w:t>
      </w:r>
      <w:r w:rsidR="009A5E2D" w:rsidRPr="00AF1D5F">
        <w:t xml:space="preserve">. The Committee also notes that the State party challenges the complainant’s credibility based on </w:t>
      </w:r>
      <w:r w:rsidR="009862FC" w:rsidRPr="00AF1D5F">
        <w:t xml:space="preserve">factual </w:t>
      </w:r>
      <w:r w:rsidR="006E6346" w:rsidRPr="00AF1D5F">
        <w:t>discrepancies</w:t>
      </w:r>
      <w:r w:rsidR="008157CA" w:rsidRPr="00AF1D5F">
        <w:t>,</w:t>
      </w:r>
      <w:r w:rsidR="009A5E2D" w:rsidRPr="00AF1D5F">
        <w:t xml:space="preserve"> </w:t>
      </w:r>
      <w:r w:rsidR="009862FC" w:rsidRPr="00AF1D5F">
        <w:t>the lack of details</w:t>
      </w:r>
      <w:r w:rsidR="003B28E8">
        <w:t>,</w:t>
      </w:r>
      <w:r w:rsidR="008157CA" w:rsidRPr="00AF1D5F">
        <w:t xml:space="preserve"> and his failure to prove the authenticity of the summons, </w:t>
      </w:r>
      <w:r w:rsidR="003B28E8">
        <w:t>for example</w:t>
      </w:r>
      <w:r w:rsidR="008157CA" w:rsidRPr="00AF1D5F">
        <w:t xml:space="preserve"> by producing an arrest warrant in his name</w:t>
      </w:r>
      <w:r w:rsidR="009862FC" w:rsidRPr="00AF1D5F">
        <w:t xml:space="preserve">. </w:t>
      </w:r>
      <w:r w:rsidR="006E6346" w:rsidRPr="00AF1D5F">
        <w:t xml:space="preserve">The Committee recalls its jurisprudence that </w:t>
      </w:r>
      <w:r w:rsidR="006E6346" w:rsidRPr="00AF1D5F">
        <w:rPr>
          <w:bCs/>
        </w:rPr>
        <w:t>such inconsistencies and lack of details as may exist in the author’s presentation of the facts are not material and do not raise doubts about the general veracity of the author’s claims.</w:t>
      </w:r>
      <w:r w:rsidR="003905A2">
        <w:rPr>
          <w:rStyle w:val="FootnoteReference"/>
          <w:bCs/>
        </w:rPr>
        <w:footnoteReference w:id="26"/>
      </w:r>
      <w:r w:rsidR="008157CA" w:rsidRPr="00AF1D5F">
        <w:rPr>
          <w:bCs/>
        </w:rPr>
        <w:t xml:space="preserve"> </w:t>
      </w:r>
      <w:r w:rsidR="006829B6">
        <w:rPr>
          <w:bCs/>
        </w:rPr>
        <w:t>The Committee further</w:t>
      </w:r>
      <w:r w:rsidR="005A7E9E" w:rsidRPr="00AF1D5F">
        <w:rPr>
          <w:bCs/>
        </w:rPr>
        <w:t xml:space="preserve"> notes that </w:t>
      </w:r>
      <w:r w:rsidR="00AA6729" w:rsidRPr="00AF1D5F">
        <w:rPr>
          <w:bCs/>
        </w:rPr>
        <w:t xml:space="preserve">it does not appear </w:t>
      </w:r>
      <w:r w:rsidR="004E52BB">
        <w:rPr>
          <w:bCs/>
        </w:rPr>
        <w:t>from</w:t>
      </w:r>
      <w:r w:rsidR="00AA6729" w:rsidRPr="00AF1D5F">
        <w:rPr>
          <w:bCs/>
        </w:rPr>
        <w:t xml:space="preserve"> the </w:t>
      </w:r>
      <w:r w:rsidR="003B031D" w:rsidRPr="00AF1D5F">
        <w:rPr>
          <w:bCs/>
        </w:rPr>
        <w:t>material</w:t>
      </w:r>
      <w:r w:rsidR="00AA6729" w:rsidRPr="00AF1D5F">
        <w:rPr>
          <w:bCs/>
        </w:rPr>
        <w:t xml:space="preserve"> on file that any </w:t>
      </w:r>
      <w:r w:rsidR="005A7E9E" w:rsidRPr="00AF1D5F">
        <w:rPr>
          <w:bCs/>
        </w:rPr>
        <w:t xml:space="preserve">verification of the </w:t>
      </w:r>
      <w:r w:rsidR="003B031D" w:rsidRPr="00AF1D5F">
        <w:rPr>
          <w:bCs/>
        </w:rPr>
        <w:t>summons</w:t>
      </w:r>
      <w:r w:rsidR="005A7E9E" w:rsidRPr="00AF1D5F">
        <w:rPr>
          <w:bCs/>
        </w:rPr>
        <w:t xml:space="preserve"> has been conducted by the State party’s competent authorities. </w:t>
      </w:r>
      <w:r w:rsidR="006829B6">
        <w:rPr>
          <w:bCs/>
        </w:rPr>
        <w:t>In addition,</w:t>
      </w:r>
      <w:r w:rsidR="005A7E9E" w:rsidRPr="00AF1D5F">
        <w:rPr>
          <w:bCs/>
        </w:rPr>
        <w:t xml:space="preserve"> </w:t>
      </w:r>
      <w:r w:rsidR="00AA6729" w:rsidRPr="00AF1D5F">
        <w:rPr>
          <w:bCs/>
        </w:rPr>
        <w:t xml:space="preserve">pursuant </w:t>
      </w:r>
      <w:r w:rsidR="003B031D" w:rsidRPr="00AF1D5F">
        <w:rPr>
          <w:bCs/>
        </w:rPr>
        <w:t xml:space="preserve">to </w:t>
      </w:r>
      <w:r w:rsidR="00AA6729" w:rsidRPr="00AF1D5F">
        <w:rPr>
          <w:bCs/>
        </w:rPr>
        <w:t>the information contained in the</w:t>
      </w:r>
      <w:r w:rsidR="003B031D" w:rsidRPr="00AF1D5F">
        <w:rPr>
          <w:bCs/>
        </w:rPr>
        <w:t xml:space="preserve"> 2014</w:t>
      </w:r>
      <w:r w:rsidR="00AA6729" w:rsidRPr="00AF1D5F">
        <w:rPr>
          <w:bCs/>
        </w:rPr>
        <w:t xml:space="preserve"> report of the </w:t>
      </w:r>
      <w:r w:rsidR="005C6CD8" w:rsidRPr="00AF1D5F">
        <w:rPr>
          <w:bCs/>
          <w:color w:val="000000"/>
        </w:rPr>
        <w:t>Special Rapporteur</w:t>
      </w:r>
      <w:r w:rsidR="00AA6729" w:rsidRPr="00AF1D5F">
        <w:t xml:space="preserve"> </w:t>
      </w:r>
      <w:r w:rsidR="00AA6729" w:rsidRPr="00AF1D5F">
        <w:rPr>
          <w:bCs/>
          <w:color w:val="000000"/>
        </w:rPr>
        <w:t xml:space="preserve">on the </w:t>
      </w:r>
      <w:r w:rsidR="003B28E8">
        <w:rPr>
          <w:bCs/>
          <w:color w:val="000000"/>
        </w:rPr>
        <w:t>s</w:t>
      </w:r>
      <w:r w:rsidR="00AA6729" w:rsidRPr="00AF1D5F">
        <w:rPr>
          <w:bCs/>
          <w:color w:val="000000"/>
        </w:rPr>
        <w:t>ituation of human rights in the Islamic Republic of Iran</w:t>
      </w:r>
      <w:r w:rsidR="00AA6729" w:rsidRPr="00AF1D5F">
        <w:rPr>
          <w:color w:val="000000"/>
        </w:rPr>
        <w:t xml:space="preserve">, </w:t>
      </w:r>
      <w:r w:rsidR="00095A4F">
        <w:rPr>
          <w:lang w:val="en-US"/>
        </w:rPr>
        <w:t>69 </w:t>
      </w:r>
      <w:r w:rsidR="005C6CD8" w:rsidRPr="00AF1D5F">
        <w:rPr>
          <w:lang w:val="en-US"/>
        </w:rPr>
        <w:t>per cent</w:t>
      </w:r>
      <w:r w:rsidR="005C6CD8" w:rsidRPr="00AF1D5F">
        <w:rPr>
          <w:color w:val="000000"/>
        </w:rPr>
        <w:t xml:space="preserve"> of </w:t>
      </w:r>
      <w:r w:rsidR="001B7C47" w:rsidRPr="00AF1D5F">
        <w:rPr>
          <w:color w:val="000000"/>
        </w:rPr>
        <w:t xml:space="preserve">Iranian </w:t>
      </w:r>
      <w:r w:rsidR="005C6CD8" w:rsidRPr="00AF1D5F">
        <w:rPr>
          <w:color w:val="000000"/>
        </w:rPr>
        <w:t xml:space="preserve">detainees interviewed stated that they had been arrested without warrants or after responding to a verbal summons by </w:t>
      </w:r>
      <w:r w:rsidR="003B28E8">
        <w:rPr>
          <w:color w:val="000000"/>
        </w:rPr>
        <w:t>intelligence</w:t>
      </w:r>
      <w:r w:rsidR="003B28E8" w:rsidRPr="00AF1D5F">
        <w:rPr>
          <w:color w:val="000000"/>
        </w:rPr>
        <w:t xml:space="preserve"> </w:t>
      </w:r>
      <w:r w:rsidR="005C6CD8" w:rsidRPr="00AF1D5F">
        <w:rPr>
          <w:color w:val="000000"/>
        </w:rPr>
        <w:t>services or revolutionary courts.</w:t>
      </w:r>
      <w:r w:rsidR="00E67B9C">
        <w:rPr>
          <w:rStyle w:val="FootnoteReference"/>
          <w:color w:val="000000"/>
        </w:rPr>
        <w:footnoteReference w:id="27"/>
      </w:r>
    </w:p>
    <w:p w:rsidR="00CF1503" w:rsidRPr="00AF1D5F" w:rsidRDefault="00CA7771" w:rsidP="00271117">
      <w:pPr>
        <w:pStyle w:val="SingleTxtG"/>
        <w:rPr>
          <w:lang w:eastAsia="fr-FR"/>
        </w:rPr>
      </w:pPr>
      <w:r w:rsidRPr="00AF1D5F">
        <w:rPr>
          <w:bCs/>
        </w:rPr>
        <w:t>7</w:t>
      </w:r>
      <w:r w:rsidR="005A7E9E" w:rsidRPr="00AF1D5F">
        <w:rPr>
          <w:bCs/>
        </w:rPr>
        <w:t>.7</w:t>
      </w:r>
      <w:r w:rsidR="005A7E9E" w:rsidRPr="00AF1D5F">
        <w:rPr>
          <w:bCs/>
        </w:rPr>
        <w:tab/>
        <w:t>The Committee n</w:t>
      </w:r>
      <w:r w:rsidR="00CA26E5" w:rsidRPr="00AF1D5F">
        <w:rPr>
          <w:bCs/>
        </w:rPr>
        <w:t xml:space="preserve">otes </w:t>
      </w:r>
      <w:r w:rsidR="00F068DD" w:rsidRPr="00AF1D5F">
        <w:rPr>
          <w:bCs/>
        </w:rPr>
        <w:t>the State party</w:t>
      </w:r>
      <w:r w:rsidR="00CA26E5" w:rsidRPr="00AF1D5F">
        <w:rPr>
          <w:bCs/>
        </w:rPr>
        <w:t xml:space="preserve">’s observation that even if the complainant </w:t>
      </w:r>
      <w:r w:rsidR="00F20B8B" w:rsidRPr="00AF1D5F">
        <w:rPr>
          <w:bCs/>
        </w:rPr>
        <w:t xml:space="preserve">had </w:t>
      </w:r>
      <w:r w:rsidR="00CA26E5" w:rsidRPr="00AF1D5F">
        <w:rPr>
          <w:bCs/>
        </w:rPr>
        <w:t xml:space="preserve">demonstrated that he had left </w:t>
      </w:r>
      <w:r w:rsidR="001616AD">
        <w:rPr>
          <w:bCs/>
        </w:rPr>
        <w:t>the Islamic Republic of Iran</w:t>
      </w:r>
      <w:r w:rsidR="00CA26E5" w:rsidRPr="00AF1D5F">
        <w:rPr>
          <w:bCs/>
        </w:rPr>
        <w:t xml:space="preserve"> illegally and that his asylum application had been brought to the attention of the Iranian authorities, </w:t>
      </w:r>
      <w:r w:rsidR="008B72FC">
        <w:rPr>
          <w:bCs/>
        </w:rPr>
        <w:t>this would not be sufficient</w:t>
      </w:r>
      <w:r w:rsidR="00CA26E5" w:rsidRPr="00AF1D5F">
        <w:rPr>
          <w:bCs/>
        </w:rPr>
        <w:t xml:space="preserve"> to </w:t>
      </w:r>
      <w:r w:rsidR="005A5E71" w:rsidRPr="00AF1D5F">
        <w:rPr>
          <w:bCs/>
        </w:rPr>
        <w:t xml:space="preserve">substantiate the </w:t>
      </w:r>
      <w:r w:rsidR="00CA26E5" w:rsidRPr="00AF1D5F">
        <w:rPr>
          <w:bCs/>
        </w:rPr>
        <w:t>risk of torture or persecution</w:t>
      </w:r>
      <w:r w:rsidR="005A5E71" w:rsidRPr="00AF1D5F">
        <w:rPr>
          <w:bCs/>
        </w:rPr>
        <w:t xml:space="preserve"> for him </w:t>
      </w:r>
      <w:r w:rsidR="00CA26E5" w:rsidRPr="00AF1D5F">
        <w:rPr>
          <w:bCs/>
        </w:rPr>
        <w:t xml:space="preserve">if </w:t>
      </w:r>
      <w:r w:rsidR="008B72FC">
        <w:rPr>
          <w:bCs/>
        </w:rPr>
        <w:t xml:space="preserve">he were </w:t>
      </w:r>
      <w:r w:rsidR="00CA26E5" w:rsidRPr="00AF1D5F">
        <w:rPr>
          <w:bCs/>
        </w:rPr>
        <w:t xml:space="preserve">returned to </w:t>
      </w:r>
      <w:r w:rsidR="001616AD">
        <w:rPr>
          <w:bCs/>
        </w:rPr>
        <w:t>the Islamic Republic of Iran</w:t>
      </w:r>
      <w:r w:rsidR="00CA26E5" w:rsidRPr="00AF1D5F">
        <w:rPr>
          <w:bCs/>
        </w:rPr>
        <w:t xml:space="preserve">. </w:t>
      </w:r>
      <w:r w:rsidR="002F40D8" w:rsidRPr="00AF1D5F">
        <w:rPr>
          <w:bCs/>
        </w:rPr>
        <w:t>The Committee</w:t>
      </w:r>
      <w:r w:rsidR="003C2CD0" w:rsidRPr="00AF1D5F">
        <w:rPr>
          <w:bCs/>
        </w:rPr>
        <w:t xml:space="preserve"> considers, however, that </w:t>
      </w:r>
      <w:r w:rsidR="00AA6729" w:rsidRPr="00AF1D5F">
        <w:rPr>
          <w:bCs/>
        </w:rPr>
        <w:t xml:space="preserve">the </w:t>
      </w:r>
      <w:r w:rsidR="003C2CD0" w:rsidRPr="00AF1D5F">
        <w:rPr>
          <w:bCs/>
        </w:rPr>
        <w:t>information provided by the complainant demonstrates that Iranian</w:t>
      </w:r>
      <w:r w:rsidR="00AA6729" w:rsidRPr="00AF1D5F">
        <w:rPr>
          <w:bCs/>
        </w:rPr>
        <w:t xml:space="preserve"> national</w:t>
      </w:r>
      <w:r w:rsidR="003C2CD0" w:rsidRPr="00AF1D5F">
        <w:rPr>
          <w:bCs/>
        </w:rPr>
        <w:t>s who left the country illegally</w:t>
      </w:r>
      <w:r w:rsidR="00963877" w:rsidRPr="00AF1D5F">
        <w:rPr>
          <w:bCs/>
        </w:rPr>
        <w:t xml:space="preserve"> and unsuccessfully sought asylum abroad</w:t>
      </w:r>
      <w:r w:rsidR="003C2CD0" w:rsidRPr="00AF1D5F">
        <w:rPr>
          <w:bCs/>
        </w:rPr>
        <w:t xml:space="preserve"> face the risk of being subjected to persecu</w:t>
      </w:r>
      <w:r w:rsidR="00963877" w:rsidRPr="00AF1D5F">
        <w:rPr>
          <w:bCs/>
        </w:rPr>
        <w:t>tion</w:t>
      </w:r>
      <w:r w:rsidR="00707672" w:rsidRPr="00AF1D5F">
        <w:rPr>
          <w:bCs/>
        </w:rPr>
        <w:t xml:space="preserve"> and ill-treatment</w:t>
      </w:r>
      <w:r w:rsidR="00963877" w:rsidRPr="00AF1D5F">
        <w:rPr>
          <w:bCs/>
        </w:rPr>
        <w:t>.</w:t>
      </w:r>
      <w:r w:rsidR="00E67B9C">
        <w:rPr>
          <w:rStyle w:val="FootnoteReference"/>
          <w:bCs/>
        </w:rPr>
        <w:footnoteReference w:id="28"/>
      </w:r>
      <w:r w:rsidR="00963877" w:rsidRPr="00AF1D5F">
        <w:rPr>
          <w:bCs/>
        </w:rPr>
        <w:t xml:space="preserve"> In this regard, the Committee notes that the State party has not refuted the </w:t>
      </w:r>
      <w:r w:rsidR="00AA6729" w:rsidRPr="00AF1D5F">
        <w:rPr>
          <w:bCs/>
        </w:rPr>
        <w:t>complainant’s allegation that</w:t>
      </w:r>
      <w:r w:rsidR="00271117">
        <w:rPr>
          <w:bCs/>
        </w:rPr>
        <w:t>,</w:t>
      </w:r>
      <w:r w:rsidR="00AA6729" w:rsidRPr="00AF1D5F">
        <w:rPr>
          <w:bCs/>
        </w:rPr>
        <w:t xml:space="preserve"> on 22 July 2013, </w:t>
      </w:r>
      <w:r w:rsidR="00963877" w:rsidRPr="00AF1D5F">
        <w:rPr>
          <w:bCs/>
        </w:rPr>
        <w:t>the Iranian Public Prosecutor</w:t>
      </w:r>
      <w:r w:rsidR="00AA6729" w:rsidRPr="00AF1D5F">
        <w:rPr>
          <w:bCs/>
        </w:rPr>
        <w:t xml:space="preserve"> stated </w:t>
      </w:r>
      <w:r w:rsidR="00963877" w:rsidRPr="00AF1D5F">
        <w:rPr>
          <w:bCs/>
        </w:rPr>
        <w:t xml:space="preserve">that </w:t>
      </w:r>
      <w:r w:rsidR="00963877" w:rsidRPr="00AF1D5F">
        <w:rPr>
          <w:bCs/>
        </w:rPr>
        <w:lastRenderedPageBreak/>
        <w:t>Iranians who had left the country in connection with the 2009 protests would be arrested and prosecuted upon return.</w:t>
      </w:r>
      <w:r w:rsidR="00E67B9C">
        <w:rPr>
          <w:rStyle w:val="FootnoteReference"/>
          <w:bCs/>
        </w:rPr>
        <w:footnoteReference w:id="29"/>
      </w:r>
      <w:r w:rsidR="00963877" w:rsidRPr="00AF1D5F">
        <w:rPr>
          <w:bCs/>
        </w:rPr>
        <w:t xml:space="preserve"> </w:t>
      </w:r>
      <w:r w:rsidR="007247B3" w:rsidRPr="00AF1D5F">
        <w:rPr>
          <w:bCs/>
        </w:rPr>
        <w:t xml:space="preserve">The Committee also takes into consideration the </w:t>
      </w:r>
      <w:r w:rsidR="00AF1D5F" w:rsidRPr="00AF1D5F">
        <w:rPr>
          <w:bCs/>
        </w:rPr>
        <w:t xml:space="preserve">reports by the </w:t>
      </w:r>
      <w:r w:rsidR="007247B3" w:rsidRPr="00AF1D5F">
        <w:rPr>
          <w:bCs/>
        </w:rPr>
        <w:t>Special Rapporteur</w:t>
      </w:r>
      <w:r w:rsidR="00AA6729" w:rsidRPr="00AF1D5F">
        <w:t xml:space="preserve"> </w:t>
      </w:r>
      <w:r w:rsidR="00AA6729" w:rsidRPr="00AF1D5F">
        <w:rPr>
          <w:bCs/>
        </w:rPr>
        <w:t xml:space="preserve">on the </w:t>
      </w:r>
      <w:r w:rsidR="00271117">
        <w:rPr>
          <w:bCs/>
        </w:rPr>
        <w:t>s</w:t>
      </w:r>
      <w:r w:rsidR="00AA6729" w:rsidRPr="00AF1D5F">
        <w:rPr>
          <w:bCs/>
        </w:rPr>
        <w:t>ituation of human rights in the Islamic Republic of Ira</w:t>
      </w:r>
      <w:r w:rsidR="00AF1D5F" w:rsidRPr="00AF1D5F">
        <w:rPr>
          <w:bCs/>
        </w:rPr>
        <w:t>n</w:t>
      </w:r>
      <w:r w:rsidR="007247B3" w:rsidRPr="00AF1D5F">
        <w:rPr>
          <w:bCs/>
        </w:rPr>
        <w:t xml:space="preserve"> on the lack of progress by the Iranian authorities </w:t>
      </w:r>
      <w:r w:rsidR="00271117">
        <w:rPr>
          <w:bCs/>
        </w:rPr>
        <w:t>in ending</w:t>
      </w:r>
      <w:r w:rsidR="007247B3" w:rsidRPr="00AF1D5F">
        <w:rPr>
          <w:bCs/>
        </w:rPr>
        <w:t xml:space="preserve"> </w:t>
      </w:r>
      <w:r w:rsidR="00D723A4" w:rsidRPr="00AF1D5F">
        <w:rPr>
          <w:bCs/>
        </w:rPr>
        <w:t xml:space="preserve">harassment, intimidation, persecution and arbitrary detention of political opponents, including students, in connection with the mass </w:t>
      </w:r>
      <w:r w:rsidR="00D723A4" w:rsidRPr="00AF1D5F">
        <w:rPr>
          <w:lang w:eastAsia="fr-FR"/>
        </w:rPr>
        <w:t>demonstrations following the 2009 elections.</w:t>
      </w:r>
      <w:r w:rsidR="00DE2B49">
        <w:rPr>
          <w:rStyle w:val="FootnoteReference"/>
          <w:lang w:eastAsia="fr-FR"/>
        </w:rPr>
        <w:footnoteReference w:id="30"/>
      </w:r>
      <w:r w:rsidR="00D723A4" w:rsidRPr="00AF1D5F">
        <w:rPr>
          <w:lang w:eastAsia="fr-FR"/>
        </w:rPr>
        <w:t xml:space="preserve"> </w:t>
      </w:r>
    </w:p>
    <w:p w:rsidR="00CA7771" w:rsidRPr="00AF1D5F" w:rsidRDefault="00CA7771" w:rsidP="00DD6BDF">
      <w:pPr>
        <w:pStyle w:val="SingleTxtG"/>
        <w:rPr>
          <w:bCs/>
        </w:rPr>
      </w:pPr>
      <w:r w:rsidRPr="00AF1D5F">
        <w:rPr>
          <w:lang w:eastAsia="fr-FR"/>
        </w:rPr>
        <w:t>7</w:t>
      </w:r>
      <w:r w:rsidR="00CF1503" w:rsidRPr="00AF1D5F">
        <w:rPr>
          <w:lang w:eastAsia="fr-FR"/>
        </w:rPr>
        <w:t>.8</w:t>
      </w:r>
      <w:r w:rsidR="00CF1503" w:rsidRPr="00AF1D5F">
        <w:rPr>
          <w:lang w:eastAsia="fr-FR"/>
        </w:rPr>
        <w:tab/>
        <w:t xml:space="preserve">The Committee </w:t>
      </w:r>
      <w:r w:rsidR="007759DE" w:rsidRPr="00AF1D5F">
        <w:rPr>
          <w:lang w:eastAsia="fr-FR"/>
        </w:rPr>
        <w:t xml:space="preserve">also notes that </w:t>
      </w:r>
      <w:r w:rsidR="007759DE" w:rsidRPr="00AF1D5F">
        <w:rPr>
          <w:bCs/>
        </w:rPr>
        <w:t xml:space="preserve">the State </w:t>
      </w:r>
      <w:r w:rsidR="00CF6582" w:rsidRPr="00AF1D5F">
        <w:rPr>
          <w:bCs/>
        </w:rPr>
        <w:t>party has not</w:t>
      </w:r>
      <w:r w:rsidR="007759DE" w:rsidRPr="00AF1D5F">
        <w:rPr>
          <w:bCs/>
        </w:rPr>
        <w:t xml:space="preserve"> addressed the complainant’s argument regarding the death sentence </w:t>
      </w:r>
      <w:r w:rsidR="00271117">
        <w:rPr>
          <w:bCs/>
        </w:rPr>
        <w:t xml:space="preserve">that </w:t>
      </w:r>
      <w:r w:rsidR="00CF6582" w:rsidRPr="00AF1D5F">
        <w:rPr>
          <w:bCs/>
        </w:rPr>
        <w:t>he</w:t>
      </w:r>
      <w:r w:rsidR="007759DE" w:rsidRPr="00AF1D5F">
        <w:rPr>
          <w:bCs/>
        </w:rPr>
        <w:t xml:space="preserve"> might face if </w:t>
      </w:r>
      <w:r w:rsidR="00271117">
        <w:rPr>
          <w:bCs/>
        </w:rPr>
        <w:t xml:space="preserve">he were </w:t>
      </w:r>
      <w:r w:rsidR="007759DE" w:rsidRPr="00AF1D5F">
        <w:rPr>
          <w:bCs/>
        </w:rPr>
        <w:t xml:space="preserve">returned to </w:t>
      </w:r>
      <w:r w:rsidR="001616AD">
        <w:rPr>
          <w:bCs/>
        </w:rPr>
        <w:t>the Islamic Republic of Iran</w:t>
      </w:r>
      <w:r w:rsidR="00506924" w:rsidRPr="00AF1D5F">
        <w:rPr>
          <w:bCs/>
        </w:rPr>
        <w:t>,</w:t>
      </w:r>
      <w:r w:rsidR="007759DE" w:rsidRPr="00AF1D5F">
        <w:rPr>
          <w:bCs/>
        </w:rPr>
        <w:t xml:space="preserve"> for his adoption of atheistic and agnostic views</w:t>
      </w:r>
      <w:r w:rsidR="00AF1D5F" w:rsidRPr="00AF1D5F">
        <w:rPr>
          <w:bCs/>
        </w:rPr>
        <w:t xml:space="preserve">, </w:t>
      </w:r>
      <w:r w:rsidR="00AF1D5F" w:rsidRPr="001A736F">
        <w:rPr>
          <w:bCs/>
        </w:rPr>
        <w:t>which might be interpreted by the Iranian authorities</w:t>
      </w:r>
      <w:r w:rsidR="00271117">
        <w:rPr>
          <w:bCs/>
        </w:rPr>
        <w:t xml:space="preserve"> </w:t>
      </w:r>
      <w:r w:rsidR="00271117" w:rsidRPr="001A736F">
        <w:rPr>
          <w:bCs/>
        </w:rPr>
        <w:t>as abandonment of Islam</w:t>
      </w:r>
      <w:r w:rsidR="007759DE" w:rsidRPr="001A736F">
        <w:rPr>
          <w:bCs/>
        </w:rPr>
        <w:t>.</w:t>
      </w:r>
      <w:r w:rsidR="00DE2B49">
        <w:rPr>
          <w:rStyle w:val="FootnoteReference"/>
          <w:bCs/>
        </w:rPr>
        <w:footnoteReference w:id="31"/>
      </w:r>
      <w:r w:rsidR="007759DE" w:rsidRPr="00AF1D5F">
        <w:rPr>
          <w:bCs/>
        </w:rPr>
        <w:t xml:space="preserve"> </w:t>
      </w:r>
      <w:r w:rsidR="006D70CC" w:rsidRPr="00AF1D5F">
        <w:rPr>
          <w:bCs/>
        </w:rPr>
        <w:t>It</w:t>
      </w:r>
      <w:r w:rsidR="000C3E3E" w:rsidRPr="00AF1D5F">
        <w:rPr>
          <w:bCs/>
        </w:rPr>
        <w:t xml:space="preserve"> </w:t>
      </w:r>
      <w:r w:rsidR="00707672" w:rsidRPr="00AF1D5F">
        <w:rPr>
          <w:bCs/>
        </w:rPr>
        <w:t>also observes that recent reports</w:t>
      </w:r>
      <w:r w:rsidR="00AF1D5F" w:rsidRPr="00AF1D5F">
        <w:rPr>
          <w:bCs/>
        </w:rPr>
        <w:t xml:space="preserve"> by the </w:t>
      </w:r>
      <w:r w:rsidR="00AF1D5F" w:rsidRPr="00AF1D5F">
        <w:rPr>
          <w:bCs/>
          <w:color w:val="000000"/>
        </w:rPr>
        <w:t>Special Rapporteur</w:t>
      </w:r>
      <w:r w:rsidR="00AF1D5F" w:rsidRPr="00AF1D5F">
        <w:t xml:space="preserve"> </w:t>
      </w:r>
      <w:r w:rsidR="00AF1D5F" w:rsidRPr="00AF1D5F">
        <w:rPr>
          <w:bCs/>
          <w:color w:val="000000"/>
        </w:rPr>
        <w:t xml:space="preserve">on the </w:t>
      </w:r>
      <w:r w:rsidR="00271117">
        <w:rPr>
          <w:bCs/>
          <w:color w:val="000000"/>
        </w:rPr>
        <w:t>s</w:t>
      </w:r>
      <w:r w:rsidR="00AF1D5F" w:rsidRPr="00AF1D5F">
        <w:rPr>
          <w:bCs/>
          <w:color w:val="000000"/>
        </w:rPr>
        <w:t>ituation of human rights in the Islamic Republic of Iran</w:t>
      </w:r>
      <w:r w:rsidR="00707672" w:rsidRPr="00AF1D5F">
        <w:rPr>
          <w:bCs/>
        </w:rPr>
        <w:t xml:space="preserve"> </w:t>
      </w:r>
      <w:r w:rsidR="00AF1D5F" w:rsidRPr="00AF1D5F">
        <w:rPr>
          <w:bCs/>
        </w:rPr>
        <w:t xml:space="preserve">and </w:t>
      </w:r>
      <w:r w:rsidR="00271117">
        <w:rPr>
          <w:bCs/>
        </w:rPr>
        <w:t xml:space="preserve">by </w:t>
      </w:r>
      <w:r w:rsidR="00AF1D5F" w:rsidRPr="00AF1D5F">
        <w:rPr>
          <w:bCs/>
        </w:rPr>
        <w:t xml:space="preserve">the </w:t>
      </w:r>
      <w:r w:rsidR="00AF1D5F" w:rsidRPr="00AF1D5F">
        <w:t xml:space="preserve">Secretary-General </w:t>
      </w:r>
      <w:r w:rsidR="00AF1D5F" w:rsidRPr="00AF1D5F">
        <w:rPr>
          <w:bCs/>
        </w:rPr>
        <w:t>i</w:t>
      </w:r>
      <w:r w:rsidR="00707672" w:rsidRPr="00AF1D5F">
        <w:rPr>
          <w:bCs/>
        </w:rPr>
        <w:t>ndicate that low-level opposition</w:t>
      </w:r>
      <w:r w:rsidR="00506924" w:rsidRPr="00AF1D5F">
        <w:rPr>
          <w:bCs/>
        </w:rPr>
        <w:t xml:space="preserve"> activists</w:t>
      </w:r>
      <w:r w:rsidR="00707672" w:rsidRPr="00AF1D5F">
        <w:rPr>
          <w:bCs/>
        </w:rPr>
        <w:t xml:space="preserve">, including </w:t>
      </w:r>
      <w:r w:rsidR="00271117">
        <w:rPr>
          <w:bCs/>
        </w:rPr>
        <w:t>u</w:t>
      </w:r>
      <w:r w:rsidR="00AF1D5F" w:rsidRPr="00AF1D5F">
        <w:rPr>
          <w:bCs/>
        </w:rPr>
        <w:t>niversity</w:t>
      </w:r>
      <w:r w:rsidR="00707672" w:rsidRPr="00AF1D5F">
        <w:rPr>
          <w:bCs/>
        </w:rPr>
        <w:t xml:space="preserve"> students, </w:t>
      </w:r>
      <w:r w:rsidR="00506924" w:rsidRPr="00AF1D5F">
        <w:rPr>
          <w:bCs/>
        </w:rPr>
        <w:t>are</w:t>
      </w:r>
      <w:r w:rsidR="00707672" w:rsidRPr="00AF1D5F">
        <w:rPr>
          <w:bCs/>
        </w:rPr>
        <w:t xml:space="preserve"> closely monitored in </w:t>
      </w:r>
      <w:r w:rsidR="001616AD">
        <w:rPr>
          <w:bCs/>
        </w:rPr>
        <w:t>the Islamic Republic of Iran</w:t>
      </w:r>
      <w:r w:rsidR="00271117">
        <w:rPr>
          <w:bCs/>
        </w:rPr>
        <w:t>,</w:t>
      </w:r>
      <w:r w:rsidR="00FC0339" w:rsidRPr="00AF1D5F">
        <w:rPr>
          <w:bCs/>
        </w:rPr>
        <w:t xml:space="preserve"> and that political opponents, human rights defenders</w:t>
      </w:r>
      <w:r w:rsidR="00CF6582" w:rsidRPr="00AF1D5F">
        <w:rPr>
          <w:bCs/>
        </w:rPr>
        <w:t>,</w:t>
      </w:r>
      <w:r w:rsidR="00FC0339" w:rsidRPr="00AF1D5F">
        <w:rPr>
          <w:bCs/>
        </w:rPr>
        <w:t xml:space="preserve"> journalists </w:t>
      </w:r>
      <w:r w:rsidR="00CF6582" w:rsidRPr="00AF1D5F">
        <w:rPr>
          <w:bCs/>
        </w:rPr>
        <w:t xml:space="preserve">and </w:t>
      </w:r>
      <w:r w:rsidR="001A72A5">
        <w:rPr>
          <w:bCs/>
        </w:rPr>
        <w:t xml:space="preserve">members of </w:t>
      </w:r>
      <w:r w:rsidR="00CF6582" w:rsidRPr="00AF1D5F">
        <w:rPr>
          <w:bCs/>
        </w:rPr>
        <w:t xml:space="preserve">religious minorities </w:t>
      </w:r>
      <w:r w:rsidR="00FC0339" w:rsidRPr="00AF1D5F">
        <w:rPr>
          <w:bCs/>
        </w:rPr>
        <w:t xml:space="preserve">are arrested, charged, prosecuted and convicted for </w:t>
      </w:r>
      <w:r w:rsidR="00FC0339" w:rsidRPr="00AF1D5F">
        <w:rPr>
          <w:lang w:eastAsia="fr-FR"/>
        </w:rPr>
        <w:t>national security crimes or crimes of a political nature.</w:t>
      </w:r>
      <w:r w:rsidR="00DE2B49">
        <w:rPr>
          <w:rStyle w:val="FootnoteReference"/>
          <w:bCs/>
        </w:rPr>
        <w:footnoteReference w:id="32"/>
      </w:r>
      <w:r w:rsidR="00095A4F">
        <w:rPr>
          <w:rStyle w:val="FootnoteReference"/>
          <w:bCs/>
          <w:vertAlign w:val="baseline"/>
        </w:rPr>
        <w:t xml:space="preserve"> </w:t>
      </w:r>
      <w:r w:rsidR="00CF1503" w:rsidRPr="00AF1D5F">
        <w:rPr>
          <w:bCs/>
        </w:rPr>
        <w:t xml:space="preserve">It </w:t>
      </w:r>
      <w:r w:rsidR="00BE5861" w:rsidRPr="00AF1D5F">
        <w:rPr>
          <w:bCs/>
        </w:rPr>
        <w:t xml:space="preserve">further </w:t>
      </w:r>
      <w:r w:rsidR="00506924" w:rsidRPr="00AF1D5F">
        <w:rPr>
          <w:bCs/>
        </w:rPr>
        <w:t>notes that</w:t>
      </w:r>
      <w:r w:rsidR="00DD6BDF">
        <w:rPr>
          <w:bCs/>
        </w:rPr>
        <w:t>,</w:t>
      </w:r>
      <w:r w:rsidR="00506924" w:rsidRPr="00AF1D5F">
        <w:rPr>
          <w:bCs/>
        </w:rPr>
        <w:t xml:space="preserve"> </w:t>
      </w:r>
      <w:r w:rsidR="004D332A" w:rsidRPr="00AF1D5F">
        <w:rPr>
          <w:bCs/>
        </w:rPr>
        <w:t xml:space="preserve">according to </w:t>
      </w:r>
      <w:r w:rsidR="0008687D" w:rsidRPr="00AF1D5F">
        <w:rPr>
          <w:bCs/>
        </w:rPr>
        <w:t xml:space="preserve">official </w:t>
      </w:r>
      <w:r w:rsidR="004D332A" w:rsidRPr="00AF1D5F">
        <w:rPr>
          <w:bCs/>
        </w:rPr>
        <w:t xml:space="preserve">reports, </w:t>
      </w:r>
      <w:r w:rsidR="00CF1503" w:rsidRPr="00AF1D5F">
        <w:rPr>
          <w:bCs/>
        </w:rPr>
        <w:t xml:space="preserve">the Iranian authorities engage in extensive attempts to identify and </w:t>
      </w:r>
      <w:r w:rsidR="00DD6BDF">
        <w:rPr>
          <w:bCs/>
        </w:rPr>
        <w:t xml:space="preserve">to </w:t>
      </w:r>
      <w:r w:rsidR="00CF1503" w:rsidRPr="00AF1D5F">
        <w:rPr>
          <w:bCs/>
        </w:rPr>
        <w:t xml:space="preserve">sanction, including by </w:t>
      </w:r>
      <w:r w:rsidR="00DD6BDF">
        <w:rPr>
          <w:bCs/>
        </w:rPr>
        <w:t xml:space="preserve">the </w:t>
      </w:r>
      <w:r w:rsidR="00CF1503" w:rsidRPr="00AF1D5F">
        <w:rPr>
          <w:bCs/>
        </w:rPr>
        <w:t>death sentence, Iranian citizens who insult Islam or critici</w:t>
      </w:r>
      <w:r w:rsidR="00DD6BDF">
        <w:rPr>
          <w:bCs/>
        </w:rPr>
        <w:t>z</w:t>
      </w:r>
      <w:r w:rsidR="00CF1503" w:rsidRPr="00AF1D5F">
        <w:rPr>
          <w:bCs/>
        </w:rPr>
        <w:t>e the Iranian Government on the Internet.</w:t>
      </w:r>
      <w:r w:rsidR="00DE2B49">
        <w:rPr>
          <w:rStyle w:val="FootnoteReference"/>
          <w:bCs/>
        </w:rPr>
        <w:footnoteReference w:id="33"/>
      </w:r>
      <w:r w:rsidR="00063B0A" w:rsidRPr="00AF1D5F">
        <w:rPr>
          <w:bCs/>
        </w:rPr>
        <w:t xml:space="preserve"> </w:t>
      </w:r>
      <w:r w:rsidRPr="00AF1D5F">
        <w:rPr>
          <w:bCs/>
        </w:rPr>
        <w:t>It considers</w:t>
      </w:r>
      <w:r w:rsidR="00DD6BDF">
        <w:rPr>
          <w:bCs/>
        </w:rPr>
        <w:t>,</w:t>
      </w:r>
      <w:r w:rsidRPr="00AF1D5F">
        <w:rPr>
          <w:bCs/>
        </w:rPr>
        <w:t xml:space="preserve"> there</w:t>
      </w:r>
      <w:r w:rsidR="003017B1" w:rsidRPr="00AF1D5F">
        <w:rPr>
          <w:bCs/>
        </w:rPr>
        <w:t>fore</w:t>
      </w:r>
      <w:r w:rsidR="00DD6BDF">
        <w:rPr>
          <w:bCs/>
        </w:rPr>
        <w:t>,</w:t>
      </w:r>
      <w:r w:rsidR="003017B1" w:rsidRPr="00AF1D5F">
        <w:rPr>
          <w:bCs/>
        </w:rPr>
        <w:t xml:space="preserve"> that the complainant, in </w:t>
      </w:r>
      <w:r w:rsidR="00E65EC1" w:rsidRPr="00AF1D5F">
        <w:rPr>
          <w:bCs/>
        </w:rPr>
        <w:t xml:space="preserve">the </w:t>
      </w:r>
      <w:r w:rsidR="003017B1" w:rsidRPr="00AF1D5F">
        <w:rPr>
          <w:bCs/>
        </w:rPr>
        <w:t xml:space="preserve">light of his expulsion from </w:t>
      </w:r>
      <w:r w:rsidR="00DD6BDF">
        <w:rPr>
          <w:bCs/>
        </w:rPr>
        <w:t>u</w:t>
      </w:r>
      <w:r w:rsidR="00AF1D5F" w:rsidRPr="00AF1D5F">
        <w:rPr>
          <w:bCs/>
        </w:rPr>
        <w:t>niversity</w:t>
      </w:r>
      <w:r w:rsidR="003017B1" w:rsidRPr="00AF1D5F">
        <w:rPr>
          <w:bCs/>
        </w:rPr>
        <w:t>, participation in the 2009 protest</w:t>
      </w:r>
      <w:r w:rsidR="00BE5861" w:rsidRPr="00AF1D5F">
        <w:rPr>
          <w:bCs/>
        </w:rPr>
        <w:t>s</w:t>
      </w:r>
      <w:r w:rsidR="003017B1" w:rsidRPr="00AF1D5F">
        <w:rPr>
          <w:bCs/>
        </w:rPr>
        <w:t xml:space="preserve">, illegal departure from </w:t>
      </w:r>
      <w:r w:rsidR="001616AD">
        <w:rPr>
          <w:bCs/>
        </w:rPr>
        <w:t>the Islamic Republic of Iran</w:t>
      </w:r>
      <w:r w:rsidR="003017B1" w:rsidRPr="00AF1D5F">
        <w:rPr>
          <w:bCs/>
        </w:rPr>
        <w:t xml:space="preserve">, failed asylum application </w:t>
      </w:r>
      <w:r w:rsidR="004D332A" w:rsidRPr="00AF1D5F">
        <w:rPr>
          <w:bCs/>
        </w:rPr>
        <w:t xml:space="preserve">abroad </w:t>
      </w:r>
      <w:r w:rsidR="003017B1" w:rsidRPr="00AF1D5F">
        <w:rPr>
          <w:bCs/>
        </w:rPr>
        <w:t xml:space="preserve">and religious views, would </w:t>
      </w:r>
      <w:r w:rsidR="0008687D" w:rsidRPr="00AF1D5F">
        <w:rPr>
          <w:bCs/>
        </w:rPr>
        <w:t xml:space="preserve">most </w:t>
      </w:r>
      <w:r w:rsidR="003017B1" w:rsidRPr="00AF1D5F">
        <w:rPr>
          <w:bCs/>
        </w:rPr>
        <w:t>l</w:t>
      </w:r>
      <w:r w:rsidRPr="00AF1D5F">
        <w:t xml:space="preserve">ikely attract the attention of the authorities upon return to </w:t>
      </w:r>
      <w:r w:rsidR="00BE5861" w:rsidRPr="00AF1D5F">
        <w:rPr>
          <w:rFonts w:eastAsia="SimSun"/>
          <w:lang w:eastAsia="zh-CN"/>
        </w:rPr>
        <w:t>his country of origin</w:t>
      </w:r>
      <w:r w:rsidRPr="00AF1D5F">
        <w:t>, thus significantly increasing the risk</w:t>
      </w:r>
      <w:r w:rsidR="003017B1" w:rsidRPr="00AF1D5F">
        <w:t xml:space="preserve"> of him </w:t>
      </w:r>
      <w:r w:rsidRPr="00AF1D5F">
        <w:t xml:space="preserve">being arrested, tortured and sentenced to death, if </w:t>
      </w:r>
      <w:r w:rsidR="00DD6BDF">
        <w:t xml:space="preserve">he were </w:t>
      </w:r>
      <w:r w:rsidRPr="00AF1D5F">
        <w:t>returned.</w:t>
      </w:r>
    </w:p>
    <w:p w:rsidR="00063B0A" w:rsidRPr="00AF1D5F" w:rsidRDefault="00CA7771" w:rsidP="00063B0A">
      <w:pPr>
        <w:pStyle w:val="SingleTxtG"/>
        <w:rPr>
          <w:bCs/>
        </w:rPr>
      </w:pPr>
      <w:r w:rsidRPr="00AF1D5F">
        <w:rPr>
          <w:bCs/>
        </w:rPr>
        <w:t>7</w:t>
      </w:r>
      <w:r w:rsidR="00063B0A" w:rsidRPr="00AF1D5F">
        <w:rPr>
          <w:bCs/>
        </w:rPr>
        <w:t>.9</w:t>
      </w:r>
      <w:r w:rsidR="00063B0A" w:rsidRPr="00AF1D5F">
        <w:rPr>
          <w:bCs/>
        </w:rPr>
        <w:tab/>
      </w:r>
      <w:r w:rsidR="00927947" w:rsidRPr="00AF1D5F">
        <w:rPr>
          <w:bCs/>
        </w:rPr>
        <w:t xml:space="preserve">Accordingly, the Committee </w:t>
      </w:r>
      <w:r w:rsidR="00063B0A" w:rsidRPr="00AF1D5F">
        <w:rPr>
          <w:bCs/>
        </w:rPr>
        <w:t xml:space="preserve">considers that substantial grounds exist for believing that the complainant would be in danger of being subjected to torture if </w:t>
      </w:r>
      <w:r w:rsidR="005F1826">
        <w:rPr>
          <w:bCs/>
        </w:rPr>
        <w:t xml:space="preserve">he were </w:t>
      </w:r>
      <w:r w:rsidR="00063B0A" w:rsidRPr="00AF1D5F">
        <w:rPr>
          <w:bCs/>
        </w:rPr>
        <w:t xml:space="preserve">returned to </w:t>
      </w:r>
      <w:r w:rsidR="001616AD">
        <w:rPr>
          <w:bCs/>
        </w:rPr>
        <w:t>the Islamic Republic of Iran</w:t>
      </w:r>
      <w:r w:rsidR="00063B0A" w:rsidRPr="00AF1D5F">
        <w:rPr>
          <w:bCs/>
        </w:rPr>
        <w:t>. Furthermore, the Committee notes that</w:t>
      </w:r>
      <w:r w:rsidR="005F1826">
        <w:rPr>
          <w:bCs/>
        </w:rPr>
        <w:t>,</w:t>
      </w:r>
      <w:r w:rsidR="00063B0A" w:rsidRPr="00AF1D5F">
        <w:rPr>
          <w:bCs/>
        </w:rPr>
        <w:t xml:space="preserve"> since </w:t>
      </w:r>
      <w:r w:rsidR="001616AD">
        <w:rPr>
          <w:bCs/>
        </w:rPr>
        <w:t>the Islamic Republic of Iran</w:t>
      </w:r>
      <w:r w:rsidR="00063B0A" w:rsidRPr="00AF1D5F">
        <w:rPr>
          <w:bCs/>
        </w:rPr>
        <w:t xml:space="preserve"> is not a party to the Convention, the complainant would be deprived of the legal option of recourse to the Committee for protection of any kind, if he were to be deported to </w:t>
      </w:r>
      <w:r w:rsidR="001616AD">
        <w:rPr>
          <w:bCs/>
        </w:rPr>
        <w:t>the Islamic Republic of Iran</w:t>
      </w:r>
      <w:r w:rsidR="00063B0A" w:rsidRPr="00AF1D5F">
        <w:rPr>
          <w:bCs/>
        </w:rPr>
        <w:t>.</w:t>
      </w:r>
      <w:r w:rsidR="003E2B48">
        <w:rPr>
          <w:rStyle w:val="FootnoteReference"/>
          <w:bCs/>
        </w:rPr>
        <w:footnoteReference w:id="34"/>
      </w:r>
    </w:p>
    <w:p w:rsidR="00063B0A" w:rsidRPr="00AF1D5F" w:rsidRDefault="00CA7771" w:rsidP="00D106C1">
      <w:pPr>
        <w:pStyle w:val="SingleTxtG"/>
        <w:rPr>
          <w:lang w:val="en-US"/>
        </w:rPr>
      </w:pPr>
      <w:r w:rsidRPr="00AF1D5F">
        <w:rPr>
          <w:bCs/>
        </w:rPr>
        <w:t>8</w:t>
      </w:r>
      <w:r w:rsidR="00063B0A" w:rsidRPr="00AF1D5F">
        <w:rPr>
          <w:bCs/>
        </w:rPr>
        <w:t>.</w:t>
      </w:r>
      <w:r w:rsidR="00CF6582" w:rsidRPr="00AF1D5F">
        <w:rPr>
          <w:bCs/>
        </w:rPr>
        <w:tab/>
      </w:r>
      <w:r w:rsidR="006D70CC" w:rsidRPr="00AF1D5F">
        <w:rPr>
          <w:bCs/>
        </w:rPr>
        <w:t xml:space="preserve">In </w:t>
      </w:r>
      <w:r w:rsidR="00E65EC1" w:rsidRPr="00AF1D5F">
        <w:rPr>
          <w:bCs/>
        </w:rPr>
        <w:t xml:space="preserve">the </w:t>
      </w:r>
      <w:r w:rsidR="006D70CC" w:rsidRPr="00AF1D5F">
        <w:rPr>
          <w:bCs/>
        </w:rPr>
        <w:t xml:space="preserve">light of the above, </w:t>
      </w:r>
      <w:r w:rsidR="00D106C1" w:rsidRPr="00AF1D5F">
        <w:rPr>
          <w:lang w:val="en-US"/>
        </w:rPr>
        <w:t xml:space="preserve">the Committee against Torture, acting under </w:t>
      </w:r>
      <w:r w:rsidR="00EE3B01">
        <w:rPr>
          <w:lang w:val="en-US"/>
        </w:rPr>
        <w:t>article </w:t>
      </w:r>
      <w:r w:rsidR="00D106C1" w:rsidRPr="00AF1D5F">
        <w:rPr>
          <w:lang w:val="en-US"/>
        </w:rPr>
        <w:t xml:space="preserve">22, </w:t>
      </w:r>
      <w:r w:rsidR="00EE3B01">
        <w:rPr>
          <w:lang w:val="en-US"/>
        </w:rPr>
        <w:t>paragraph </w:t>
      </w:r>
      <w:r w:rsidR="00D106C1" w:rsidRPr="00AF1D5F">
        <w:rPr>
          <w:lang w:val="en-US"/>
        </w:rPr>
        <w:t>7, of the Convention against Torture and Other Cruel, Inhuman or Degrading Treatment or Punishment, concludes that</w:t>
      </w:r>
      <w:r w:rsidR="00233C1B" w:rsidRPr="00AF1D5F">
        <w:rPr>
          <w:lang w:val="en-US"/>
        </w:rPr>
        <w:t xml:space="preserve"> </w:t>
      </w:r>
      <w:r w:rsidR="00063B0A" w:rsidRPr="00AF1D5F">
        <w:rPr>
          <w:lang w:val="en-US"/>
        </w:rPr>
        <w:t xml:space="preserve">the complainant’s deportation to </w:t>
      </w:r>
      <w:r w:rsidR="001616AD">
        <w:rPr>
          <w:lang w:val="en-US"/>
        </w:rPr>
        <w:t>the Islamic Republic of Iran</w:t>
      </w:r>
      <w:r w:rsidR="00063B0A" w:rsidRPr="00AF1D5F">
        <w:rPr>
          <w:lang w:val="en-US"/>
        </w:rPr>
        <w:t xml:space="preserve"> would constitute a violation of </w:t>
      </w:r>
      <w:r w:rsidR="00EE3B01">
        <w:rPr>
          <w:lang w:val="en-US"/>
        </w:rPr>
        <w:t>article </w:t>
      </w:r>
      <w:r w:rsidR="00063B0A" w:rsidRPr="00AF1D5F">
        <w:rPr>
          <w:lang w:val="en-US"/>
        </w:rPr>
        <w:t>3 of the Convention.</w:t>
      </w:r>
    </w:p>
    <w:p w:rsidR="008344D2" w:rsidRDefault="00CA7771" w:rsidP="005F1826">
      <w:pPr>
        <w:pStyle w:val="SingleTxtG"/>
        <w:rPr>
          <w:lang w:val="en-US"/>
        </w:rPr>
      </w:pPr>
      <w:r w:rsidRPr="00AF1D5F">
        <w:rPr>
          <w:lang w:val="en-US"/>
        </w:rPr>
        <w:t>9</w:t>
      </w:r>
      <w:r w:rsidR="00063B0A" w:rsidRPr="00AF1D5F">
        <w:rPr>
          <w:lang w:val="en-US"/>
        </w:rPr>
        <w:t>.</w:t>
      </w:r>
      <w:r w:rsidR="00063B0A" w:rsidRPr="00AF1D5F">
        <w:rPr>
          <w:lang w:val="en-US"/>
        </w:rPr>
        <w:tab/>
        <w:t>The Committee is of the view that the State party has an obligation to refrain from forcibly returning the complainant to the Islamic Republic of Iran or to any other country where he runs a real risk of being expelled or returned to the Islamic Rep</w:t>
      </w:r>
      <w:r w:rsidR="00095A4F">
        <w:rPr>
          <w:lang w:val="en-US"/>
        </w:rPr>
        <w:t>ublic of Iran. Pursuant to rule </w:t>
      </w:r>
      <w:r w:rsidR="00063B0A" w:rsidRPr="00AF1D5F">
        <w:rPr>
          <w:lang w:val="en-US"/>
        </w:rPr>
        <w:t xml:space="preserve">118, </w:t>
      </w:r>
      <w:r w:rsidR="00EE3B01">
        <w:rPr>
          <w:lang w:val="en-US"/>
        </w:rPr>
        <w:t>paragraph </w:t>
      </w:r>
      <w:r w:rsidR="00063B0A" w:rsidRPr="00AF1D5F">
        <w:rPr>
          <w:lang w:val="en-US"/>
        </w:rPr>
        <w:t>5, of its rules of procedure, the Committee invites the Stat</w:t>
      </w:r>
      <w:r w:rsidR="00095A4F">
        <w:rPr>
          <w:lang w:val="en-US"/>
        </w:rPr>
        <w:t>e party to inform it, within 90 </w:t>
      </w:r>
      <w:r w:rsidR="00063B0A" w:rsidRPr="00AF1D5F">
        <w:rPr>
          <w:lang w:val="en-US"/>
        </w:rPr>
        <w:t xml:space="preserve">days </w:t>
      </w:r>
      <w:r w:rsidR="005F1826">
        <w:rPr>
          <w:lang w:val="en-US"/>
        </w:rPr>
        <w:t>of</w:t>
      </w:r>
      <w:r w:rsidR="005F1826" w:rsidRPr="00AF1D5F">
        <w:rPr>
          <w:lang w:val="en-US"/>
        </w:rPr>
        <w:t xml:space="preserve"> </w:t>
      </w:r>
      <w:r w:rsidR="00063B0A" w:rsidRPr="00AF1D5F">
        <w:rPr>
          <w:lang w:val="en-US"/>
        </w:rPr>
        <w:t xml:space="preserve">the date of transmittal of the present decision, of the steps </w:t>
      </w:r>
      <w:r w:rsidR="005F1826">
        <w:rPr>
          <w:lang w:val="en-US"/>
        </w:rPr>
        <w:t xml:space="preserve">that </w:t>
      </w:r>
      <w:r w:rsidR="00063B0A" w:rsidRPr="00AF1D5F">
        <w:rPr>
          <w:lang w:val="en-US"/>
        </w:rPr>
        <w:t>it has taken in response to the present decision.</w:t>
      </w:r>
    </w:p>
    <w:p w:rsidR="007D3C63" w:rsidRPr="007D3C63" w:rsidRDefault="007D3C63" w:rsidP="007D3C63">
      <w:pPr>
        <w:pStyle w:val="SingleTxtG"/>
        <w:spacing w:before="240" w:after="0"/>
        <w:jc w:val="center"/>
        <w:rPr>
          <w:u w:val="single"/>
        </w:rPr>
      </w:pPr>
      <w:r>
        <w:rPr>
          <w:u w:val="single"/>
          <w:lang w:val="en-US"/>
        </w:rPr>
        <w:tab/>
      </w:r>
      <w:r>
        <w:rPr>
          <w:u w:val="single"/>
          <w:lang w:val="en-US"/>
        </w:rPr>
        <w:tab/>
      </w:r>
      <w:r>
        <w:rPr>
          <w:u w:val="single"/>
          <w:lang w:val="en-US"/>
        </w:rPr>
        <w:tab/>
      </w:r>
    </w:p>
    <w:sectPr w:rsidR="007D3C63" w:rsidRPr="007D3C63" w:rsidSect="006B2667">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095" w:rsidRDefault="00A24095"/>
  </w:endnote>
  <w:endnote w:type="continuationSeparator" w:id="0">
    <w:p w:rsidR="00A24095" w:rsidRDefault="00A24095"/>
  </w:endnote>
  <w:endnote w:type="continuationNotice" w:id="1">
    <w:p w:rsidR="00A24095" w:rsidRDefault="00A24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DB" w:rsidRPr="006B2667" w:rsidRDefault="00040FDB" w:rsidP="006B2667">
    <w:pPr>
      <w:pStyle w:val="Footer"/>
      <w:tabs>
        <w:tab w:val="right" w:pos="9638"/>
      </w:tabs>
    </w:pPr>
    <w:r w:rsidRPr="006B2667">
      <w:rPr>
        <w:b/>
        <w:sz w:val="18"/>
      </w:rPr>
      <w:fldChar w:fldCharType="begin"/>
    </w:r>
    <w:r w:rsidRPr="006B2667">
      <w:rPr>
        <w:b/>
        <w:sz w:val="18"/>
      </w:rPr>
      <w:instrText xml:space="preserve"> PAGE  \* MERGEFORMAT </w:instrText>
    </w:r>
    <w:r w:rsidRPr="006B2667">
      <w:rPr>
        <w:b/>
        <w:sz w:val="18"/>
      </w:rPr>
      <w:fldChar w:fldCharType="separate"/>
    </w:r>
    <w:r w:rsidR="000C4857">
      <w:rPr>
        <w:b/>
        <w:noProof/>
        <w:sz w:val="18"/>
      </w:rPr>
      <w:t>2</w:t>
    </w:r>
    <w:r w:rsidRPr="006B266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DB" w:rsidRPr="006B2667" w:rsidRDefault="00040FDB" w:rsidP="006B2667">
    <w:pPr>
      <w:pStyle w:val="Footer"/>
      <w:tabs>
        <w:tab w:val="right" w:pos="9638"/>
      </w:tabs>
      <w:rPr>
        <w:b/>
        <w:sz w:val="18"/>
      </w:rPr>
    </w:pPr>
    <w:r>
      <w:tab/>
    </w:r>
    <w:r w:rsidRPr="006B2667">
      <w:rPr>
        <w:b/>
        <w:sz w:val="18"/>
      </w:rPr>
      <w:fldChar w:fldCharType="begin"/>
    </w:r>
    <w:r w:rsidRPr="006B2667">
      <w:rPr>
        <w:b/>
        <w:sz w:val="18"/>
      </w:rPr>
      <w:instrText xml:space="preserve"> PAGE  \* MERGEFORMAT </w:instrText>
    </w:r>
    <w:r w:rsidRPr="006B2667">
      <w:rPr>
        <w:b/>
        <w:sz w:val="18"/>
      </w:rPr>
      <w:fldChar w:fldCharType="separate"/>
    </w:r>
    <w:r w:rsidR="000C4857">
      <w:rPr>
        <w:b/>
        <w:noProof/>
        <w:sz w:val="18"/>
      </w:rPr>
      <w:t>3</w:t>
    </w:r>
    <w:r w:rsidRPr="006B266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DB" w:rsidRPr="006B2667" w:rsidRDefault="00A24095" w:rsidP="0040056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recycle_English" style="position:absolute;margin-left:346pt;margin-top:14.3pt;width:73.25pt;height:18.15pt;z-index:1;visibility:visible">
          <v:imagedata r:id="rId1" o:title="recycle_English"/>
          <w10:anchorlock/>
        </v:shape>
      </w:pict>
    </w:r>
    <w:r w:rsidR="00040FDB">
      <w:t>GE.1</w:t>
    </w:r>
    <w:r w:rsidR="00400562">
      <w:t>5</w:t>
    </w:r>
    <w:r w:rsidR="00040FDB">
      <w:t>-</w:t>
    </w:r>
    <w:r w:rsidR="0039787B">
      <w:t>00596</w:t>
    </w:r>
    <w:r w:rsidR="00BE1806">
      <w:t xml:space="preserve">  (E)</w:t>
    </w:r>
    <w:r w:rsidR="00BE1806">
      <w:br/>
    </w:r>
    <w:r w:rsidR="00BE1806" w:rsidRPr="00BE1806">
      <w:rPr>
        <w:rFonts w:ascii="C39T30Lfz" w:hAnsi="C39T30Lfz"/>
        <w:sz w:val="56"/>
      </w:rPr>
      <w:t></w:t>
    </w:r>
    <w:r w:rsidR="00BE1806" w:rsidRPr="00BE1806">
      <w:rPr>
        <w:rFonts w:ascii="C39T30Lfz" w:hAnsi="C39T30Lfz"/>
        <w:sz w:val="56"/>
      </w:rPr>
      <w:t></w:t>
    </w:r>
    <w:r w:rsidR="00BE1806" w:rsidRPr="00BE1806">
      <w:rPr>
        <w:rFonts w:ascii="C39T30Lfz" w:hAnsi="C39T30Lfz"/>
        <w:sz w:val="56"/>
      </w:rPr>
      <w:t></w:t>
    </w:r>
    <w:r w:rsidR="00BE1806" w:rsidRPr="00BE1806">
      <w:rPr>
        <w:rFonts w:ascii="C39T30Lfz" w:hAnsi="C39T30Lfz"/>
        <w:sz w:val="56"/>
      </w:rPr>
      <w:t></w:t>
    </w:r>
    <w:r w:rsidR="00BE1806" w:rsidRPr="00BE1806">
      <w:rPr>
        <w:rFonts w:ascii="C39T30Lfz" w:hAnsi="C39T30Lfz"/>
        <w:sz w:val="56"/>
      </w:rPr>
      <w:t></w:t>
    </w:r>
    <w:r w:rsidR="00BE1806" w:rsidRPr="00BE1806">
      <w:rPr>
        <w:rFonts w:ascii="C39T30Lfz" w:hAnsi="C39T30Lfz"/>
        <w:sz w:val="56"/>
      </w:rPr>
      <w:t></w:t>
    </w:r>
    <w:r w:rsidR="00BE1806" w:rsidRPr="00BE1806">
      <w:rPr>
        <w:rFonts w:ascii="C39T30Lfz" w:hAnsi="C39T30Lfz"/>
        <w:sz w:val="56"/>
      </w:rPr>
      <w:t></w:t>
    </w:r>
    <w:r w:rsidR="00BE1806" w:rsidRPr="00BE1806">
      <w:rPr>
        <w:rFonts w:ascii="C39T30Lfz" w:hAnsi="C39T30Lfz"/>
        <w:sz w:val="56"/>
      </w:rPr>
      <w:t></w:t>
    </w:r>
    <w:r w:rsidR="00BE1806" w:rsidRPr="00BE180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095" w:rsidRPr="000B175B" w:rsidRDefault="00A24095" w:rsidP="000B175B">
      <w:pPr>
        <w:tabs>
          <w:tab w:val="right" w:pos="2155"/>
        </w:tabs>
        <w:spacing w:after="80"/>
        <w:ind w:left="680"/>
        <w:rPr>
          <w:u w:val="single"/>
        </w:rPr>
      </w:pPr>
      <w:r>
        <w:rPr>
          <w:u w:val="single"/>
        </w:rPr>
        <w:tab/>
      </w:r>
    </w:p>
  </w:footnote>
  <w:footnote w:type="continuationSeparator" w:id="0">
    <w:p w:rsidR="00A24095" w:rsidRPr="00FC68B7" w:rsidRDefault="00A24095" w:rsidP="00FC68B7">
      <w:pPr>
        <w:tabs>
          <w:tab w:val="left" w:pos="2155"/>
        </w:tabs>
        <w:spacing w:after="80"/>
        <w:ind w:left="680"/>
        <w:rPr>
          <w:u w:val="single"/>
        </w:rPr>
      </w:pPr>
      <w:r>
        <w:rPr>
          <w:u w:val="single"/>
        </w:rPr>
        <w:tab/>
      </w:r>
    </w:p>
  </w:footnote>
  <w:footnote w:type="continuationNotice" w:id="1">
    <w:p w:rsidR="00A24095" w:rsidRDefault="00A24095"/>
  </w:footnote>
  <w:footnote w:id="2">
    <w:p w:rsidR="00A66C24" w:rsidRPr="00A66C24" w:rsidRDefault="00A66C24">
      <w:pPr>
        <w:pStyle w:val="FootnoteText"/>
      </w:pPr>
      <w:r>
        <w:tab/>
      </w:r>
      <w:r w:rsidRPr="00DD3BFB">
        <w:rPr>
          <w:rStyle w:val="FootnoteReference"/>
          <w:sz w:val="20"/>
          <w:vertAlign w:val="baseline"/>
        </w:rPr>
        <w:t>*</w:t>
      </w:r>
      <w:r>
        <w:rPr>
          <w:rStyle w:val="FootnoteReference"/>
          <w:sz w:val="20"/>
          <w:vertAlign w:val="baseline"/>
        </w:rPr>
        <w:tab/>
      </w:r>
      <w:r>
        <w:t>Reissued for technical reasons on 3 February 2015</w:t>
      </w:r>
      <w:r w:rsidR="00DD3BFB">
        <w:t>.</w:t>
      </w:r>
    </w:p>
  </w:footnote>
  <w:footnote w:id="3">
    <w:p w:rsidR="00040FDB" w:rsidRPr="00DD3BFB" w:rsidRDefault="00040FDB" w:rsidP="00973654">
      <w:pPr>
        <w:pStyle w:val="FootnoteText"/>
        <w:widowControl w:val="0"/>
        <w:tabs>
          <w:tab w:val="clear" w:pos="1021"/>
          <w:tab w:val="right" w:pos="1020"/>
        </w:tabs>
      </w:pPr>
      <w:r>
        <w:tab/>
      </w:r>
      <w:r>
        <w:rPr>
          <w:rStyle w:val="FootnoteReference"/>
        </w:rPr>
        <w:footnoteRef/>
      </w:r>
      <w:r>
        <w:tab/>
      </w:r>
      <w:r w:rsidRPr="00684B3C">
        <w:t xml:space="preserve">Paramilitary volunteer militia established in 1979 by order of the </w:t>
      </w:r>
      <w:r>
        <w:t xml:space="preserve">leader of the </w:t>
      </w:r>
      <w:r w:rsidRPr="00684B3C">
        <w:t>Islamic Revolution</w:t>
      </w:r>
      <w:r>
        <w:t>,</w:t>
      </w:r>
      <w:r w:rsidRPr="00684B3C">
        <w:t xml:space="preserve"> Ayatollah Khomeini. The force consists of young Iranians who</w:t>
      </w:r>
      <w:r>
        <w:t xml:space="preserve"> </w:t>
      </w:r>
      <w:r w:rsidRPr="00684B3C">
        <w:t>volunteer</w:t>
      </w:r>
      <w:r>
        <w:t xml:space="preserve">, </w:t>
      </w:r>
      <w:r w:rsidRPr="00684B3C">
        <w:t>often in exchange for official benefits.</w:t>
      </w:r>
      <w:r>
        <w:t xml:space="preserve"> </w:t>
      </w:r>
    </w:p>
  </w:footnote>
  <w:footnote w:id="4">
    <w:p w:rsidR="00040FDB" w:rsidRPr="00DD3BFB" w:rsidRDefault="00040FDB" w:rsidP="00AA006C">
      <w:pPr>
        <w:pStyle w:val="FootnoteText"/>
        <w:widowControl w:val="0"/>
        <w:tabs>
          <w:tab w:val="clear" w:pos="1021"/>
          <w:tab w:val="right" w:pos="1020"/>
        </w:tabs>
      </w:pPr>
      <w:r>
        <w:tab/>
      </w:r>
      <w:r>
        <w:rPr>
          <w:rStyle w:val="FootnoteReference"/>
        </w:rPr>
        <w:footnoteRef/>
      </w:r>
      <w:r>
        <w:tab/>
        <w:t xml:space="preserve">Communication No. 357/2008, </w:t>
      </w:r>
      <w:r w:rsidRPr="004D25F5">
        <w:rPr>
          <w:i/>
        </w:rPr>
        <w:t xml:space="preserve">Jahani </w:t>
      </w:r>
      <w:r w:rsidRPr="00DD3BFB">
        <w:rPr>
          <w:iCs/>
        </w:rPr>
        <w:t>v.</w:t>
      </w:r>
      <w:r w:rsidRPr="004D25F5">
        <w:rPr>
          <w:i/>
        </w:rPr>
        <w:t xml:space="preserve"> Switzerland, </w:t>
      </w:r>
      <w:r>
        <w:t>decision adopted on 23 May 2011, para. 9.4.</w:t>
      </w:r>
    </w:p>
  </w:footnote>
  <w:footnote w:id="5">
    <w:p w:rsidR="00040FDB" w:rsidRPr="00DD3BFB" w:rsidRDefault="00040FDB" w:rsidP="0054390E">
      <w:pPr>
        <w:pStyle w:val="FootnoteText"/>
        <w:widowControl w:val="0"/>
        <w:tabs>
          <w:tab w:val="clear" w:pos="1021"/>
          <w:tab w:val="right" w:pos="1020"/>
        </w:tabs>
      </w:pPr>
      <w:r>
        <w:tab/>
      </w:r>
      <w:r>
        <w:rPr>
          <w:rStyle w:val="FootnoteReference"/>
        </w:rPr>
        <w:footnoteRef/>
      </w:r>
      <w:r>
        <w:tab/>
        <w:t xml:space="preserve">United Kingdom Border Agency, “Iran: country of origin information report”, 28 June 2011, para. 31.21 (f). </w:t>
      </w:r>
    </w:p>
  </w:footnote>
  <w:footnote w:id="6">
    <w:p w:rsidR="00040FDB" w:rsidRPr="00DD3BFB" w:rsidRDefault="00040FDB" w:rsidP="0054390E">
      <w:pPr>
        <w:pStyle w:val="FootnoteText"/>
        <w:widowControl w:val="0"/>
        <w:tabs>
          <w:tab w:val="clear" w:pos="1021"/>
          <w:tab w:val="right" w:pos="1020"/>
        </w:tabs>
      </w:pPr>
      <w:r>
        <w:tab/>
      </w:r>
      <w:r w:rsidRPr="00AA006C">
        <w:rPr>
          <w:rStyle w:val="FootnoteReference"/>
        </w:rPr>
        <w:footnoteRef/>
      </w:r>
      <w:r w:rsidRPr="00AA006C">
        <w:tab/>
        <w:t xml:space="preserve">United States Department of State, “2010 country reports on human rights practices – Iran”, 8 April 2011. </w:t>
      </w:r>
    </w:p>
  </w:footnote>
  <w:footnote w:id="7">
    <w:p w:rsidR="00040FDB" w:rsidRPr="00DD3BFB" w:rsidRDefault="00040FDB" w:rsidP="00451396">
      <w:pPr>
        <w:pStyle w:val="FootnoteText"/>
        <w:widowControl w:val="0"/>
        <w:tabs>
          <w:tab w:val="clear" w:pos="1021"/>
          <w:tab w:val="right" w:pos="1020"/>
        </w:tabs>
        <w:rPr>
          <w:lang w:val="es-ES"/>
        </w:rPr>
      </w:pPr>
      <w:r w:rsidRPr="00AA006C">
        <w:rPr>
          <w:lang w:val="es-ES"/>
        </w:rPr>
        <w:tab/>
      </w:r>
      <w:r w:rsidRPr="00AA006C">
        <w:rPr>
          <w:rStyle w:val="FootnoteReference"/>
        </w:rPr>
        <w:footnoteRef/>
      </w:r>
      <w:r w:rsidRPr="00AA006C">
        <w:rPr>
          <w:lang w:val="es-ES"/>
        </w:rPr>
        <w:tab/>
      </w:r>
      <w:r>
        <w:rPr>
          <w:lang w:val="it-IT"/>
        </w:rPr>
        <w:t xml:space="preserve">See </w:t>
      </w:r>
      <w:r w:rsidRPr="00AA006C">
        <w:rPr>
          <w:lang w:val="it-IT"/>
        </w:rPr>
        <w:t>para. 5.8</w:t>
      </w:r>
      <w:r>
        <w:rPr>
          <w:lang w:val="it-IT"/>
        </w:rPr>
        <w:t xml:space="preserve"> below</w:t>
      </w:r>
      <w:r w:rsidRPr="00AA006C">
        <w:rPr>
          <w:lang w:val="it-IT"/>
        </w:rPr>
        <w:t>.</w:t>
      </w:r>
      <w:r w:rsidRPr="002011B6">
        <w:rPr>
          <w:lang w:val="es-ES"/>
        </w:rPr>
        <w:t xml:space="preserve"> </w:t>
      </w:r>
    </w:p>
  </w:footnote>
  <w:footnote w:id="8">
    <w:p w:rsidR="00040FDB" w:rsidRPr="00DD3BFB" w:rsidRDefault="00040FDB" w:rsidP="0054390E">
      <w:pPr>
        <w:pStyle w:val="FootnoteText"/>
        <w:widowControl w:val="0"/>
        <w:tabs>
          <w:tab w:val="clear" w:pos="1021"/>
          <w:tab w:val="right" w:pos="1020"/>
        </w:tabs>
      </w:pPr>
      <w:r w:rsidRPr="002011B6">
        <w:rPr>
          <w:lang w:val="es-ES"/>
        </w:rPr>
        <w:tab/>
      </w:r>
      <w:r>
        <w:rPr>
          <w:rStyle w:val="FootnoteReference"/>
        </w:rPr>
        <w:footnoteRef/>
      </w:r>
      <w:r w:rsidRPr="002011B6">
        <w:rPr>
          <w:lang w:val="es-ES"/>
        </w:rPr>
        <w:tab/>
      </w:r>
      <w:r w:rsidRPr="009E0CD8">
        <w:rPr>
          <w:lang w:val="it-IT"/>
        </w:rPr>
        <w:t>General comment No.</w:t>
      </w:r>
      <w:r>
        <w:rPr>
          <w:lang w:val="it-IT"/>
        </w:rPr>
        <w:t xml:space="preserve"> </w:t>
      </w:r>
      <w:r w:rsidRPr="009E0CD8">
        <w:rPr>
          <w:lang w:val="it-IT"/>
        </w:rPr>
        <w:t xml:space="preserve">1, </w:t>
      </w:r>
      <w:r>
        <w:rPr>
          <w:lang w:val="it-IT"/>
        </w:rPr>
        <w:t>para. </w:t>
      </w:r>
      <w:r w:rsidRPr="009E0CD8">
        <w:rPr>
          <w:lang w:val="it-IT"/>
        </w:rPr>
        <w:t>8.</w:t>
      </w:r>
      <w:r>
        <w:t xml:space="preserve"> </w:t>
      </w:r>
    </w:p>
  </w:footnote>
  <w:footnote w:id="9">
    <w:p w:rsidR="00040FDB" w:rsidRPr="00DD3BFB" w:rsidRDefault="00040FDB" w:rsidP="0054390E">
      <w:pPr>
        <w:pStyle w:val="FootnoteText"/>
        <w:widowControl w:val="0"/>
        <w:tabs>
          <w:tab w:val="clear" w:pos="1021"/>
          <w:tab w:val="right" w:pos="1020"/>
        </w:tabs>
      </w:pPr>
      <w:r>
        <w:tab/>
      </w:r>
      <w:r>
        <w:rPr>
          <w:rStyle w:val="FootnoteReference"/>
        </w:rPr>
        <w:footnoteRef/>
      </w:r>
      <w:r>
        <w:tab/>
        <w:t>Communication No. </w:t>
      </w:r>
      <w:r w:rsidRPr="000722FC">
        <w:rPr>
          <w:color w:val="000000"/>
          <w:szCs w:val="18"/>
        </w:rPr>
        <w:t>94/1997</w:t>
      </w:r>
      <w:r>
        <w:rPr>
          <w:color w:val="000000"/>
          <w:szCs w:val="18"/>
        </w:rPr>
        <w:t xml:space="preserve">, </w:t>
      </w:r>
      <w:r w:rsidRPr="000722FC">
        <w:rPr>
          <w:i/>
          <w:color w:val="000000"/>
          <w:szCs w:val="18"/>
        </w:rPr>
        <w:t xml:space="preserve">K.N. </w:t>
      </w:r>
      <w:r w:rsidRPr="00DD3BFB">
        <w:rPr>
          <w:iCs/>
          <w:color w:val="000000"/>
          <w:szCs w:val="18"/>
        </w:rPr>
        <w:t>v.</w:t>
      </w:r>
      <w:r w:rsidRPr="000722FC">
        <w:rPr>
          <w:i/>
          <w:color w:val="000000"/>
          <w:szCs w:val="18"/>
        </w:rPr>
        <w:t xml:space="preserve"> Switzerland</w:t>
      </w:r>
      <w:r w:rsidRPr="000722FC">
        <w:rPr>
          <w:color w:val="000000"/>
          <w:szCs w:val="18"/>
        </w:rPr>
        <w:t xml:space="preserve">, </w:t>
      </w:r>
      <w:r>
        <w:rPr>
          <w:color w:val="000000"/>
          <w:szCs w:val="18"/>
        </w:rPr>
        <w:t>Views adopted on 19 May 1998, para. </w:t>
      </w:r>
      <w:r w:rsidRPr="000722FC">
        <w:rPr>
          <w:color w:val="000000"/>
          <w:szCs w:val="18"/>
        </w:rPr>
        <w:t>10.2</w:t>
      </w:r>
      <w:r>
        <w:rPr>
          <w:color w:val="000000"/>
          <w:szCs w:val="18"/>
        </w:rPr>
        <w:t>.</w:t>
      </w:r>
      <w:r>
        <w:t xml:space="preserve"> </w:t>
      </w:r>
    </w:p>
  </w:footnote>
  <w:footnote w:id="10">
    <w:p w:rsidR="00040FDB" w:rsidRPr="00DD3BFB" w:rsidRDefault="00040FDB" w:rsidP="00EE3B01">
      <w:pPr>
        <w:pStyle w:val="FootnoteText"/>
        <w:widowControl w:val="0"/>
        <w:tabs>
          <w:tab w:val="clear" w:pos="1021"/>
          <w:tab w:val="right" w:pos="1020"/>
        </w:tabs>
      </w:pPr>
      <w:r>
        <w:tab/>
      </w:r>
      <w:r>
        <w:rPr>
          <w:rStyle w:val="FootnoteReference"/>
        </w:rPr>
        <w:footnoteRef/>
      </w:r>
      <w:r>
        <w:tab/>
      </w:r>
      <w:r w:rsidRPr="00DD3BFB">
        <w:rPr>
          <w:iCs/>
        </w:rPr>
        <w:t>Ibid.</w:t>
      </w:r>
      <w:r w:rsidRPr="00FF7F14">
        <w:rPr>
          <w:iCs/>
        </w:rPr>
        <w:t>, par</w:t>
      </w:r>
      <w:r>
        <w:t>a. 10.5; and communication No. </w:t>
      </w:r>
      <w:r w:rsidRPr="00997429">
        <w:t xml:space="preserve">100/1997, </w:t>
      </w:r>
      <w:r w:rsidRPr="00997429">
        <w:rPr>
          <w:i/>
        </w:rPr>
        <w:t xml:space="preserve">J.U.A. </w:t>
      </w:r>
      <w:r w:rsidRPr="00DD3BFB">
        <w:rPr>
          <w:iCs/>
        </w:rPr>
        <w:t>v.</w:t>
      </w:r>
      <w:r w:rsidRPr="00997429">
        <w:rPr>
          <w:i/>
        </w:rPr>
        <w:t xml:space="preserve"> Switzerland</w:t>
      </w:r>
      <w:r w:rsidRPr="00997429">
        <w:t>, Views adopted on 10</w:t>
      </w:r>
      <w:r>
        <w:t> </w:t>
      </w:r>
      <w:r w:rsidRPr="00997429">
        <w:t xml:space="preserve">November 1998, </w:t>
      </w:r>
      <w:r>
        <w:t>paras. </w:t>
      </w:r>
      <w:r w:rsidRPr="00997429">
        <w:t>6.3 and 6.5.</w:t>
      </w:r>
      <w:r>
        <w:t xml:space="preserve"> </w:t>
      </w:r>
    </w:p>
  </w:footnote>
  <w:footnote w:id="11">
    <w:p w:rsidR="00040FDB" w:rsidRPr="00DD3BFB" w:rsidRDefault="00040FDB" w:rsidP="0054390E">
      <w:pPr>
        <w:pStyle w:val="FootnoteText"/>
        <w:widowControl w:val="0"/>
        <w:tabs>
          <w:tab w:val="clear" w:pos="1021"/>
          <w:tab w:val="right" w:pos="1020"/>
        </w:tabs>
      </w:pPr>
      <w:r>
        <w:tab/>
      </w:r>
      <w:r>
        <w:rPr>
          <w:rStyle w:val="FootnoteReference"/>
        </w:rPr>
        <w:footnoteRef/>
      </w:r>
      <w:r>
        <w:tab/>
        <w:t>G</w:t>
      </w:r>
      <w:r>
        <w:rPr>
          <w:szCs w:val="18"/>
        </w:rPr>
        <w:t xml:space="preserve">eneral comment </w:t>
      </w:r>
      <w:r>
        <w:t>No. </w:t>
      </w:r>
      <w:r>
        <w:rPr>
          <w:szCs w:val="18"/>
        </w:rPr>
        <w:t>1, p</w:t>
      </w:r>
      <w:r>
        <w:t>ara. 6</w:t>
      </w:r>
      <w:r>
        <w:rPr>
          <w:szCs w:val="18"/>
        </w:rPr>
        <w:t>.</w:t>
      </w:r>
      <w:r>
        <w:t xml:space="preserve"> </w:t>
      </w:r>
    </w:p>
  </w:footnote>
  <w:footnote w:id="12">
    <w:p w:rsidR="00040FDB" w:rsidRPr="00DD3BFB" w:rsidRDefault="00040FDB" w:rsidP="00782640">
      <w:pPr>
        <w:pStyle w:val="FootnoteText"/>
        <w:widowControl w:val="0"/>
        <w:tabs>
          <w:tab w:val="clear" w:pos="1021"/>
          <w:tab w:val="right" w:pos="1020"/>
        </w:tabs>
      </w:pPr>
      <w:r>
        <w:tab/>
      </w:r>
      <w:r>
        <w:rPr>
          <w:rStyle w:val="FootnoteReference"/>
        </w:rPr>
        <w:footnoteRef/>
      </w:r>
      <w:r>
        <w:tab/>
        <w:t>European Court of Human Rights, judgement No. </w:t>
      </w:r>
      <w:r w:rsidRPr="0029006E">
        <w:t xml:space="preserve">41827/07 </w:t>
      </w:r>
      <w:r>
        <w:t xml:space="preserve">of 9 March 2010, </w:t>
      </w:r>
      <w:r w:rsidRPr="0029006E">
        <w:rPr>
          <w:i/>
        </w:rPr>
        <w:t xml:space="preserve">R.C. </w:t>
      </w:r>
      <w:r w:rsidRPr="00DD3BFB">
        <w:rPr>
          <w:iCs/>
        </w:rPr>
        <w:t>v.</w:t>
      </w:r>
      <w:r w:rsidRPr="0029006E">
        <w:rPr>
          <w:i/>
        </w:rPr>
        <w:t xml:space="preserve"> Sweden</w:t>
      </w:r>
      <w:r>
        <w:t>, paras. </w:t>
      </w:r>
      <w:r>
        <w:rPr>
          <w:lang w:val="de-DE"/>
        </w:rPr>
        <w:t xml:space="preserve">56 and </w:t>
      </w:r>
      <w:r w:rsidRPr="009E0CD8">
        <w:rPr>
          <w:lang w:val="de-DE"/>
        </w:rPr>
        <w:t>57.</w:t>
      </w:r>
      <w:r>
        <w:t xml:space="preserve"> </w:t>
      </w:r>
    </w:p>
  </w:footnote>
  <w:footnote w:id="13">
    <w:p w:rsidR="00040FDB" w:rsidRPr="00DD3BFB" w:rsidRDefault="00040FDB" w:rsidP="00782640">
      <w:pPr>
        <w:pStyle w:val="FootnoteText"/>
        <w:widowControl w:val="0"/>
        <w:tabs>
          <w:tab w:val="clear" w:pos="1021"/>
          <w:tab w:val="right" w:pos="1020"/>
        </w:tabs>
      </w:pPr>
      <w:r>
        <w:tab/>
      </w:r>
      <w:r>
        <w:rPr>
          <w:rStyle w:val="FootnoteReference"/>
        </w:rPr>
        <w:footnoteRef/>
      </w:r>
      <w:r>
        <w:tab/>
      </w:r>
      <w:r w:rsidRPr="009E0CD8">
        <w:rPr>
          <w:lang w:val="de-DE"/>
        </w:rPr>
        <w:t>S</w:t>
      </w:r>
      <w:r>
        <w:rPr>
          <w:lang w:val="de-DE"/>
        </w:rPr>
        <w:t>amuel</w:t>
      </w:r>
      <w:r w:rsidRPr="009E0CD8">
        <w:rPr>
          <w:lang w:val="de-DE"/>
        </w:rPr>
        <w:t xml:space="preserve"> Werenfels, </w:t>
      </w:r>
      <w:r w:rsidRPr="00DD3BFB">
        <w:rPr>
          <w:i/>
          <w:iCs/>
          <w:lang w:val="de-DE"/>
        </w:rPr>
        <w:t>Der Begriff des Flüchtlings im schweizerischen Asylrecht</w:t>
      </w:r>
      <w:r w:rsidRPr="009E0CD8">
        <w:rPr>
          <w:lang w:val="de-DE"/>
        </w:rPr>
        <w:t xml:space="preserve"> </w:t>
      </w:r>
      <w:r>
        <w:rPr>
          <w:lang w:val="de-DE"/>
        </w:rPr>
        <w:t>(</w:t>
      </w:r>
      <w:r w:rsidRPr="009E0CD8">
        <w:rPr>
          <w:lang w:val="de-DE"/>
        </w:rPr>
        <w:t>Bern</w:t>
      </w:r>
      <w:r>
        <w:rPr>
          <w:lang w:val="de-DE"/>
        </w:rPr>
        <w:t>,</w:t>
      </w:r>
      <w:r w:rsidRPr="009E0CD8">
        <w:rPr>
          <w:lang w:val="de-DE"/>
        </w:rPr>
        <w:t xml:space="preserve"> 1987</w:t>
      </w:r>
      <w:r>
        <w:rPr>
          <w:lang w:val="de-DE"/>
        </w:rPr>
        <w:t>)</w:t>
      </w:r>
      <w:r w:rsidRPr="009E0CD8">
        <w:rPr>
          <w:lang w:val="de-DE"/>
        </w:rPr>
        <w:t>, p.</w:t>
      </w:r>
      <w:r>
        <w:rPr>
          <w:lang w:val="de-DE"/>
        </w:rPr>
        <w:t> </w:t>
      </w:r>
      <w:r w:rsidRPr="009E0CD8">
        <w:rPr>
          <w:lang w:val="de-DE"/>
        </w:rPr>
        <w:t>135.</w:t>
      </w:r>
      <w:r>
        <w:t xml:space="preserve"> </w:t>
      </w:r>
    </w:p>
  </w:footnote>
  <w:footnote w:id="14">
    <w:p w:rsidR="00040FDB" w:rsidRPr="00DD3BFB" w:rsidRDefault="00040FDB" w:rsidP="00782640">
      <w:pPr>
        <w:pStyle w:val="FootnoteText"/>
        <w:widowControl w:val="0"/>
        <w:tabs>
          <w:tab w:val="clear" w:pos="1021"/>
          <w:tab w:val="right" w:pos="1020"/>
        </w:tabs>
      </w:pPr>
      <w:r>
        <w:tab/>
      </w:r>
      <w:r>
        <w:rPr>
          <w:rStyle w:val="FootnoteReference"/>
        </w:rPr>
        <w:footnoteRef/>
      </w:r>
      <w:r>
        <w:tab/>
        <w:t xml:space="preserve">See the administrative tribunal’s case E-5292/2006. </w:t>
      </w:r>
    </w:p>
  </w:footnote>
  <w:footnote w:id="15">
    <w:p w:rsidR="00040FDB" w:rsidRPr="00DD3BFB" w:rsidRDefault="00040FDB" w:rsidP="00754627">
      <w:pPr>
        <w:pStyle w:val="FootnoteText"/>
        <w:widowControl w:val="0"/>
        <w:tabs>
          <w:tab w:val="clear" w:pos="1021"/>
          <w:tab w:val="right" w:pos="1020"/>
        </w:tabs>
      </w:pPr>
      <w:r>
        <w:tab/>
      </w:r>
      <w:r>
        <w:rPr>
          <w:rStyle w:val="FootnoteReference"/>
        </w:rPr>
        <w:footnoteRef/>
      </w:r>
      <w:r>
        <w:tab/>
        <w:t xml:space="preserve">Amnesty International, </w:t>
      </w:r>
      <w:r w:rsidRPr="00DD3BFB">
        <w:rPr>
          <w:i/>
          <w:iCs/>
        </w:rPr>
        <w:t>We Are Ordered to Crush You: Expanding Repression of Dissent in Iran</w:t>
      </w:r>
      <w:r>
        <w:t xml:space="preserve"> (February 2012), p. 21. </w:t>
      </w:r>
    </w:p>
  </w:footnote>
  <w:footnote w:id="16">
    <w:p w:rsidR="00040FDB" w:rsidRPr="00DD3BFB" w:rsidRDefault="00040FDB" w:rsidP="00273E88">
      <w:pPr>
        <w:pStyle w:val="FootnoteText"/>
        <w:widowControl w:val="0"/>
        <w:tabs>
          <w:tab w:val="clear" w:pos="1021"/>
          <w:tab w:val="right" w:pos="1020"/>
        </w:tabs>
      </w:pPr>
      <w:r>
        <w:tab/>
      </w:r>
      <w:r>
        <w:rPr>
          <w:rStyle w:val="FootnoteReference"/>
        </w:rPr>
        <w:footnoteRef/>
      </w:r>
      <w:r>
        <w:tab/>
        <w:t xml:space="preserve">See Jane Herlihy, Peter Scragg and Stuart Turner, “Discrepancies in autobiographical memories – implications for the assessment of asylum seekers: repeated interviews study”, in </w:t>
      </w:r>
      <w:r w:rsidRPr="00DD3BFB">
        <w:rPr>
          <w:i/>
          <w:iCs/>
        </w:rPr>
        <w:t>BMJ</w:t>
      </w:r>
      <w:r>
        <w:t xml:space="preserve">, vol. 324 (9 February 2002). Available from </w:t>
      </w:r>
      <w:r w:rsidRPr="00581848">
        <w:t>http://www.ncbi.nlm.nih.gov/pmc/articles/PMC65293/</w:t>
      </w:r>
      <w:r>
        <w:t>.</w:t>
      </w:r>
    </w:p>
  </w:footnote>
  <w:footnote w:id="17">
    <w:p w:rsidR="00040FDB" w:rsidRPr="00DD3BFB" w:rsidRDefault="00040FDB" w:rsidP="0027770A">
      <w:pPr>
        <w:pStyle w:val="FootnoteText"/>
        <w:widowControl w:val="0"/>
        <w:tabs>
          <w:tab w:val="clear" w:pos="1021"/>
          <w:tab w:val="right" w:pos="1020"/>
        </w:tabs>
      </w:pPr>
      <w:r>
        <w:tab/>
      </w:r>
      <w:r>
        <w:rPr>
          <w:rStyle w:val="FootnoteReference"/>
        </w:rPr>
        <w:footnoteRef/>
      </w:r>
      <w:r>
        <w:tab/>
        <w:t xml:space="preserve">See, inter alia, </w:t>
      </w:r>
      <w:r w:rsidRPr="006E4C6B">
        <w:t xml:space="preserve">communication </w:t>
      </w:r>
      <w:r>
        <w:t>No. </w:t>
      </w:r>
      <w:r w:rsidRPr="006E4C6B">
        <w:t xml:space="preserve">203/2002, </w:t>
      </w:r>
      <w:r w:rsidRPr="006E4C6B">
        <w:rPr>
          <w:i/>
          <w:iCs/>
        </w:rPr>
        <w:t>A.R.</w:t>
      </w:r>
      <w:r w:rsidRPr="006E4C6B">
        <w:t xml:space="preserve"> </w:t>
      </w:r>
      <w:r w:rsidRPr="00DD3BFB">
        <w:t>v.</w:t>
      </w:r>
      <w:r w:rsidRPr="006E4C6B">
        <w:t xml:space="preserve"> </w:t>
      </w:r>
      <w:r w:rsidRPr="006E4C6B">
        <w:rPr>
          <w:i/>
          <w:iCs/>
        </w:rPr>
        <w:t>Netherlands</w:t>
      </w:r>
      <w:r w:rsidRPr="006E4C6B">
        <w:t xml:space="preserve">, </w:t>
      </w:r>
      <w:r>
        <w:t xml:space="preserve">decision </w:t>
      </w:r>
      <w:r w:rsidRPr="006E4C6B">
        <w:t>adopted on 1</w:t>
      </w:r>
      <w:r>
        <w:t>4</w:t>
      </w:r>
      <w:r w:rsidRPr="006E4C6B">
        <w:t xml:space="preserve"> November 2003</w:t>
      </w:r>
      <w:r>
        <w:t xml:space="preserve">; and communication </w:t>
      </w:r>
      <w:r>
        <w:rPr>
          <w:rStyle w:val="FootnoteReference"/>
          <w:szCs w:val="18"/>
          <w:vertAlign w:val="baseline"/>
        </w:rPr>
        <w:t>No. </w:t>
      </w:r>
      <w:r w:rsidRPr="00116B35">
        <w:rPr>
          <w:rStyle w:val="FootnoteReference"/>
          <w:szCs w:val="18"/>
          <w:vertAlign w:val="baseline"/>
        </w:rPr>
        <w:t xml:space="preserve">258/2004, </w:t>
      </w:r>
      <w:r w:rsidRPr="006611AE">
        <w:rPr>
          <w:rStyle w:val="FootnoteReference"/>
          <w:i/>
          <w:szCs w:val="18"/>
          <w:vertAlign w:val="baseline"/>
        </w:rPr>
        <w:t>Dadar</w:t>
      </w:r>
      <w:r w:rsidRPr="00116B35">
        <w:rPr>
          <w:rStyle w:val="FootnoteReference"/>
          <w:szCs w:val="18"/>
          <w:vertAlign w:val="baseline"/>
        </w:rPr>
        <w:t xml:space="preserve"> </w:t>
      </w:r>
      <w:r w:rsidRPr="00DD3BFB">
        <w:rPr>
          <w:rStyle w:val="FootnoteReference"/>
          <w:szCs w:val="18"/>
          <w:vertAlign w:val="baseline"/>
        </w:rPr>
        <w:t xml:space="preserve">v. </w:t>
      </w:r>
      <w:r w:rsidRPr="006611AE">
        <w:rPr>
          <w:rStyle w:val="FootnoteReference"/>
          <w:i/>
          <w:szCs w:val="18"/>
          <w:vertAlign w:val="baseline"/>
        </w:rPr>
        <w:t>Canada</w:t>
      </w:r>
      <w:r w:rsidRPr="00116B35">
        <w:rPr>
          <w:rStyle w:val="FootnoteReference"/>
          <w:szCs w:val="18"/>
          <w:vertAlign w:val="baseline"/>
        </w:rPr>
        <w:t>, decision adopted on 23 November 2005</w:t>
      </w:r>
      <w:r>
        <w:rPr>
          <w:szCs w:val="18"/>
        </w:rPr>
        <w:t>.</w:t>
      </w:r>
      <w:r>
        <w:t xml:space="preserve"> </w:t>
      </w:r>
    </w:p>
  </w:footnote>
  <w:footnote w:id="18">
    <w:p w:rsidR="00040FDB" w:rsidRPr="00EA4812" w:rsidRDefault="00040FDB" w:rsidP="00EA4812">
      <w:pPr>
        <w:pStyle w:val="FootnoteText"/>
        <w:widowControl w:val="0"/>
        <w:tabs>
          <w:tab w:val="clear" w:pos="1021"/>
          <w:tab w:val="right" w:pos="1020"/>
        </w:tabs>
        <w:rPr>
          <w:lang w:val="fr-CH"/>
        </w:rPr>
      </w:pPr>
      <w:r>
        <w:tab/>
      </w:r>
      <w:r>
        <w:rPr>
          <w:rStyle w:val="FootnoteReference"/>
        </w:rPr>
        <w:footnoteRef/>
      </w:r>
      <w:r w:rsidRPr="00DD3BFB">
        <w:rPr>
          <w:lang w:val="es-ES"/>
        </w:rPr>
        <w:tab/>
      </w:r>
      <w:r w:rsidRPr="004D4DD9">
        <w:rPr>
          <w:rStyle w:val="FootnoteReference"/>
          <w:szCs w:val="18"/>
          <w:vertAlign w:val="baseline"/>
          <w:lang w:val="es-ES"/>
        </w:rPr>
        <w:t xml:space="preserve">See, </w:t>
      </w:r>
      <w:r w:rsidRPr="00AD69BA">
        <w:rPr>
          <w:rStyle w:val="FootnoteReference"/>
          <w:iCs/>
          <w:szCs w:val="18"/>
          <w:vertAlign w:val="baseline"/>
          <w:lang w:val="es-ES"/>
        </w:rPr>
        <w:t>inter alia</w:t>
      </w:r>
      <w:r w:rsidRPr="004D4DD9">
        <w:rPr>
          <w:rStyle w:val="FootnoteReference"/>
          <w:szCs w:val="18"/>
          <w:vertAlign w:val="baseline"/>
          <w:lang w:val="es-ES"/>
        </w:rPr>
        <w:t xml:space="preserve">, communication </w:t>
      </w:r>
      <w:r>
        <w:rPr>
          <w:rStyle w:val="FootnoteReference"/>
          <w:szCs w:val="18"/>
          <w:vertAlign w:val="baseline"/>
          <w:lang w:val="es-ES"/>
        </w:rPr>
        <w:t>No. </w:t>
      </w:r>
      <w:r w:rsidRPr="004D4DD9">
        <w:rPr>
          <w:rStyle w:val="FootnoteReference"/>
          <w:szCs w:val="18"/>
          <w:vertAlign w:val="baseline"/>
          <w:lang w:val="es-ES"/>
        </w:rPr>
        <w:t xml:space="preserve">356/2008, </w:t>
      </w:r>
      <w:r w:rsidRPr="004D4DD9">
        <w:rPr>
          <w:rStyle w:val="FootnoteReference"/>
          <w:i/>
          <w:szCs w:val="18"/>
          <w:vertAlign w:val="baseline"/>
          <w:lang w:val="es-ES"/>
        </w:rPr>
        <w:t>N.S</w:t>
      </w:r>
      <w:r w:rsidRPr="004D4DD9">
        <w:rPr>
          <w:rStyle w:val="FootnoteReference"/>
          <w:szCs w:val="18"/>
          <w:vertAlign w:val="baseline"/>
          <w:lang w:val="es-ES"/>
        </w:rPr>
        <w:t xml:space="preserve">. </w:t>
      </w:r>
      <w:r w:rsidRPr="00DD3BFB">
        <w:rPr>
          <w:rStyle w:val="FootnoteReference"/>
          <w:szCs w:val="18"/>
          <w:vertAlign w:val="baseline"/>
          <w:lang w:val="es-ES"/>
        </w:rPr>
        <w:t>v.</w:t>
      </w:r>
      <w:r w:rsidRPr="004D4DD9">
        <w:rPr>
          <w:rStyle w:val="FootnoteReference"/>
          <w:szCs w:val="18"/>
          <w:vertAlign w:val="baseline"/>
          <w:lang w:val="es-ES"/>
        </w:rPr>
        <w:t xml:space="preserve"> </w:t>
      </w:r>
      <w:r w:rsidRPr="004D4DD9">
        <w:rPr>
          <w:rStyle w:val="FootnoteReference"/>
          <w:i/>
          <w:szCs w:val="18"/>
          <w:vertAlign w:val="baseline"/>
          <w:lang w:val="es-ES"/>
        </w:rPr>
        <w:t>Switzerland</w:t>
      </w:r>
      <w:r w:rsidRPr="004D4DD9">
        <w:rPr>
          <w:rStyle w:val="FootnoteReference"/>
          <w:szCs w:val="18"/>
          <w:vertAlign w:val="baseline"/>
          <w:lang w:val="es-ES"/>
        </w:rPr>
        <w:t xml:space="preserve">, </w:t>
      </w:r>
      <w:r>
        <w:rPr>
          <w:lang w:val="es-ES"/>
        </w:rPr>
        <w:t>d</w:t>
      </w:r>
      <w:r w:rsidRPr="004D4DD9">
        <w:rPr>
          <w:rStyle w:val="FootnoteReference"/>
          <w:szCs w:val="18"/>
          <w:vertAlign w:val="baseline"/>
          <w:lang w:val="es-ES"/>
        </w:rPr>
        <w:t xml:space="preserve">ecision adopted on 6 May 2010, </w:t>
      </w:r>
      <w:r w:rsidRPr="004D4DD9">
        <w:rPr>
          <w:lang w:val="es-ES"/>
        </w:rPr>
        <w:t>para.</w:t>
      </w:r>
      <w:r>
        <w:rPr>
          <w:lang w:val="es-ES"/>
        </w:rPr>
        <w:t> </w:t>
      </w:r>
      <w:r w:rsidRPr="004D4DD9">
        <w:rPr>
          <w:lang w:val="es-ES"/>
        </w:rPr>
        <w:t>7.3.</w:t>
      </w:r>
      <w:r w:rsidRPr="00DD3BFB">
        <w:rPr>
          <w:lang w:val="fr-CH"/>
        </w:rPr>
        <w:t xml:space="preserve"> </w:t>
      </w:r>
    </w:p>
  </w:footnote>
  <w:footnote w:id="19">
    <w:p w:rsidR="00040FDB" w:rsidRPr="009876AC" w:rsidRDefault="00040FDB" w:rsidP="003F2D6D">
      <w:pPr>
        <w:pStyle w:val="FootnoteText"/>
        <w:widowControl w:val="0"/>
        <w:tabs>
          <w:tab w:val="clear" w:pos="1021"/>
          <w:tab w:val="right" w:pos="1020"/>
        </w:tabs>
      </w:pPr>
      <w:r w:rsidRPr="009876AC">
        <w:rPr>
          <w:lang w:val="fr-CH"/>
        </w:rPr>
        <w:tab/>
      </w:r>
      <w:r>
        <w:rPr>
          <w:rStyle w:val="FootnoteReference"/>
        </w:rPr>
        <w:footnoteRef/>
      </w:r>
      <w:r>
        <w:tab/>
        <w:t xml:space="preserve">See communication No. 481/2011, </w:t>
      </w:r>
      <w:r w:rsidRPr="00B07BEE">
        <w:rPr>
          <w:i/>
        </w:rPr>
        <w:t xml:space="preserve">K.N., F.W. and S.N. </w:t>
      </w:r>
      <w:r w:rsidRPr="00DD3BFB">
        <w:rPr>
          <w:iCs/>
        </w:rPr>
        <w:t>v.</w:t>
      </w:r>
      <w:r w:rsidRPr="00B07BEE">
        <w:rPr>
          <w:i/>
        </w:rPr>
        <w:t xml:space="preserve"> Switzerland</w:t>
      </w:r>
      <w:r>
        <w:t xml:space="preserve">, decision adopted on 19 May 2014; </w:t>
      </w:r>
      <w:r w:rsidRPr="00890724">
        <w:rPr>
          <w:i/>
        </w:rPr>
        <w:t xml:space="preserve">Jahani </w:t>
      </w:r>
      <w:r w:rsidRPr="00DD3BFB">
        <w:rPr>
          <w:iCs/>
        </w:rPr>
        <w:t>v.</w:t>
      </w:r>
      <w:r w:rsidRPr="00890724">
        <w:rPr>
          <w:i/>
        </w:rPr>
        <w:t xml:space="preserve"> Switzerland</w:t>
      </w:r>
      <w:r>
        <w:t xml:space="preserve">; and communication No. 381/2009, </w:t>
      </w:r>
      <w:r w:rsidRPr="00890724">
        <w:rPr>
          <w:i/>
        </w:rPr>
        <w:t>Faragollah et al.</w:t>
      </w:r>
      <w:r w:rsidRPr="00DD3BFB">
        <w:rPr>
          <w:iCs/>
        </w:rPr>
        <w:t xml:space="preserve"> v.</w:t>
      </w:r>
      <w:r w:rsidRPr="00890724">
        <w:rPr>
          <w:i/>
        </w:rPr>
        <w:t xml:space="preserve"> Switzerland</w:t>
      </w:r>
      <w:r>
        <w:t xml:space="preserve">, decision adopted on 21 November 2011. </w:t>
      </w:r>
    </w:p>
  </w:footnote>
  <w:footnote w:id="20">
    <w:p w:rsidR="00040FDB" w:rsidRPr="00DD3BFB" w:rsidRDefault="00040FDB">
      <w:pPr>
        <w:pStyle w:val="FootnoteText"/>
        <w:rPr>
          <w:lang w:val="en-US"/>
        </w:rPr>
      </w:pPr>
      <w:r>
        <w:tab/>
      </w:r>
      <w:r w:rsidRPr="00E717D2">
        <w:rPr>
          <w:rStyle w:val="FootnoteReference"/>
        </w:rPr>
        <w:footnoteRef/>
      </w:r>
      <w:r w:rsidRPr="00E717D2">
        <w:tab/>
      </w:r>
      <w:r w:rsidRPr="00E717D2">
        <w:rPr>
          <w:bCs/>
        </w:rPr>
        <w:t>A/69/356, para. 16.</w:t>
      </w:r>
    </w:p>
  </w:footnote>
  <w:footnote w:id="21">
    <w:p w:rsidR="00040FDB" w:rsidRPr="00DD3BFB" w:rsidRDefault="00040FDB" w:rsidP="00F3539B">
      <w:pPr>
        <w:pStyle w:val="FootnoteText"/>
        <w:widowControl w:val="0"/>
        <w:tabs>
          <w:tab w:val="clear" w:pos="1021"/>
          <w:tab w:val="right" w:pos="1020"/>
        </w:tabs>
      </w:pPr>
      <w:r w:rsidRPr="00E717D2">
        <w:tab/>
      </w:r>
      <w:r w:rsidRPr="00E717D2">
        <w:rPr>
          <w:rStyle w:val="FootnoteReference"/>
        </w:rPr>
        <w:footnoteRef/>
      </w:r>
      <w:r w:rsidRPr="00E717D2">
        <w:tab/>
      </w:r>
      <w:r w:rsidRPr="00E717D2">
        <w:rPr>
          <w:i/>
        </w:rPr>
        <w:t xml:space="preserve">K.N., F.W. and S.N. </w:t>
      </w:r>
      <w:r w:rsidRPr="00E717D2">
        <w:rPr>
          <w:iCs/>
        </w:rPr>
        <w:t>v.</w:t>
      </w:r>
      <w:r w:rsidRPr="00E717D2">
        <w:rPr>
          <w:i/>
        </w:rPr>
        <w:t xml:space="preserve"> Switzerland</w:t>
      </w:r>
      <w:r w:rsidRPr="00E717D2">
        <w:t xml:space="preserve">, para. 7.6. </w:t>
      </w:r>
    </w:p>
  </w:footnote>
  <w:footnote w:id="22">
    <w:p w:rsidR="00040FDB" w:rsidRPr="00DD3BFB" w:rsidRDefault="00040FDB" w:rsidP="00AA006C">
      <w:pPr>
        <w:pStyle w:val="FootnoteText"/>
        <w:widowControl w:val="0"/>
        <w:tabs>
          <w:tab w:val="clear" w:pos="1021"/>
          <w:tab w:val="right" w:pos="1020"/>
        </w:tabs>
      </w:pPr>
      <w:r w:rsidRPr="00E717D2">
        <w:tab/>
      </w:r>
      <w:r w:rsidRPr="00AA006C">
        <w:rPr>
          <w:rStyle w:val="FootnoteReference"/>
        </w:rPr>
        <w:footnoteRef/>
      </w:r>
      <w:r w:rsidRPr="00AA006C">
        <w:tab/>
        <w:t>A/HRC/25/61, paras. 2, 4, 27–32 and 52–57; and A/25/75, paras. 7, 17–20 and 43.</w:t>
      </w:r>
    </w:p>
  </w:footnote>
  <w:footnote w:id="23">
    <w:p w:rsidR="00040FDB" w:rsidRPr="00DD3BFB" w:rsidRDefault="00040FDB" w:rsidP="00AA006C">
      <w:pPr>
        <w:pStyle w:val="FootnoteText"/>
        <w:widowControl w:val="0"/>
        <w:tabs>
          <w:tab w:val="clear" w:pos="1021"/>
          <w:tab w:val="right" w:pos="1020"/>
        </w:tabs>
      </w:pPr>
      <w:r w:rsidRPr="00AA006C">
        <w:tab/>
      </w:r>
      <w:r w:rsidRPr="00AA006C">
        <w:rPr>
          <w:rStyle w:val="FootnoteReference"/>
        </w:rPr>
        <w:footnoteRef/>
      </w:r>
      <w:r w:rsidRPr="00AA006C">
        <w:tab/>
        <w:t>A/HRC/25/26, paras. 7 and 43.</w:t>
      </w:r>
    </w:p>
  </w:footnote>
  <w:footnote w:id="24">
    <w:p w:rsidR="00040FDB" w:rsidRPr="00DD3BFB" w:rsidRDefault="00040FDB" w:rsidP="00AA006C">
      <w:pPr>
        <w:pStyle w:val="FootnoteText"/>
        <w:widowControl w:val="0"/>
        <w:tabs>
          <w:tab w:val="clear" w:pos="1021"/>
          <w:tab w:val="right" w:pos="1020"/>
        </w:tabs>
      </w:pPr>
      <w:r w:rsidRPr="00AA006C">
        <w:tab/>
      </w:r>
      <w:r w:rsidRPr="00AA006C">
        <w:rPr>
          <w:rStyle w:val="FootnoteReference"/>
        </w:rPr>
        <w:footnoteRef/>
      </w:r>
      <w:r w:rsidRPr="00AA006C">
        <w:tab/>
        <w:t>A/HRC/25/61, paras. 5 and 84.</w:t>
      </w:r>
    </w:p>
  </w:footnote>
  <w:footnote w:id="25">
    <w:p w:rsidR="00040FDB" w:rsidRPr="00DD3BFB" w:rsidRDefault="00040FDB" w:rsidP="00524CC3">
      <w:pPr>
        <w:pStyle w:val="FootnoteText"/>
        <w:widowControl w:val="0"/>
        <w:tabs>
          <w:tab w:val="clear" w:pos="1021"/>
          <w:tab w:val="right" w:pos="1020"/>
        </w:tabs>
      </w:pPr>
      <w:r>
        <w:tab/>
      </w:r>
      <w:r>
        <w:rPr>
          <w:rStyle w:val="FootnoteReference"/>
        </w:rPr>
        <w:footnoteRef/>
      </w:r>
      <w:r>
        <w:tab/>
      </w:r>
      <w:r w:rsidR="00C91ED9">
        <w:t xml:space="preserve">See </w:t>
      </w:r>
      <w:r>
        <w:t>para. 4.4</w:t>
      </w:r>
      <w:r w:rsidR="00C91ED9">
        <w:t xml:space="preserve"> above</w:t>
      </w:r>
      <w:r>
        <w:t xml:space="preserve">. </w:t>
      </w:r>
    </w:p>
  </w:footnote>
  <w:footnote w:id="26">
    <w:p w:rsidR="00040FDB" w:rsidRPr="00DD3BFB" w:rsidRDefault="00040FDB" w:rsidP="00215664">
      <w:pPr>
        <w:pStyle w:val="FootnoteText"/>
        <w:widowControl w:val="0"/>
        <w:tabs>
          <w:tab w:val="clear" w:pos="1021"/>
          <w:tab w:val="right" w:pos="1020"/>
        </w:tabs>
      </w:pPr>
      <w:r>
        <w:tab/>
      </w:r>
      <w:r>
        <w:rPr>
          <w:rStyle w:val="FootnoteReference"/>
        </w:rPr>
        <w:footnoteRef/>
      </w:r>
      <w:r>
        <w:tab/>
        <w:t xml:space="preserve">Communication No. 41/1996, </w:t>
      </w:r>
      <w:r w:rsidRPr="001B7C47">
        <w:rPr>
          <w:i/>
        </w:rPr>
        <w:t xml:space="preserve">Kisoki </w:t>
      </w:r>
      <w:r w:rsidRPr="00DD3BFB">
        <w:rPr>
          <w:iCs/>
        </w:rPr>
        <w:t>v.</w:t>
      </w:r>
      <w:r w:rsidRPr="001B7C47">
        <w:rPr>
          <w:i/>
        </w:rPr>
        <w:t xml:space="preserve"> Sweden</w:t>
      </w:r>
      <w:r>
        <w:t>, Views adopted on 8 May 1996, para. 9.3;</w:t>
      </w:r>
      <w:r>
        <w:br/>
        <w:t xml:space="preserve">and </w:t>
      </w:r>
      <w:r w:rsidRPr="00B07BEE">
        <w:rPr>
          <w:i/>
        </w:rPr>
        <w:t xml:space="preserve">K.N., F.W. and S.N. </w:t>
      </w:r>
      <w:r w:rsidRPr="00A50F4A">
        <w:rPr>
          <w:iCs/>
        </w:rPr>
        <w:t>v.</w:t>
      </w:r>
      <w:r w:rsidRPr="00B07BEE">
        <w:rPr>
          <w:i/>
        </w:rPr>
        <w:t xml:space="preserve"> Switzerland</w:t>
      </w:r>
      <w:r>
        <w:t xml:space="preserve">, para. 7.7. </w:t>
      </w:r>
    </w:p>
  </w:footnote>
  <w:footnote w:id="27">
    <w:p w:rsidR="00040FDB" w:rsidRPr="00DD3BFB" w:rsidRDefault="00040FDB" w:rsidP="00AA006C">
      <w:pPr>
        <w:pStyle w:val="FootnoteText"/>
        <w:widowControl w:val="0"/>
        <w:tabs>
          <w:tab w:val="clear" w:pos="1021"/>
          <w:tab w:val="right" w:pos="1020"/>
        </w:tabs>
      </w:pPr>
      <w:r>
        <w:tab/>
      </w:r>
      <w:r w:rsidRPr="00AA006C">
        <w:rPr>
          <w:rStyle w:val="FootnoteReference"/>
        </w:rPr>
        <w:footnoteRef/>
      </w:r>
      <w:r w:rsidRPr="00AA006C">
        <w:tab/>
        <w:t>A/HR</w:t>
      </w:r>
      <w:r w:rsidRPr="005B1D58">
        <w:t xml:space="preserve">C/25/61, </w:t>
      </w:r>
      <w:r>
        <w:t xml:space="preserve">para. 29. </w:t>
      </w:r>
    </w:p>
  </w:footnote>
  <w:footnote w:id="28">
    <w:p w:rsidR="00040FDB" w:rsidRPr="00DD3BFB" w:rsidRDefault="00040FDB" w:rsidP="00862646">
      <w:pPr>
        <w:pStyle w:val="FootnoteText"/>
        <w:widowControl w:val="0"/>
        <w:tabs>
          <w:tab w:val="clear" w:pos="1021"/>
          <w:tab w:val="right" w:pos="1020"/>
        </w:tabs>
      </w:pPr>
      <w:r>
        <w:tab/>
      </w:r>
      <w:r>
        <w:rPr>
          <w:rStyle w:val="FootnoteReference"/>
        </w:rPr>
        <w:footnoteRef/>
      </w:r>
      <w:r>
        <w:tab/>
      </w:r>
      <w:r w:rsidR="00C91ED9">
        <w:t xml:space="preserve">See </w:t>
      </w:r>
      <w:r>
        <w:t>para. </w:t>
      </w:r>
      <w:r w:rsidR="00862646">
        <w:t>5.8</w:t>
      </w:r>
      <w:r w:rsidR="00C91ED9">
        <w:t xml:space="preserve"> above</w:t>
      </w:r>
      <w:r>
        <w:t xml:space="preserve">. </w:t>
      </w:r>
    </w:p>
  </w:footnote>
  <w:footnote w:id="29">
    <w:p w:rsidR="00040FDB" w:rsidRPr="00DD3BFB" w:rsidRDefault="00040FDB" w:rsidP="00E67B9C">
      <w:pPr>
        <w:pStyle w:val="FootnoteText"/>
        <w:widowControl w:val="0"/>
        <w:tabs>
          <w:tab w:val="clear" w:pos="1021"/>
          <w:tab w:val="right" w:pos="1020"/>
        </w:tabs>
      </w:pPr>
      <w:r>
        <w:tab/>
      </w:r>
      <w:r>
        <w:rPr>
          <w:rStyle w:val="FootnoteReference"/>
        </w:rPr>
        <w:footnoteRef/>
      </w:r>
      <w:r>
        <w:tab/>
      </w:r>
      <w:r w:rsidR="008F7B05">
        <w:t xml:space="preserve">See </w:t>
      </w:r>
      <w:r>
        <w:t>para. 5.8</w:t>
      </w:r>
      <w:r w:rsidR="008F7B05">
        <w:t xml:space="preserve"> above</w:t>
      </w:r>
      <w:r>
        <w:t xml:space="preserve">. </w:t>
      </w:r>
    </w:p>
  </w:footnote>
  <w:footnote w:id="30">
    <w:p w:rsidR="00040FDB" w:rsidRPr="00DD3BFB" w:rsidRDefault="00040FDB" w:rsidP="00AA006C">
      <w:pPr>
        <w:pStyle w:val="FootnoteText"/>
        <w:widowControl w:val="0"/>
        <w:tabs>
          <w:tab w:val="clear" w:pos="1021"/>
          <w:tab w:val="right" w:pos="1020"/>
        </w:tabs>
      </w:pPr>
      <w:r>
        <w:tab/>
      </w:r>
      <w:r w:rsidRPr="00AA006C">
        <w:rPr>
          <w:rStyle w:val="FootnoteReference"/>
        </w:rPr>
        <w:footnoteRef/>
      </w:r>
      <w:r w:rsidRPr="00AA006C">
        <w:tab/>
        <w:t xml:space="preserve">A/68/503, para. 30; and General Assembly resolution 64/176, para. 2 (h). </w:t>
      </w:r>
    </w:p>
  </w:footnote>
  <w:footnote w:id="31">
    <w:p w:rsidR="00040FDB" w:rsidRPr="00DD3BFB" w:rsidRDefault="00040FDB" w:rsidP="003B305D">
      <w:pPr>
        <w:pStyle w:val="FootnoteText"/>
        <w:widowControl w:val="0"/>
        <w:tabs>
          <w:tab w:val="clear" w:pos="1021"/>
          <w:tab w:val="right" w:pos="1020"/>
        </w:tabs>
      </w:pPr>
      <w:r w:rsidRPr="00AA006C">
        <w:tab/>
      </w:r>
      <w:r w:rsidRPr="00AA006C">
        <w:rPr>
          <w:rStyle w:val="FootnoteReference"/>
        </w:rPr>
        <w:footnoteRef/>
      </w:r>
      <w:r w:rsidRPr="00AA006C">
        <w:tab/>
      </w:r>
      <w:r w:rsidR="003B305D">
        <w:t>See</w:t>
      </w:r>
      <w:r w:rsidRPr="00AA006C">
        <w:t xml:space="preserve"> para. 5.8</w:t>
      </w:r>
      <w:r w:rsidR="003B305D">
        <w:t xml:space="preserve"> above</w:t>
      </w:r>
      <w:r w:rsidRPr="00AA006C">
        <w:t xml:space="preserve">. </w:t>
      </w:r>
    </w:p>
  </w:footnote>
  <w:footnote w:id="32">
    <w:p w:rsidR="00040FDB" w:rsidRPr="00DD3BFB" w:rsidRDefault="00040FDB" w:rsidP="00AA006C">
      <w:pPr>
        <w:pStyle w:val="FootnoteText"/>
        <w:widowControl w:val="0"/>
        <w:tabs>
          <w:tab w:val="clear" w:pos="1021"/>
          <w:tab w:val="right" w:pos="1020"/>
        </w:tabs>
      </w:pPr>
      <w:r w:rsidRPr="00AA006C">
        <w:tab/>
      </w:r>
      <w:r w:rsidRPr="00AA006C">
        <w:rPr>
          <w:rStyle w:val="FootnoteReference"/>
        </w:rPr>
        <w:footnoteRef/>
      </w:r>
      <w:r w:rsidRPr="00AA006C">
        <w:tab/>
        <w:t xml:space="preserve">A/HRC/25/61, paras. 88–90; and A/68/503, paras. 6–15 and 88–90. </w:t>
      </w:r>
    </w:p>
  </w:footnote>
  <w:footnote w:id="33">
    <w:p w:rsidR="00040FDB" w:rsidRPr="00DD3BFB" w:rsidRDefault="00040FDB" w:rsidP="00AA006C">
      <w:pPr>
        <w:pStyle w:val="FootnoteText"/>
        <w:widowControl w:val="0"/>
        <w:tabs>
          <w:tab w:val="clear" w:pos="1021"/>
          <w:tab w:val="right" w:pos="1020"/>
        </w:tabs>
      </w:pPr>
      <w:r w:rsidRPr="00AA006C">
        <w:tab/>
      </w:r>
      <w:r w:rsidRPr="00AA006C">
        <w:rPr>
          <w:rStyle w:val="FootnoteReference"/>
        </w:rPr>
        <w:footnoteRef/>
      </w:r>
      <w:r w:rsidRPr="00AA006C">
        <w:tab/>
        <w:t>A/67/369, pa</w:t>
      </w:r>
      <w:r>
        <w:t xml:space="preserve">ras. 15–18. </w:t>
      </w:r>
    </w:p>
  </w:footnote>
  <w:footnote w:id="34">
    <w:p w:rsidR="00040FDB" w:rsidRPr="00DD3BFB" w:rsidRDefault="00040FDB" w:rsidP="006B13AD">
      <w:pPr>
        <w:pStyle w:val="FootnoteText"/>
        <w:widowControl w:val="0"/>
        <w:tabs>
          <w:tab w:val="clear" w:pos="1021"/>
          <w:tab w:val="right" w:pos="1020"/>
        </w:tabs>
      </w:pPr>
      <w:r>
        <w:tab/>
      </w:r>
      <w:r>
        <w:rPr>
          <w:rStyle w:val="FootnoteReference"/>
        </w:rPr>
        <w:footnoteRef/>
      </w:r>
      <w:r>
        <w:tab/>
        <w:t xml:space="preserve">See, for example, </w:t>
      </w:r>
      <w:r w:rsidRPr="00B07BEE">
        <w:rPr>
          <w:i/>
        </w:rPr>
        <w:t xml:space="preserve">K.N., F.W. and S.N. </w:t>
      </w:r>
      <w:r w:rsidRPr="00A50F4A">
        <w:rPr>
          <w:iCs/>
        </w:rPr>
        <w:t>v.</w:t>
      </w:r>
      <w:r w:rsidRPr="00B07BEE">
        <w:rPr>
          <w:i/>
        </w:rPr>
        <w:t xml:space="preserve"> Switzerland</w:t>
      </w:r>
      <w:r>
        <w:t>, para. 7.8</w:t>
      </w:r>
      <w:r w:rsidRPr="00AB0F6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DB" w:rsidRPr="006B2667" w:rsidRDefault="00040FDB">
    <w:pPr>
      <w:pStyle w:val="Header"/>
    </w:pPr>
    <w:r>
      <w:t>CAT/C/53/D/470/2011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DB" w:rsidRPr="006B2667" w:rsidRDefault="00040FDB" w:rsidP="006B2667">
    <w:pPr>
      <w:pStyle w:val="Header"/>
      <w:jc w:val="right"/>
    </w:pPr>
    <w:r>
      <w:t>CAT/C/53/D/470/2011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6869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0697B"/>
    <w:multiLevelType w:val="multilevel"/>
    <w:tmpl w:val="8E50FF22"/>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667"/>
    <w:rsid w:val="0000212B"/>
    <w:rsid w:val="000049EF"/>
    <w:rsid w:val="00006F44"/>
    <w:rsid w:val="00010492"/>
    <w:rsid w:val="000105FF"/>
    <w:rsid w:val="000140AC"/>
    <w:rsid w:val="000142E0"/>
    <w:rsid w:val="00020FC3"/>
    <w:rsid w:val="00032B46"/>
    <w:rsid w:val="00034A3F"/>
    <w:rsid w:val="000366A2"/>
    <w:rsid w:val="00040FDB"/>
    <w:rsid w:val="000410EB"/>
    <w:rsid w:val="00042F51"/>
    <w:rsid w:val="0004372A"/>
    <w:rsid w:val="0004674D"/>
    <w:rsid w:val="000470F5"/>
    <w:rsid w:val="00050102"/>
    <w:rsid w:val="00050A0A"/>
    <w:rsid w:val="00050F6B"/>
    <w:rsid w:val="000547B8"/>
    <w:rsid w:val="0005543A"/>
    <w:rsid w:val="00063B0A"/>
    <w:rsid w:val="0006741C"/>
    <w:rsid w:val="00067BC7"/>
    <w:rsid w:val="0007267C"/>
    <w:rsid w:val="00072B44"/>
    <w:rsid w:val="00072C8C"/>
    <w:rsid w:val="00077876"/>
    <w:rsid w:val="000830CA"/>
    <w:rsid w:val="000844DA"/>
    <w:rsid w:val="00086106"/>
    <w:rsid w:val="000865A4"/>
    <w:rsid w:val="0008687D"/>
    <w:rsid w:val="00091419"/>
    <w:rsid w:val="00091744"/>
    <w:rsid w:val="000923E7"/>
    <w:rsid w:val="000931C0"/>
    <w:rsid w:val="00095A4F"/>
    <w:rsid w:val="00095B1F"/>
    <w:rsid w:val="00097285"/>
    <w:rsid w:val="00097A2E"/>
    <w:rsid w:val="000A1E19"/>
    <w:rsid w:val="000A2737"/>
    <w:rsid w:val="000A36DF"/>
    <w:rsid w:val="000A5A42"/>
    <w:rsid w:val="000A6DA3"/>
    <w:rsid w:val="000A7FA1"/>
    <w:rsid w:val="000B0CA4"/>
    <w:rsid w:val="000B175B"/>
    <w:rsid w:val="000B3914"/>
    <w:rsid w:val="000B3A0F"/>
    <w:rsid w:val="000B64C9"/>
    <w:rsid w:val="000B666B"/>
    <w:rsid w:val="000B724E"/>
    <w:rsid w:val="000C11CF"/>
    <w:rsid w:val="000C214A"/>
    <w:rsid w:val="000C3E3E"/>
    <w:rsid w:val="000C4857"/>
    <w:rsid w:val="000C4C37"/>
    <w:rsid w:val="000C7706"/>
    <w:rsid w:val="000D2386"/>
    <w:rsid w:val="000D3336"/>
    <w:rsid w:val="000D54AC"/>
    <w:rsid w:val="000D76E4"/>
    <w:rsid w:val="000E0389"/>
    <w:rsid w:val="000E0415"/>
    <w:rsid w:val="000E52B5"/>
    <w:rsid w:val="000E6DBF"/>
    <w:rsid w:val="000F05D1"/>
    <w:rsid w:val="000F0C9C"/>
    <w:rsid w:val="000F35FB"/>
    <w:rsid w:val="00102A82"/>
    <w:rsid w:val="001060D7"/>
    <w:rsid w:val="0011091B"/>
    <w:rsid w:val="0011218B"/>
    <w:rsid w:val="00114EA4"/>
    <w:rsid w:val="0011608B"/>
    <w:rsid w:val="00121CC3"/>
    <w:rsid w:val="00123839"/>
    <w:rsid w:val="0012450B"/>
    <w:rsid w:val="00125315"/>
    <w:rsid w:val="0012557C"/>
    <w:rsid w:val="00125A8E"/>
    <w:rsid w:val="00127276"/>
    <w:rsid w:val="001276BC"/>
    <w:rsid w:val="00127839"/>
    <w:rsid w:val="00132878"/>
    <w:rsid w:val="00134DBA"/>
    <w:rsid w:val="0013723B"/>
    <w:rsid w:val="001402D5"/>
    <w:rsid w:val="00140891"/>
    <w:rsid w:val="00143E3C"/>
    <w:rsid w:val="00146E04"/>
    <w:rsid w:val="00150B0F"/>
    <w:rsid w:val="0015202D"/>
    <w:rsid w:val="00152CD8"/>
    <w:rsid w:val="001541B1"/>
    <w:rsid w:val="001616AD"/>
    <w:rsid w:val="0016329E"/>
    <w:rsid w:val="00163E36"/>
    <w:rsid w:val="00170805"/>
    <w:rsid w:val="00172EF0"/>
    <w:rsid w:val="001775C3"/>
    <w:rsid w:val="001818FD"/>
    <w:rsid w:val="0018273B"/>
    <w:rsid w:val="00185395"/>
    <w:rsid w:val="00190127"/>
    <w:rsid w:val="001932E2"/>
    <w:rsid w:val="00197342"/>
    <w:rsid w:val="001A02CF"/>
    <w:rsid w:val="001A72A5"/>
    <w:rsid w:val="001A736F"/>
    <w:rsid w:val="001A7AD8"/>
    <w:rsid w:val="001B35A2"/>
    <w:rsid w:val="001B4B04"/>
    <w:rsid w:val="001B6717"/>
    <w:rsid w:val="001B67B0"/>
    <w:rsid w:val="001B7B31"/>
    <w:rsid w:val="001B7C47"/>
    <w:rsid w:val="001C0067"/>
    <w:rsid w:val="001C0670"/>
    <w:rsid w:val="001C6663"/>
    <w:rsid w:val="001C7895"/>
    <w:rsid w:val="001D1DA6"/>
    <w:rsid w:val="001D26DF"/>
    <w:rsid w:val="001D2FDC"/>
    <w:rsid w:val="001D31D5"/>
    <w:rsid w:val="001D3DED"/>
    <w:rsid w:val="001D5245"/>
    <w:rsid w:val="001D64AC"/>
    <w:rsid w:val="001D69D2"/>
    <w:rsid w:val="001E28B8"/>
    <w:rsid w:val="001E419F"/>
    <w:rsid w:val="001F288E"/>
    <w:rsid w:val="001F356F"/>
    <w:rsid w:val="001F3A6F"/>
    <w:rsid w:val="001F6C06"/>
    <w:rsid w:val="002003A9"/>
    <w:rsid w:val="002011B6"/>
    <w:rsid w:val="00201CD2"/>
    <w:rsid w:val="00201EE7"/>
    <w:rsid w:val="002051CB"/>
    <w:rsid w:val="00207D6E"/>
    <w:rsid w:val="002104EB"/>
    <w:rsid w:val="00211E0B"/>
    <w:rsid w:val="00212640"/>
    <w:rsid w:val="00213294"/>
    <w:rsid w:val="0021476F"/>
    <w:rsid w:val="00215664"/>
    <w:rsid w:val="00222612"/>
    <w:rsid w:val="00222CAF"/>
    <w:rsid w:val="00230F5D"/>
    <w:rsid w:val="002314C6"/>
    <w:rsid w:val="00233C1B"/>
    <w:rsid w:val="002372AD"/>
    <w:rsid w:val="00237785"/>
    <w:rsid w:val="002407F4"/>
    <w:rsid w:val="00241466"/>
    <w:rsid w:val="002455D5"/>
    <w:rsid w:val="00250754"/>
    <w:rsid w:val="002516F5"/>
    <w:rsid w:val="00255302"/>
    <w:rsid w:val="002557C9"/>
    <w:rsid w:val="002577B4"/>
    <w:rsid w:val="00257A12"/>
    <w:rsid w:val="00262550"/>
    <w:rsid w:val="0026297E"/>
    <w:rsid w:val="00265A2C"/>
    <w:rsid w:val="00266F09"/>
    <w:rsid w:val="00271117"/>
    <w:rsid w:val="00273E88"/>
    <w:rsid w:val="0027770A"/>
    <w:rsid w:val="002800FA"/>
    <w:rsid w:val="002802EF"/>
    <w:rsid w:val="00281C98"/>
    <w:rsid w:val="00283277"/>
    <w:rsid w:val="00283F67"/>
    <w:rsid w:val="0029006E"/>
    <w:rsid w:val="002935F1"/>
    <w:rsid w:val="00293D9E"/>
    <w:rsid w:val="00294776"/>
    <w:rsid w:val="002949D3"/>
    <w:rsid w:val="00295316"/>
    <w:rsid w:val="00296AF9"/>
    <w:rsid w:val="00296DDE"/>
    <w:rsid w:val="0029792E"/>
    <w:rsid w:val="002A39AE"/>
    <w:rsid w:val="002A668B"/>
    <w:rsid w:val="002A6B69"/>
    <w:rsid w:val="002B4337"/>
    <w:rsid w:val="002C4364"/>
    <w:rsid w:val="002C7019"/>
    <w:rsid w:val="002D27F2"/>
    <w:rsid w:val="002D29D7"/>
    <w:rsid w:val="002D641D"/>
    <w:rsid w:val="002E2935"/>
    <w:rsid w:val="002E34F7"/>
    <w:rsid w:val="002E65AE"/>
    <w:rsid w:val="002F280A"/>
    <w:rsid w:val="002F40D8"/>
    <w:rsid w:val="002F421D"/>
    <w:rsid w:val="002F4432"/>
    <w:rsid w:val="002F478D"/>
    <w:rsid w:val="002F5602"/>
    <w:rsid w:val="002F5862"/>
    <w:rsid w:val="002F77AC"/>
    <w:rsid w:val="003017B1"/>
    <w:rsid w:val="00303C1C"/>
    <w:rsid w:val="00305203"/>
    <w:rsid w:val="00306BCA"/>
    <w:rsid w:val="003107FA"/>
    <w:rsid w:val="003136EB"/>
    <w:rsid w:val="003173BA"/>
    <w:rsid w:val="00320852"/>
    <w:rsid w:val="003229D8"/>
    <w:rsid w:val="003232EA"/>
    <w:rsid w:val="00326702"/>
    <w:rsid w:val="00330884"/>
    <w:rsid w:val="003332C4"/>
    <w:rsid w:val="0033393E"/>
    <w:rsid w:val="00340430"/>
    <w:rsid w:val="0034080E"/>
    <w:rsid w:val="00343E69"/>
    <w:rsid w:val="003446FE"/>
    <w:rsid w:val="0034552F"/>
    <w:rsid w:val="003478D0"/>
    <w:rsid w:val="00355BAF"/>
    <w:rsid w:val="003576DC"/>
    <w:rsid w:val="00360F50"/>
    <w:rsid w:val="003614DA"/>
    <w:rsid w:val="00364399"/>
    <w:rsid w:val="00364BAC"/>
    <w:rsid w:val="00364D5A"/>
    <w:rsid w:val="00371307"/>
    <w:rsid w:val="00375486"/>
    <w:rsid w:val="00375DE7"/>
    <w:rsid w:val="003777A2"/>
    <w:rsid w:val="003804EB"/>
    <w:rsid w:val="00380ACF"/>
    <w:rsid w:val="00381D56"/>
    <w:rsid w:val="00382522"/>
    <w:rsid w:val="00383A32"/>
    <w:rsid w:val="003905A2"/>
    <w:rsid w:val="00391A46"/>
    <w:rsid w:val="003921A4"/>
    <w:rsid w:val="0039277A"/>
    <w:rsid w:val="00393379"/>
    <w:rsid w:val="00393822"/>
    <w:rsid w:val="003972E0"/>
    <w:rsid w:val="00397788"/>
    <w:rsid w:val="0039787B"/>
    <w:rsid w:val="00397BF4"/>
    <w:rsid w:val="003A0A41"/>
    <w:rsid w:val="003A0D7C"/>
    <w:rsid w:val="003A1B81"/>
    <w:rsid w:val="003A4950"/>
    <w:rsid w:val="003A71D8"/>
    <w:rsid w:val="003A75C3"/>
    <w:rsid w:val="003B031D"/>
    <w:rsid w:val="003B28E8"/>
    <w:rsid w:val="003B2AA6"/>
    <w:rsid w:val="003B305D"/>
    <w:rsid w:val="003B3A6D"/>
    <w:rsid w:val="003C2635"/>
    <w:rsid w:val="003C2CC4"/>
    <w:rsid w:val="003C2CD0"/>
    <w:rsid w:val="003C366C"/>
    <w:rsid w:val="003C48D8"/>
    <w:rsid w:val="003C7C61"/>
    <w:rsid w:val="003D124B"/>
    <w:rsid w:val="003D1379"/>
    <w:rsid w:val="003D4B23"/>
    <w:rsid w:val="003E0CD8"/>
    <w:rsid w:val="003E0F10"/>
    <w:rsid w:val="003E1E55"/>
    <w:rsid w:val="003E2B48"/>
    <w:rsid w:val="003E57B5"/>
    <w:rsid w:val="003E59C5"/>
    <w:rsid w:val="003E6AE5"/>
    <w:rsid w:val="003E7844"/>
    <w:rsid w:val="003F18C6"/>
    <w:rsid w:val="003F2D6D"/>
    <w:rsid w:val="003F357A"/>
    <w:rsid w:val="003F4B25"/>
    <w:rsid w:val="003F62D7"/>
    <w:rsid w:val="003F74FA"/>
    <w:rsid w:val="003F7F51"/>
    <w:rsid w:val="00400562"/>
    <w:rsid w:val="00401131"/>
    <w:rsid w:val="00402FC0"/>
    <w:rsid w:val="004049B9"/>
    <w:rsid w:val="004073B9"/>
    <w:rsid w:val="004112FA"/>
    <w:rsid w:val="0042057F"/>
    <w:rsid w:val="00424F20"/>
    <w:rsid w:val="00424F65"/>
    <w:rsid w:val="004325CB"/>
    <w:rsid w:val="00432B4F"/>
    <w:rsid w:val="004345B6"/>
    <w:rsid w:val="00441F1D"/>
    <w:rsid w:val="004435B3"/>
    <w:rsid w:val="0044520B"/>
    <w:rsid w:val="004456B1"/>
    <w:rsid w:val="00446DE4"/>
    <w:rsid w:val="00450BF3"/>
    <w:rsid w:val="0045131F"/>
    <w:rsid w:val="00451396"/>
    <w:rsid w:val="00452224"/>
    <w:rsid w:val="00453064"/>
    <w:rsid w:val="00462145"/>
    <w:rsid w:val="00462E52"/>
    <w:rsid w:val="00473FF8"/>
    <w:rsid w:val="00474214"/>
    <w:rsid w:val="004756F8"/>
    <w:rsid w:val="004761D7"/>
    <w:rsid w:val="00477218"/>
    <w:rsid w:val="00477A7D"/>
    <w:rsid w:val="00477F44"/>
    <w:rsid w:val="00477F4E"/>
    <w:rsid w:val="00480375"/>
    <w:rsid w:val="00480F71"/>
    <w:rsid w:val="00490465"/>
    <w:rsid w:val="00493FD2"/>
    <w:rsid w:val="004A0902"/>
    <w:rsid w:val="004A24A8"/>
    <w:rsid w:val="004A3D39"/>
    <w:rsid w:val="004B045C"/>
    <w:rsid w:val="004B1D44"/>
    <w:rsid w:val="004B45D2"/>
    <w:rsid w:val="004B6152"/>
    <w:rsid w:val="004B7229"/>
    <w:rsid w:val="004C0D85"/>
    <w:rsid w:val="004C0E63"/>
    <w:rsid w:val="004C6086"/>
    <w:rsid w:val="004C64B6"/>
    <w:rsid w:val="004C7FF5"/>
    <w:rsid w:val="004D25F5"/>
    <w:rsid w:val="004D2704"/>
    <w:rsid w:val="004D332A"/>
    <w:rsid w:val="004D3781"/>
    <w:rsid w:val="004D7E24"/>
    <w:rsid w:val="004E096A"/>
    <w:rsid w:val="004E09D9"/>
    <w:rsid w:val="004E0AA8"/>
    <w:rsid w:val="004E52BB"/>
    <w:rsid w:val="004E7A18"/>
    <w:rsid w:val="004F0390"/>
    <w:rsid w:val="004F2062"/>
    <w:rsid w:val="004F6796"/>
    <w:rsid w:val="005031DB"/>
    <w:rsid w:val="00503923"/>
    <w:rsid w:val="00504EB9"/>
    <w:rsid w:val="00506924"/>
    <w:rsid w:val="00511D09"/>
    <w:rsid w:val="00512623"/>
    <w:rsid w:val="00514EED"/>
    <w:rsid w:val="00521163"/>
    <w:rsid w:val="005249CB"/>
    <w:rsid w:val="00524CC3"/>
    <w:rsid w:val="0052708F"/>
    <w:rsid w:val="00527778"/>
    <w:rsid w:val="00531E31"/>
    <w:rsid w:val="00532B14"/>
    <w:rsid w:val="00535FE4"/>
    <w:rsid w:val="0053691D"/>
    <w:rsid w:val="005420F2"/>
    <w:rsid w:val="00543645"/>
    <w:rsid w:val="0054390E"/>
    <w:rsid w:val="0054555B"/>
    <w:rsid w:val="00545BE5"/>
    <w:rsid w:val="00546599"/>
    <w:rsid w:val="005474E3"/>
    <w:rsid w:val="00551AAB"/>
    <w:rsid w:val="00553470"/>
    <w:rsid w:val="0055358E"/>
    <w:rsid w:val="005566A1"/>
    <w:rsid w:val="005566A9"/>
    <w:rsid w:val="00560A30"/>
    <w:rsid w:val="00561D53"/>
    <w:rsid w:val="00561E38"/>
    <w:rsid w:val="00561F3F"/>
    <w:rsid w:val="005629E1"/>
    <w:rsid w:val="00562D96"/>
    <w:rsid w:val="005638D6"/>
    <w:rsid w:val="005648F2"/>
    <w:rsid w:val="00565727"/>
    <w:rsid w:val="00573B81"/>
    <w:rsid w:val="005755C1"/>
    <w:rsid w:val="00581848"/>
    <w:rsid w:val="00581BAC"/>
    <w:rsid w:val="00582314"/>
    <w:rsid w:val="005843E1"/>
    <w:rsid w:val="0058729B"/>
    <w:rsid w:val="00587544"/>
    <w:rsid w:val="005876C3"/>
    <w:rsid w:val="0058780B"/>
    <w:rsid w:val="00590B68"/>
    <w:rsid w:val="00591B7C"/>
    <w:rsid w:val="005935C7"/>
    <w:rsid w:val="005A2E63"/>
    <w:rsid w:val="005A3F62"/>
    <w:rsid w:val="005A45CC"/>
    <w:rsid w:val="005A5E71"/>
    <w:rsid w:val="005A6030"/>
    <w:rsid w:val="005A7E9E"/>
    <w:rsid w:val="005B1D58"/>
    <w:rsid w:val="005B3DB3"/>
    <w:rsid w:val="005B57E9"/>
    <w:rsid w:val="005B680E"/>
    <w:rsid w:val="005C09D8"/>
    <w:rsid w:val="005C171C"/>
    <w:rsid w:val="005C1B48"/>
    <w:rsid w:val="005C1EF7"/>
    <w:rsid w:val="005C2EFF"/>
    <w:rsid w:val="005C418A"/>
    <w:rsid w:val="005C6CD8"/>
    <w:rsid w:val="005D5AA0"/>
    <w:rsid w:val="005D6BC0"/>
    <w:rsid w:val="005E155C"/>
    <w:rsid w:val="005E6DF6"/>
    <w:rsid w:val="005F1826"/>
    <w:rsid w:val="005F1DE4"/>
    <w:rsid w:val="005F5264"/>
    <w:rsid w:val="005F6A3D"/>
    <w:rsid w:val="0060341F"/>
    <w:rsid w:val="00603813"/>
    <w:rsid w:val="00610083"/>
    <w:rsid w:val="006106C7"/>
    <w:rsid w:val="00611FC4"/>
    <w:rsid w:val="006128FC"/>
    <w:rsid w:val="00614669"/>
    <w:rsid w:val="006146AA"/>
    <w:rsid w:val="006146EB"/>
    <w:rsid w:val="006176FB"/>
    <w:rsid w:val="006203CA"/>
    <w:rsid w:val="00624CD6"/>
    <w:rsid w:val="00626660"/>
    <w:rsid w:val="00627398"/>
    <w:rsid w:val="00640B26"/>
    <w:rsid w:val="0064128D"/>
    <w:rsid w:val="006469BB"/>
    <w:rsid w:val="00647F13"/>
    <w:rsid w:val="006508BD"/>
    <w:rsid w:val="00650C48"/>
    <w:rsid w:val="00652728"/>
    <w:rsid w:val="006541F9"/>
    <w:rsid w:val="00655A26"/>
    <w:rsid w:val="00657094"/>
    <w:rsid w:val="00661962"/>
    <w:rsid w:val="0066489E"/>
    <w:rsid w:val="0067095C"/>
    <w:rsid w:val="00673F2B"/>
    <w:rsid w:val="006829B6"/>
    <w:rsid w:val="006846F6"/>
    <w:rsid w:val="00684B3C"/>
    <w:rsid w:val="00684DBC"/>
    <w:rsid w:val="0068676F"/>
    <w:rsid w:val="00695F3F"/>
    <w:rsid w:val="006A3F74"/>
    <w:rsid w:val="006A530C"/>
    <w:rsid w:val="006A6A84"/>
    <w:rsid w:val="006A7392"/>
    <w:rsid w:val="006A7492"/>
    <w:rsid w:val="006B13AD"/>
    <w:rsid w:val="006B2667"/>
    <w:rsid w:val="006B2D2A"/>
    <w:rsid w:val="006B3CE2"/>
    <w:rsid w:val="006B4B18"/>
    <w:rsid w:val="006B7954"/>
    <w:rsid w:val="006C0D34"/>
    <w:rsid w:val="006C39E4"/>
    <w:rsid w:val="006D0D8E"/>
    <w:rsid w:val="006D3DC6"/>
    <w:rsid w:val="006D5964"/>
    <w:rsid w:val="006D6B67"/>
    <w:rsid w:val="006D70CC"/>
    <w:rsid w:val="006D7320"/>
    <w:rsid w:val="006E0EBA"/>
    <w:rsid w:val="006E1500"/>
    <w:rsid w:val="006E501A"/>
    <w:rsid w:val="006E564B"/>
    <w:rsid w:val="006E6346"/>
    <w:rsid w:val="006E6593"/>
    <w:rsid w:val="006E65D4"/>
    <w:rsid w:val="006F1DED"/>
    <w:rsid w:val="006F2711"/>
    <w:rsid w:val="006F4314"/>
    <w:rsid w:val="006F4522"/>
    <w:rsid w:val="006F5C15"/>
    <w:rsid w:val="007000EC"/>
    <w:rsid w:val="00700178"/>
    <w:rsid w:val="00701B53"/>
    <w:rsid w:val="007052FB"/>
    <w:rsid w:val="00707672"/>
    <w:rsid w:val="00707B9E"/>
    <w:rsid w:val="0071082D"/>
    <w:rsid w:val="007123C8"/>
    <w:rsid w:val="007131DB"/>
    <w:rsid w:val="007133E7"/>
    <w:rsid w:val="0071513C"/>
    <w:rsid w:val="0071563A"/>
    <w:rsid w:val="00721E2C"/>
    <w:rsid w:val="007239AF"/>
    <w:rsid w:val="007247B3"/>
    <w:rsid w:val="00725ECB"/>
    <w:rsid w:val="0072632A"/>
    <w:rsid w:val="00731B1F"/>
    <w:rsid w:val="00733EBB"/>
    <w:rsid w:val="00735050"/>
    <w:rsid w:val="00737FB6"/>
    <w:rsid w:val="007400EB"/>
    <w:rsid w:val="00741BBD"/>
    <w:rsid w:val="00741E84"/>
    <w:rsid w:val="007422B4"/>
    <w:rsid w:val="00743225"/>
    <w:rsid w:val="00754627"/>
    <w:rsid w:val="00757156"/>
    <w:rsid w:val="00760107"/>
    <w:rsid w:val="00765D1C"/>
    <w:rsid w:val="00765E00"/>
    <w:rsid w:val="00770617"/>
    <w:rsid w:val="00771937"/>
    <w:rsid w:val="00771986"/>
    <w:rsid w:val="00772B13"/>
    <w:rsid w:val="00775279"/>
    <w:rsid w:val="007759DE"/>
    <w:rsid w:val="00782640"/>
    <w:rsid w:val="00794F12"/>
    <w:rsid w:val="00797CF5"/>
    <w:rsid w:val="007A1572"/>
    <w:rsid w:val="007A31E6"/>
    <w:rsid w:val="007A3526"/>
    <w:rsid w:val="007A396D"/>
    <w:rsid w:val="007A3B58"/>
    <w:rsid w:val="007A456B"/>
    <w:rsid w:val="007A6C83"/>
    <w:rsid w:val="007B1FE2"/>
    <w:rsid w:val="007B2CE2"/>
    <w:rsid w:val="007B3FF8"/>
    <w:rsid w:val="007B6BA5"/>
    <w:rsid w:val="007B7DAF"/>
    <w:rsid w:val="007C1682"/>
    <w:rsid w:val="007C3390"/>
    <w:rsid w:val="007C34EC"/>
    <w:rsid w:val="007C429B"/>
    <w:rsid w:val="007C4E4A"/>
    <w:rsid w:val="007C4F4B"/>
    <w:rsid w:val="007C6AB6"/>
    <w:rsid w:val="007D3613"/>
    <w:rsid w:val="007D3C63"/>
    <w:rsid w:val="007D5622"/>
    <w:rsid w:val="007D7AC0"/>
    <w:rsid w:val="007E1373"/>
    <w:rsid w:val="007E1541"/>
    <w:rsid w:val="007E4568"/>
    <w:rsid w:val="007E5C29"/>
    <w:rsid w:val="007F0CCF"/>
    <w:rsid w:val="007F245E"/>
    <w:rsid w:val="007F2B9F"/>
    <w:rsid w:val="007F41C0"/>
    <w:rsid w:val="007F4481"/>
    <w:rsid w:val="007F6611"/>
    <w:rsid w:val="0080084A"/>
    <w:rsid w:val="008039FD"/>
    <w:rsid w:val="008059A0"/>
    <w:rsid w:val="00806CB8"/>
    <w:rsid w:val="00814CA1"/>
    <w:rsid w:val="008155B6"/>
    <w:rsid w:val="008157CA"/>
    <w:rsid w:val="008175E9"/>
    <w:rsid w:val="00817682"/>
    <w:rsid w:val="00821B83"/>
    <w:rsid w:val="00823833"/>
    <w:rsid w:val="008242D7"/>
    <w:rsid w:val="0082434C"/>
    <w:rsid w:val="00830058"/>
    <w:rsid w:val="00830F3B"/>
    <w:rsid w:val="00831155"/>
    <w:rsid w:val="0083270E"/>
    <w:rsid w:val="00834204"/>
    <w:rsid w:val="008344D2"/>
    <w:rsid w:val="00836DC8"/>
    <w:rsid w:val="00840702"/>
    <w:rsid w:val="00840E1B"/>
    <w:rsid w:val="0084371A"/>
    <w:rsid w:val="008463C2"/>
    <w:rsid w:val="00847A56"/>
    <w:rsid w:val="00854977"/>
    <w:rsid w:val="00854B4A"/>
    <w:rsid w:val="00857985"/>
    <w:rsid w:val="008579B9"/>
    <w:rsid w:val="00862646"/>
    <w:rsid w:val="008644A7"/>
    <w:rsid w:val="00871F5F"/>
    <w:rsid w:val="00871FB0"/>
    <w:rsid w:val="00871FD5"/>
    <w:rsid w:val="00871FDC"/>
    <w:rsid w:val="00872002"/>
    <w:rsid w:val="0087269C"/>
    <w:rsid w:val="0087614E"/>
    <w:rsid w:val="0088166A"/>
    <w:rsid w:val="0088359C"/>
    <w:rsid w:val="0089051E"/>
    <w:rsid w:val="008919E9"/>
    <w:rsid w:val="00891D4E"/>
    <w:rsid w:val="00891F19"/>
    <w:rsid w:val="008979B1"/>
    <w:rsid w:val="008A0BDB"/>
    <w:rsid w:val="008A2F79"/>
    <w:rsid w:val="008A6B20"/>
    <w:rsid w:val="008A6B25"/>
    <w:rsid w:val="008A6C4F"/>
    <w:rsid w:val="008B1C05"/>
    <w:rsid w:val="008B1C6F"/>
    <w:rsid w:val="008B23FB"/>
    <w:rsid w:val="008B66D9"/>
    <w:rsid w:val="008B72FC"/>
    <w:rsid w:val="008C512A"/>
    <w:rsid w:val="008C61CE"/>
    <w:rsid w:val="008C7106"/>
    <w:rsid w:val="008D2A5A"/>
    <w:rsid w:val="008E0E46"/>
    <w:rsid w:val="008F2927"/>
    <w:rsid w:val="008F6589"/>
    <w:rsid w:val="008F6E61"/>
    <w:rsid w:val="008F7B05"/>
    <w:rsid w:val="00900115"/>
    <w:rsid w:val="009015E9"/>
    <w:rsid w:val="00901C1E"/>
    <w:rsid w:val="00901D44"/>
    <w:rsid w:val="00905871"/>
    <w:rsid w:val="00906917"/>
    <w:rsid w:val="00906A52"/>
    <w:rsid w:val="00907D89"/>
    <w:rsid w:val="00911B50"/>
    <w:rsid w:val="00913563"/>
    <w:rsid w:val="009206AB"/>
    <w:rsid w:val="00925750"/>
    <w:rsid w:val="00927947"/>
    <w:rsid w:val="00930D07"/>
    <w:rsid w:val="0095383F"/>
    <w:rsid w:val="00953E25"/>
    <w:rsid w:val="00956E81"/>
    <w:rsid w:val="009571B8"/>
    <w:rsid w:val="00962F61"/>
    <w:rsid w:val="00963877"/>
    <w:rsid w:val="00963CBA"/>
    <w:rsid w:val="00964B08"/>
    <w:rsid w:val="00971558"/>
    <w:rsid w:val="00971FBD"/>
    <w:rsid w:val="0097308D"/>
    <w:rsid w:val="00973654"/>
    <w:rsid w:val="009739B6"/>
    <w:rsid w:val="00973ABD"/>
    <w:rsid w:val="009762EF"/>
    <w:rsid w:val="00980D14"/>
    <w:rsid w:val="0098140F"/>
    <w:rsid w:val="009827B4"/>
    <w:rsid w:val="009828DC"/>
    <w:rsid w:val="00983DEF"/>
    <w:rsid w:val="009851CB"/>
    <w:rsid w:val="00985610"/>
    <w:rsid w:val="009862FC"/>
    <w:rsid w:val="00991261"/>
    <w:rsid w:val="009913B5"/>
    <w:rsid w:val="009914D7"/>
    <w:rsid w:val="009927E9"/>
    <w:rsid w:val="00993787"/>
    <w:rsid w:val="00993B32"/>
    <w:rsid w:val="00994FF3"/>
    <w:rsid w:val="00995E66"/>
    <w:rsid w:val="009A075E"/>
    <w:rsid w:val="009A15C0"/>
    <w:rsid w:val="009A2203"/>
    <w:rsid w:val="009A34A3"/>
    <w:rsid w:val="009A3CAC"/>
    <w:rsid w:val="009A5E2D"/>
    <w:rsid w:val="009A6734"/>
    <w:rsid w:val="009B29FB"/>
    <w:rsid w:val="009B3386"/>
    <w:rsid w:val="009B701A"/>
    <w:rsid w:val="009B7D6F"/>
    <w:rsid w:val="009C3853"/>
    <w:rsid w:val="009C3E59"/>
    <w:rsid w:val="009C567A"/>
    <w:rsid w:val="009C6B1B"/>
    <w:rsid w:val="009D479D"/>
    <w:rsid w:val="009E0CD8"/>
    <w:rsid w:val="009E6529"/>
    <w:rsid w:val="009E7D11"/>
    <w:rsid w:val="009F1289"/>
    <w:rsid w:val="009F302B"/>
    <w:rsid w:val="009F7410"/>
    <w:rsid w:val="00A00297"/>
    <w:rsid w:val="00A01F06"/>
    <w:rsid w:val="00A056FA"/>
    <w:rsid w:val="00A10D0F"/>
    <w:rsid w:val="00A1427D"/>
    <w:rsid w:val="00A17B0A"/>
    <w:rsid w:val="00A24095"/>
    <w:rsid w:val="00A24214"/>
    <w:rsid w:val="00A248BA"/>
    <w:rsid w:val="00A30FAA"/>
    <w:rsid w:val="00A31176"/>
    <w:rsid w:val="00A36318"/>
    <w:rsid w:val="00A36D7B"/>
    <w:rsid w:val="00A51FB9"/>
    <w:rsid w:val="00A565CB"/>
    <w:rsid w:val="00A60B06"/>
    <w:rsid w:val="00A6244F"/>
    <w:rsid w:val="00A63E33"/>
    <w:rsid w:val="00A63F87"/>
    <w:rsid w:val="00A66C24"/>
    <w:rsid w:val="00A71831"/>
    <w:rsid w:val="00A7243D"/>
    <w:rsid w:val="00A72F22"/>
    <w:rsid w:val="00A73C3D"/>
    <w:rsid w:val="00A748A6"/>
    <w:rsid w:val="00A77FAC"/>
    <w:rsid w:val="00A80BCB"/>
    <w:rsid w:val="00A81910"/>
    <w:rsid w:val="00A8202F"/>
    <w:rsid w:val="00A8475A"/>
    <w:rsid w:val="00A853D7"/>
    <w:rsid w:val="00A86975"/>
    <w:rsid w:val="00A869C6"/>
    <w:rsid w:val="00A879A4"/>
    <w:rsid w:val="00A87A7D"/>
    <w:rsid w:val="00A91B00"/>
    <w:rsid w:val="00A924D9"/>
    <w:rsid w:val="00A938FB"/>
    <w:rsid w:val="00A95973"/>
    <w:rsid w:val="00AA006C"/>
    <w:rsid w:val="00AA0179"/>
    <w:rsid w:val="00AA23F3"/>
    <w:rsid w:val="00AA2F64"/>
    <w:rsid w:val="00AA395F"/>
    <w:rsid w:val="00AA6729"/>
    <w:rsid w:val="00AA67F9"/>
    <w:rsid w:val="00AB0F6B"/>
    <w:rsid w:val="00AB244B"/>
    <w:rsid w:val="00AB24DA"/>
    <w:rsid w:val="00AB54B5"/>
    <w:rsid w:val="00AB5BA7"/>
    <w:rsid w:val="00AB749B"/>
    <w:rsid w:val="00AC11AE"/>
    <w:rsid w:val="00AC12EF"/>
    <w:rsid w:val="00AC15DB"/>
    <w:rsid w:val="00AC519F"/>
    <w:rsid w:val="00AD00FC"/>
    <w:rsid w:val="00AD0C31"/>
    <w:rsid w:val="00AD4827"/>
    <w:rsid w:val="00AD4E4C"/>
    <w:rsid w:val="00AE29D9"/>
    <w:rsid w:val="00AE3696"/>
    <w:rsid w:val="00AE38B5"/>
    <w:rsid w:val="00AE3ADF"/>
    <w:rsid w:val="00AE693B"/>
    <w:rsid w:val="00AF1D5F"/>
    <w:rsid w:val="00AF262C"/>
    <w:rsid w:val="00AF2A4E"/>
    <w:rsid w:val="00AF47A5"/>
    <w:rsid w:val="00AF52FD"/>
    <w:rsid w:val="00AF596B"/>
    <w:rsid w:val="00AF7100"/>
    <w:rsid w:val="00B0075A"/>
    <w:rsid w:val="00B0146E"/>
    <w:rsid w:val="00B033F0"/>
    <w:rsid w:val="00B05023"/>
    <w:rsid w:val="00B05F31"/>
    <w:rsid w:val="00B10200"/>
    <w:rsid w:val="00B2209E"/>
    <w:rsid w:val="00B26578"/>
    <w:rsid w:val="00B26CAF"/>
    <w:rsid w:val="00B30179"/>
    <w:rsid w:val="00B3094C"/>
    <w:rsid w:val="00B3188C"/>
    <w:rsid w:val="00B3317B"/>
    <w:rsid w:val="00B35AED"/>
    <w:rsid w:val="00B4552B"/>
    <w:rsid w:val="00B473CA"/>
    <w:rsid w:val="00B47403"/>
    <w:rsid w:val="00B47AA6"/>
    <w:rsid w:val="00B50B12"/>
    <w:rsid w:val="00B524F1"/>
    <w:rsid w:val="00B547AD"/>
    <w:rsid w:val="00B5734C"/>
    <w:rsid w:val="00B62BDB"/>
    <w:rsid w:val="00B67E86"/>
    <w:rsid w:val="00B71BC7"/>
    <w:rsid w:val="00B75E35"/>
    <w:rsid w:val="00B77939"/>
    <w:rsid w:val="00B810E5"/>
    <w:rsid w:val="00B81E12"/>
    <w:rsid w:val="00B84C9B"/>
    <w:rsid w:val="00B861C7"/>
    <w:rsid w:val="00B91078"/>
    <w:rsid w:val="00B919CB"/>
    <w:rsid w:val="00B91F02"/>
    <w:rsid w:val="00B93068"/>
    <w:rsid w:val="00B95FF0"/>
    <w:rsid w:val="00B96356"/>
    <w:rsid w:val="00BA11DB"/>
    <w:rsid w:val="00BA4985"/>
    <w:rsid w:val="00BA7D86"/>
    <w:rsid w:val="00BB045F"/>
    <w:rsid w:val="00BB08F5"/>
    <w:rsid w:val="00BB2A0D"/>
    <w:rsid w:val="00BB4350"/>
    <w:rsid w:val="00BB5ECD"/>
    <w:rsid w:val="00BC1490"/>
    <w:rsid w:val="00BC5FB3"/>
    <w:rsid w:val="00BC74E9"/>
    <w:rsid w:val="00BD146F"/>
    <w:rsid w:val="00BD4CFE"/>
    <w:rsid w:val="00BE0B3F"/>
    <w:rsid w:val="00BE1202"/>
    <w:rsid w:val="00BE1806"/>
    <w:rsid w:val="00BE181F"/>
    <w:rsid w:val="00BE24E1"/>
    <w:rsid w:val="00BE328E"/>
    <w:rsid w:val="00BE5861"/>
    <w:rsid w:val="00BE618E"/>
    <w:rsid w:val="00BE6D72"/>
    <w:rsid w:val="00BF3DFC"/>
    <w:rsid w:val="00BF4012"/>
    <w:rsid w:val="00BF4380"/>
    <w:rsid w:val="00C0386D"/>
    <w:rsid w:val="00C03CD4"/>
    <w:rsid w:val="00C10E46"/>
    <w:rsid w:val="00C110FD"/>
    <w:rsid w:val="00C1230C"/>
    <w:rsid w:val="00C15BBD"/>
    <w:rsid w:val="00C163D7"/>
    <w:rsid w:val="00C169B7"/>
    <w:rsid w:val="00C16A56"/>
    <w:rsid w:val="00C216BB"/>
    <w:rsid w:val="00C218DC"/>
    <w:rsid w:val="00C22CAB"/>
    <w:rsid w:val="00C2346D"/>
    <w:rsid w:val="00C24B76"/>
    <w:rsid w:val="00C25E45"/>
    <w:rsid w:val="00C27D88"/>
    <w:rsid w:val="00C27EC4"/>
    <w:rsid w:val="00C4068C"/>
    <w:rsid w:val="00C41158"/>
    <w:rsid w:val="00C41F38"/>
    <w:rsid w:val="00C43EE7"/>
    <w:rsid w:val="00C463DD"/>
    <w:rsid w:val="00C476D5"/>
    <w:rsid w:val="00C50A92"/>
    <w:rsid w:val="00C52108"/>
    <w:rsid w:val="00C52172"/>
    <w:rsid w:val="00C52B81"/>
    <w:rsid w:val="00C52E60"/>
    <w:rsid w:val="00C533CC"/>
    <w:rsid w:val="00C56A7A"/>
    <w:rsid w:val="00C573C0"/>
    <w:rsid w:val="00C60536"/>
    <w:rsid w:val="00C61A77"/>
    <w:rsid w:val="00C62277"/>
    <w:rsid w:val="00C624C3"/>
    <w:rsid w:val="00C6390C"/>
    <w:rsid w:val="00C64E5D"/>
    <w:rsid w:val="00C66862"/>
    <w:rsid w:val="00C67E63"/>
    <w:rsid w:val="00C732D3"/>
    <w:rsid w:val="00C73F00"/>
    <w:rsid w:val="00C745C3"/>
    <w:rsid w:val="00C77EF6"/>
    <w:rsid w:val="00C81750"/>
    <w:rsid w:val="00C81B87"/>
    <w:rsid w:val="00C8222A"/>
    <w:rsid w:val="00C83023"/>
    <w:rsid w:val="00C8351A"/>
    <w:rsid w:val="00C91ED9"/>
    <w:rsid w:val="00C9680B"/>
    <w:rsid w:val="00C97051"/>
    <w:rsid w:val="00CA0B72"/>
    <w:rsid w:val="00CA26E5"/>
    <w:rsid w:val="00CA6D32"/>
    <w:rsid w:val="00CA7771"/>
    <w:rsid w:val="00CB076C"/>
    <w:rsid w:val="00CB1EE5"/>
    <w:rsid w:val="00CB27CE"/>
    <w:rsid w:val="00CB6670"/>
    <w:rsid w:val="00CB6C2D"/>
    <w:rsid w:val="00CC0C8C"/>
    <w:rsid w:val="00CC415B"/>
    <w:rsid w:val="00CC654B"/>
    <w:rsid w:val="00CC70E8"/>
    <w:rsid w:val="00CD4038"/>
    <w:rsid w:val="00CE139A"/>
    <w:rsid w:val="00CE3105"/>
    <w:rsid w:val="00CE4A8F"/>
    <w:rsid w:val="00CE4C85"/>
    <w:rsid w:val="00CE4F72"/>
    <w:rsid w:val="00CF1503"/>
    <w:rsid w:val="00CF3882"/>
    <w:rsid w:val="00CF6582"/>
    <w:rsid w:val="00D03C37"/>
    <w:rsid w:val="00D04090"/>
    <w:rsid w:val="00D04566"/>
    <w:rsid w:val="00D05966"/>
    <w:rsid w:val="00D06A0C"/>
    <w:rsid w:val="00D106C1"/>
    <w:rsid w:val="00D10995"/>
    <w:rsid w:val="00D134AB"/>
    <w:rsid w:val="00D14067"/>
    <w:rsid w:val="00D2031B"/>
    <w:rsid w:val="00D23243"/>
    <w:rsid w:val="00D2455B"/>
    <w:rsid w:val="00D25FE2"/>
    <w:rsid w:val="00D33756"/>
    <w:rsid w:val="00D33779"/>
    <w:rsid w:val="00D354A8"/>
    <w:rsid w:val="00D3577E"/>
    <w:rsid w:val="00D37DF7"/>
    <w:rsid w:val="00D43252"/>
    <w:rsid w:val="00D43999"/>
    <w:rsid w:val="00D45DD3"/>
    <w:rsid w:val="00D53DD0"/>
    <w:rsid w:val="00D54EF0"/>
    <w:rsid w:val="00D55226"/>
    <w:rsid w:val="00D55D73"/>
    <w:rsid w:val="00D56E26"/>
    <w:rsid w:val="00D63C9E"/>
    <w:rsid w:val="00D6695A"/>
    <w:rsid w:val="00D701BE"/>
    <w:rsid w:val="00D7204A"/>
    <w:rsid w:val="00D723A4"/>
    <w:rsid w:val="00D757ED"/>
    <w:rsid w:val="00D80FF7"/>
    <w:rsid w:val="00D81A42"/>
    <w:rsid w:val="00D82092"/>
    <w:rsid w:val="00D85BA3"/>
    <w:rsid w:val="00D85E07"/>
    <w:rsid w:val="00D866E8"/>
    <w:rsid w:val="00D86CF2"/>
    <w:rsid w:val="00D87983"/>
    <w:rsid w:val="00D87FCB"/>
    <w:rsid w:val="00D96A44"/>
    <w:rsid w:val="00D978C6"/>
    <w:rsid w:val="00DA0A05"/>
    <w:rsid w:val="00DA203A"/>
    <w:rsid w:val="00DA4D26"/>
    <w:rsid w:val="00DA67AD"/>
    <w:rsid w:val="00DB0BE6"/>
    <w:rsid w:val="00DB2F41"/>
    <w:rsid w:val="00DB306B"/>
    <w:rsid w:val="00DC1281"/>
    <w:rsid w:val="00DC2B3F"/>
    <w:rsid w:val="00DD12B5"/>
    <w:rsid w:val="00DD3BFB"/>
    <w:rsid w:val="00DD4D48"/>
    <w:rsid w:val="00DD6BDF"/>
    <w:rsid w:val="00DD6F1F"/>
    <w:rsid w:val="00DE1245"/>
    <w:rsid w:val="00DE127E"/>
    <w:rsid w:val="00DE1EB9"/>
    <w:rsid w:val="00DE239D"/>
    <w:rsid w:val="00DE2919"/>
    <w:rsid w:val="00DE2B49"/>
    <w:rsid w:val="00DE49D6"/>
    <w:rsid w:val="00DF1807"/>
    <w:rsid w:val="00DF2A29"/>
    <w:rsid w:val="00DF576E"/>
    <w:rsid w:val="00DF5B54"/>
    <w:rsid w:val="00DF7C4F"/>
    <w:rsid w:val="00E00A05"/>
    <w:rsid w:val="00E01242"/>
    <w:rsid w:val="00E026D0"/>
    <w:rsid w:val="00E063C9"/>
    <w:rsid w:val="00E11AD8"/>
    <w:rsid w:val="00E130AB"/>
    <w:rsid w:val="00E15A21"/>
    <w:rsid w:val="00E15F4C"/>
    <w:rsid w:val="00E17A8E"/>
    <w:rsid w:val="00E216C9"/>
    <w:rsid w:val="00E2351C"/>
    <w:rsid w:val="00E23561"/>
    <w:rsid w:val="00E257C6"/>
    <w:rsid w:val="00E30B86"/>
    <w:rsid w:val="00E31A55"/>
    <w:rsid w:val="00E31EE2"/>
    <w:rsid w:val="00E3266E"/>
    <w:rsid w:val="00E35790"/>
    <w:rsid w:val="00E40E7A"/>
    <w:rsid w:val="00E42529"/>
    <w:rsid w:val="00E452F7"/>
    <w:rsid w:val="00E46A4B"/>
    <w:rsid w:val="00E46F01"/>
    <w:rsid w:val="00E54B8C"/>
    <w:rsid w:val="00E5644E"/>
    <w:rsid w:val="00E56750"/>
    <w:rsid w:val="00E62F08"/>
    <w:rsid w:val="00E647E2"/>
    <w:rsid w:val="00E65EC1"/>
    <w:rsid w:val="00E67B9C"/>
    <w:rsid w:val="00E704E6"/>
    <w:rsid w:val="00E717D2"/>
    <w:rsid w:val="00E7260F"/>
    <w:rsid w:val="00E74478"/>
    <w:rsid w:val="00E759D8"/>
    <w:rsid w:val="00E811E8"/>
    <w:rsid w:val="00E81AD0"/>
    <w:rsid w:val="00E865BB"/>
    <w:rsid w:val="00E93442"/>
    <w:rsid w:val="00E9392D"/>
    <w:rsid w:val="00E958CD"/>
    <w:rsid w:val="00E95ADD"/>
    <w:rsid w:val="00E96630"/>
    <w:rsid w:val="00E96E54"/>
    <w:rsid w:val="00E971BF"/>
    <w:rsid w:val="00EA00EB"/>
    <w:rsid w:val="00EA1E85"/>
    <w:rsid w:val="00EA2DA9"/>
    <w:rsid w:val="00EA3D2F"/>
    <w:rsid w:val="00EA4678"/>
    <w:rsid w:val="00EA4812"/>
    <w:rsid w:val="00EA49BB"/>
    <w:rsid w:val="00EA6177"/>
    <w:rsid w:val="00EA696C"/>
    <w:rsid w:val="00EA75E9"/>
    <w:rsid w:val="00EA7769"/>
    <w:rsid w:val="00EA7B96"/>
    <w:rsid w:val="00EB24F1"/>
    <w:rsid w:val="00EB64EC"/>
    <w:rsid w:val="00EC0AFF"/>
    <w:rsid w:val="00EC289B"/>
    <w:rsid w:val="00EC5526"/>
    <w:rsid w:val="00EC5A5C"/>
    <w:rsid w:val="00EC7C14"/>
    <w:rsid w:val="00ED149D"/>
    <w:rsid w:val="00ED4A5F"/>
    <w:rsid w:val="00ED6049"/>
    <w:rsid w:val="00ED7A2A"/>
    <w:rsid w:val="00ED7AB2"/>
    <w:rsid w:val="00EE2E56"/>
    <w:rsid w:val="00EE3B01"/>
    <w:rsid w:val="00EE3FDE"/>
    <w:rsid w:val="00EF1D7F"/>
    <w:rsid w:val="00EF2EE8"/>
    <w:rsid w:val="00EF3ED2"/>
    <w:rsid w:val="00EF4673"/>
    <w:rsid w:val="00EF47D9"/>
    <w:rsid w:val="00EF6E20"/>
    <w:rsid w:val="00F04EB8"/>
    <w:rsid w:val="00F068DD"/>
    <w:rsid w:val="00F12BB8"/>
    <w:rsid w:val="00F15B48"/>
    <w:rsid w:val="00F17FF8"/>
    <w:rsid w:val="00F20B8B"/>
    <w:rsid w:val="00F31A68"/>
    <w:rsid w:val="00F331D6"/>
    <w:rsid w:val="00F3539B"/>
    <w:rsid w:val="00F37CB5"/>
    <w:rsid w:val="00F40E75"/>
    <w:rsid w:val="00F4208C"/>
    <w:rsid w:val="00F447D8"/>
    <w:rsid w:val="00F46112"/>
    <w:rsid w:val="00F4706C"/>
    <w:rsid w:val="00F51105"/>
    <w:rsid w:val="00F54AF5"/>
    <w:rsid w:val="00F57278"/>
    <w:rsid w:val="00F623EE"/>
    <w:rsid w:val="00F63FC7"/>
    <w:rsid w:val="00F67399"/>
    <w:rsid w:val="00F676B7"/>
    <w:rsid w:val="00F74031"/>
    <w:rsid w:val="00F74800"/>
    <w:rsid w:val="00F75F2C"/>
    <w:rsid w:val="00F852C6"/>
    <w:rsid w:val="00F87CA6"/>
    <w:rsid w:val="00F87E10"/>
    <w:rsid w:val="00F92C11"/>
    <w:rsid w:val="00F954B5"/>
    <w:rsid w:val="00FA0682"/>
    <w:rsid w:val="00FA3C22"/>
    <w:rsid w:val="00FA6303"/>
    <w:rsid w:val="00FB2E0E"/>
    <w:rsid w:val="00FB65FE"/>
    <w:rsid w:val="00FB6F8E"/>
    <w:rsid w:val="00FC0339"/>
    <w:rsid w:val="00FC3F38"/>
    <w:rsid w:val="00FC589D"/>
    <w:rsid w:val="00FC68B7"/>
    <w:rsid w:val="00FC7A06"/>
    <w:rsid w:val="00FD191A"/>
    <w:rsid w:val="00FD76F6"/>
    <w:rsid w:val="00FE3ABB"/>
    <w:rsid w:val="00FE63D3"/>
    <w:rsid w:val="00FF2902"/>
    <w:rsid w:val="00FF6370"/>
    <w:rsid w:val="00FF640F"/>
    <w:rsid w:val="00FF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671686CB-047A-47F0-86B9-44FDC4B4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08"/>
    <w:pPr>
      <w:suppressAutoHyphens/>
      <w:spacing w:line="240" w:lineRule="atLeast"/>
    </w:pPr>
    <w:rPr>
      <w:lang w:val="en-GB"/>
    </w:rPr>
  </w:style>
  <w:style w:type="paragraph" w:styleId="Heading1">
    <w:name w:val="heading 1"/>
    <w:aliases w:val="Table_G"/>
    <w:basedOn w:val="SingleTxtG"/>
    <w:next w:val="SingleTxtG"/>
    <w:qFormat/>
    <w:rsid w:val="00C52108"/>
    <w:pPr>
      <w:spacing w:after="0" w:line="240" w:lineRule="auto"/>
      <w:ind w:right="0"/>
      <w:jc w:val="left"/>
      <w:outlineLvl w:val="0"/>
    </w:pPr>
  </w:style>
  <w:style w:type="paragraph" w:styleId="Heading2">
    <w:name w:val="heading 2"/>
    <w:basedOn w:val="Normal"/>
    <w:next w:val="Normal"/>
    <w:qFormat/>
    <w:rsid w:val="00C52108"/>
    <w:pPr>
      <w:spacing w:line="240" w:lineRule="auto"/>
      <w:outlineLvl w:val="1"/>
    </w:pPr>
  </w:style>
  <w:style w:type="paragraph" w:styleId="Heading3">
    <w:name w:val="heading 3"/>
    <w:basedOn w:val="Normal"/>
    <w:next w:val="Normal"/>
    <w:qFormat/>
    <w:rsid w:val="00C52108"/>
    <w:pPr>
      <w:spacing w:line="240" w:lineRule="auto"/>
      <w:outlineLvl w:val="2"/>
    </w:pPr>
  </w:style>
  <w:style w:type="paragraph" w:styleId="Heading4">
    <w:name w:val="heading 4"/>
    <w:basedOn w:val="Normal"/>
    <w:next w:val="Normal"/>
    <w:qFormat/>
    <w:rsid w:val="00C52108"/>
    <w:pPr>
      <w:spacing w:line="240" w:lineRule="auto"/>
      <w:outlineLvl w:val="3"/>
    </w:pPr>
  </w:style>
  <w:style w:type="paragraph" w:styleId="Heading5">
    <w:name w:val="heading 5"/>
    <w:basedOn w:val="Normal"/>
    <w:next w:val="Normal"/>
    <w:qFormat/>
    <w:rsid w:val="00C52108"/>
    <w:pPr>
      <w:spacing w:line="240" w:lineRule="auto"/>
      <w:outlineLvl w:val="4"/>
    </w:pPr>
  </w:style>
  <w:style w:type="paragraph" w:styleId="Heading6">
    <w:name w:val="heading 6"/>
    <w:basedOn w:val="Normal"/>
    <w:next w:val="Normal"/>
    <w:qFormat/>
    <w:rsid w:val="00C52108"/>
    <w:pPr>
      <w:spacing w:line="240" w:lineRule="auto"/>
      <w:outlineLvl w:val="5"/>
    </w:pPr>
  </w:style>
  <w:style w:type="paragraph" w:styleId="Heading7">
    <w:name w:val="heading 7"/>
    <w:basedOn w:val="Normal"/>
    <w:next w:val="Normal"/>
    <w:qFormat/>
    <w:rsid w:val="00C52108"/>
    <w:pPr>
      <w:spacing w:line="240" w:lineRule="auto"/>
      <w:outlineLvl w:val="6"/>
    </w:pPr>
  </w:style>
  <w:style w:type="paragraph" w:styleId="Heading8">
    <w:name w:val="heading 8"/>
    <w:basedOn w:val="Normal"/>
    <w:next w:val="Normal"/>
    <w:qFormat/>
    <w:rsid w:val="00C52108"/>
    <w:pPr>
      <w:spacing w:line="240" w:lineRule="auto"/>
      <w:outlineLvl w:val="7"/>
    </w:pPr>
  </w:style>
  <w:style w:type="paragraph" w:styleId="Heading9">
    <w:name w:val="heading 9"/>
    <w:basedOn w:val="Normal"/>
    <w:next w:val="Normal"/>
    <w:qFormat/>
    <w:rsid w:val="00C5210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C5210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52108"/>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C5210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5210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5210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52108"/>
    <w:pPr>
      <w:keepNext/>
      <w:keepLines/>
      <w:tabs>
        <w:tab w:val="right" w:pos="851"/>
      </w:tabs>
      <w:spacing w:before="240" w:after="120" w:line="240" w:lineRule="exact"/>
      <w:ind w:left="1134" w:right="1134" w:hanging="1134"/>
    </w:pPr>
  </w:style>
  <w:style w:type="paragraph" w:customStyle="1" w:styleId="SingleTxtG">
    <w:name w:val="_ Single Txt_G"/>
    <w:basedOn w:val="Normal"/>
    <w:rsid w:val="00C52108"/>
    <w:pPr>
      <w:spacing w:after="120"/>
      <w:ind w:left="1134" w:right="1134"/>
      <w:jc w:val="both"/>
    </w:pPr>
  </w:style>
  <w:style w:type="paragraph" w:customStyle="1" w:styleId="SLG">
    <w:name w:val="__S_L_G"/>
    <w:basedOn w:val="Normal"/>
    <w:next w:val="Normal"/>
    <w:rsid w:val="00C52108"/>
    <w:pPr>
      <w:keepNext/>
      <w:keepLines/>
      <w:spacing w:before="240" w:after="240" w:line="580" w:lineRule="exact"/>
      <w:ind w:left="1134" w:right="1134"/>
    </w:pPr>
    <w:rPr>
      <w:b/>
      <w:sz w:val="56"/>
    </w:rPr>
  </w:style>
  <w:style w:type="paragraph" w:customStyle="1" w:styleId="SMG">
    <w:name w:val="__S_M_G"/>
    <w:basedOn w:val="Normal"/>
    <w:next w:val="Normal"/>
    <w:rsid w:val="00C52108"/>
    <w:pPr>
      <w:keepNext/>
      <w:keepLines/>
      <w:spacing w:before="240" w:after="240" w:line="420" w:lineRule="exact"/>
      <w:ind w:left="1134" w:right="1134"/>
    </w:pPr>
    <w:rPr>
      <w:b/>
      <w:sz w:val="40"/>
    </w:rPr>
  </w:style>
  <w:style w:type="paragraph" w:customStyle="1" w:styleId="SSG">
    <w:name w:val="__S_S_G"/>
    <w:basedOn w:val="Normal"/>
    <w:next w:val="Normal"/>
    <w:rsid w:val="00C52108"/>
    <w:pPr>
      <w:keepNext/>
      <w:keepLines/>
      <w:spacing w:before="240" w:after="240" w:line="300" w:lineRule="exact"/>
      <w:ind w:left="1134" w:right="1134"/>
    </w:pPr>
    <w:rPr>
      <w:b/>
      <w:sz w:val="28"/>
    </w:rPr>
  </w:style>
  <w:style w:type="paragraph" w:customStyle="1" w:styleId="XLargeG">
    <w:name w:val="__XLarge_G"/>
    <w:basedOn w:val="Normal"/>
    <w:next w:val="Normal"/>
    <w:rsid w:val="00C52108"/>
    <w:pPr>
      <w:keepNext/>
      <w:keepLines/>
      <w:spacing w:before="240" w:after="240" w:line="420" w:lineRule="exact"/>
      <w:ind w:left="1134" w:right="1134"/>
    </w:pPr>
    <w:rPr>
      <w:b/>
      <w:sz w:val="40"/>
    </w:rPr>
  </w:style>
  <w:style w:type="paragraph" w:customStyle="1" w:styleId="Bullet1G">
    <w:name w:val="_Bullet 1_G"/>
    <w:basedOn w:val="Normal"/>
    <w:rsid w:val="00C52108"/>
    <w:pPr>
      <w:numPr>
        <w:numId w:val="1"/>
      </w:numPr>
      <w:spacing w:after="120"/>
      <w:ind w:right="1134"/>
      <w:jc w:val="both"/>
    </w:pPr>
  </w:style>
  <w:style w:type="paragraph" w:customStyle="1" w:styleId="Bullet2G">
    <w:name w:val="_Bullet 2_G"/>
    <w:basedOn w:val="Normal"/>
    <w:rsid w:val="00C52108"/>
    <w:pPr>
      <w:numPr>
        <w:numId w:val="2"/>
      </w:numPr>
      <w:spacing w:after="120"/>
      <w:ind w:right="1134"/>
      <w:jc w:val="both"/>
    </w:pPr>
  </w:style>
  <w:style w:type="character" w:styleId="FootnoteReference">
    <w:name w:val="footnote reference"/>
    <w:aliases w:val="4_G,Footnote number"/>
    <w:rsid w:val="00C52108"/>
    <w:rPr>
      <w:rFonts w:ascii="Times New Roman" w:hAnsi="Times New Roman"/>
      <w:sz w:val="18"/>
      <w:vertAlign w:val="superscript"/>
    </w:rPr>
  </w:style>
  <w:style w:type="character" w:styleId="EndnoteReference">
    <w:name w:val="endnote reference"/>
    <w:aliases w:val="1_G"/>
    <w:rsid w:val="00C52108"/>
    <w:rPr>
      <w:rFonts w:ascii="Times New Roman" w:hAnsi="Times New Roman"/>
      <w:sz w:val="18"/>
      <w:vertAlign w:val="superscript"/>
    </w:rPr>
  </w:style>
  <w:style w:type="paragraph" w:styleId="Header">
    <w:name w:val="header"/>
    <w:aliases w:val="6_G"/>
    <w:basedOn w:val="Normal"/>
    <w:rsid w:val="00C52108"/>
    <w:pPr>
      <w:pBdr>
        <w:bottom w:val="single" w:sz="4" w:space="4" w:color="auto"/>
      </w:pBdr>
      <w:spacing w:line="240" w:lineRule="auto"/>
    </w:pPr>
    <w:rPr>
      <w:b/>
      <w:sz w:val="18"/>
    </w:rPr>
  </w:style>
  <w:style w:type="table" w:styleId="TableGrid">
    <w:name w:val="Table Grid"/>
    <w:basedOn w:val="TableNormal"/>
    <w:semiHidden/>
    <w:rsid w:val="00C521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52108"/>
    <w:rPr>
      <w:color w:val="auto"/>
      <w:u w:val="none"/>
    </w:rPr>
  </w:style>
  <w:style w:type="character" w:styleId="FollowedHyperlink">
    <w:name w:val="FollowedHyperlink"/>
    <w:semiHidden/>
    <w:rsid w:val="00C52108"/>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uiPriority w:val="99"/>
    <w:rsid w:val="00C52108"/>
    <w:pPr>
      <w:tabs>
        <w:tab w:val="right" w:pos="1021"/>
      </w:tabs>
      <w:spacing w:line="220" w:lineRule="exact"/>
      <w:ind w:left="1134" w:right="1134" w:hanging="1134"/>
    </w:pPr>
    <w:rPr>
      <w:sz w:val="18"/>
    </w:rPr>
  </w:style>
  <w:style w:type="paragraph" w:styleId="EndnoteText">
    <w:name w:val="endnote text"/>
    <w:aliases w:val="2_G"/>
    <w:basedOn w:val="FootnoteText"/>
    <w:rsid w:val="00C52108"/>
  </w:style>
  <w:style w:type="character" w:styleId="PageNumber">
    <w:name w:val="page number"/>
    <w:aliases w:val="7_G"/>
    <w:rsid w:val="00C52108"/>
    <w:rPr>
      <w:rFonts w:ascii="Times New Roman" w:hAnsi="Times New Roman"/>
      <w:b/>
      <w:sz w:val="18"/>
    </w:rPr>
  </w:style>
  <w:style w:type="paragraph" w:styleId="Footer">
    <w:name w:val="footer"/>
    <w:aliases w:val="3_G"/>
    <w:basedOn w:val="Normal"/>
    <w:rsid w:val="00C52108"/>
    <w:pPr>
      <w:spacing w:line="240" w:lineRule="auto"/>
    </w:pPr>
    <w:rPr>
      <w:sz w:val="16"/>
    </w:rPr>
  </w:style>
  <w:style w:type="paragraph" w:styleId="BalloonText">
    <w:name w:val="Balloon Text"/>
    <w:basedOn w:val="Normal"/>
    <w:link w:val="BalloonTextChar"/>
    <w:rsid w:val="00127839"/>
    <w:pPr>
      <w:spacing w:line="240" w:lineRule="auto"/>
    </w:pPr>
    <w:rPr>
      <w:rFonts w:ascii="Tahoma" w:hAnsi="Tahoma"/>
      <w:sz w:val="16"/>
      <w:szCs w:val="16"/>
    </w:rPr>
  </w:style>
  <w:style w:type="character" w:customStyle="1" w:styleId="BalloonTextChar">
    <w:name w:val="Balloon Text Char"/>
    <w:link w:val="BalloonText"/>
    <w:rsid w:val="00127839"/>
    <w:rPr>
      <w:rFonts w:ascii="Tahoma" w:hAnsi="Tahoma" w:cs="Tahoma"/>
      <w:sz w:val="16"/>
      <w:szCs w:val="16"/>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uiPriority w:val="99"/>
    <w:rsid w:val="004A24A8"/>
    <w:rPr>
      <w:sz w:val="18"/>
      <w:lang w:eastAsia="en-US"/>
    </w:rPr>
  </w:style>
  <w:style w:type="paragraph" w:styleId="NormalWeb">
    <w:name w:val="Normal (Web)"/>
    <w:basedOn w:val="Normal"/>
    <w:rsid w:val="00010492"/>
    <w:rPr>
      <w:sz w:val="24"/>
      <w:szCs w:val="24"/>
    </w:rPr>
  </w:style>
  <w:style w:type="character" w:styleId="CommentReference">
    <w:name w:val="annotation reference"/>
    <w:rsid w:val="006D0D8E"/>
    <w:rPr>
      <w:sz w:val="16"/>
      <w:szCs w:val="16"/>
    </w:rPr>
  </w:style>
  <w:style w:type="paragraph" w:styleId="CommentText">
    <w:name w:val="annotation text"/>
    <w:basedOn w:val="Normal"/>
    <w:link w:val="CommentTextChar"/>
    <w:rsid w:val="006D0D8E"/>
    <w:pPr>
      <w:spacing w:line="240" w:lineRule="auto"/>
    </w:pPr>
  </w:style>
  <w:style w:type="character" w:customStyle="1" w:styleId="CommentTextChar">
    <w:name w:val="Comment Text Char"/>
    <w:link w:val="CommentText"/>
    <w:rsid w:val="006D0D8E"/>
    <w:rPr>
      <w:lang w:val="en-GB" w:eastAsia="en-US"/>
    </w:rPr>
  </w:style>
  <w:style w:type="paragraph" w:styleId="CommentSubject">
    <w:name w:val="annotation subject"/>
    <w:basedOn w:val="CommentText"/>
    <w:next w:val="CommentText"/>
    <w:link w:val="CommentSubjectChar"/>
    <w:rsid w:val="006D0D8E"/>
    <w:rPr>
      <w:b/>
      <w:bCs/>
    </w:rPr>
  </w:style>
  <w:style w:type="character" w:customStyle="1" w:styleId="CommentSubjectChar">
    <w:name w:val="Comment Subject Char"/>
    <w:link w:val="CommentSubject"/>
    <w:rsid w:val="006D0D8E"/>
    <w:rPr>
      <w:b/>
      <w:bCs/>
      <w:lang w:val="en-GB" w:eastAsia="en-US"/>
    </w:rPr>
  </w:style>
  <w:style w:type="paragraph" w:styleId="Revision">
    <w:name w:val="Revision"/>
    <w:hidden/>
    <w:uiPriority w:val="71"/>
    <w:rsid w:val="00D56E26"/>
    <w:rPr>
      <w:lang w:val="en-GB"/>
    </w:rPr>
  </w:style>
  <w:style w:type="character" w:customStyle="1" w:styleId="sb8d990e2">
    <w:name w:val="sb8d990e2"/>
    <w:basedOn w:val="DefaultParagraphFont"/>
    <w:rsid w:val="00BF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533243">
      <w:bodyDiv w:val="1"/>
      <w:marLeft w:val="0"/>
      <w:marRight w:val="0"/>
      <w:marTop w:val="0"/>
      <w:marBottom w:val="0"/>
      <w:divBdr>
        <w:top w:val="none" w:sz="0" w:space="0" w:color="auto"/>
        <w:left w:val="none" w:sz="0" w:space="0" w:color="auto"/>
        <w:bottom w:val="none" w:sz="0" w:space="0" w:color="auto"/>
        <w:right w:val="none" w:sz="0" w:space="0" w:color="auto"/>
      </w:divBdr>
      <w:divsChild>
        <w:div w:id="926422879">
          <w:marLeft w:val="3"/>
          <w:marRight w:val="3"/>
          <w:marTop w:val="0"/>
          <w:marBottom w:val="0"/>
          <w:divBdr>
            <w:top w:val="single" w:sz="6" w:space="0" w:color="112449"/>
            <w:left w:val="single" w:sz="6" w:space="0" w:color="112449"/>
            <w:bottom w:val="single" w:sz="6" w:space="0" w:color="112449"/>
            <w:right w:val="single" w:sz="6" w:space="0" w:color="112449"/>
          </w:divBdr>
          <w:divsChild>
            <w:div w:id="7848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4127">
      <w:bodyDiv w:val="1"/>
      <w:marLeft w:val="0"/>
      <w:marRight w:val="0"/>
      <w:marTop w:val="0"/>
      <w:marBottom w:val="0"/>
      <w:divBdr>
        <w:top w:val="none" w:sz="0" w:space="0" w:color="auto"/>
        <w:left w:val="none" w:sz="0" w:space="0" w:color="auto"/>
        <w:bottom w:val="none" w:sz="0" w:space="0" w:color="auto"/>
        <w:right w:val="none" w:sz="0" w:space="0" w:color="auto"/>
      </w:divBdr>
      <w:divsChild>
        <w:div w:id="29385125">
          <w:marLeft w:val="3"/>
          <w:marRight w:val="3"/>
          <w:marTop w:val="0"/>
          <w:marBottom w:val="0"/>
          <w:divBdr>
            <w:top w:val="single" w:sz="6" w:space="0" w:color="112449"/>
            <w:left w:val="single" w:sz="6" w:space="0" w:color="112449"/>
            <w:bottom w:val="single" w:sz="6" w:space="0" w:color="112449"/>
            <w:right w:val="single" w:sz="6" w:space="0" w:color="112449"/>
          </w:divBdr>
          <w:divsChild>
            <w:div w:id="94989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7975">
      <w:bodyDiv w:val="1"/>
      <w:marLeft w:val="0"/>
      <w:marRight w:val="0"/>
      <w:marTop w:val="0"/>
      <w:marBottom w:val="0"/>
      <w:divBdr>
        <w:top w:val="none" w:sz="0" w:space="0" w:color="auto"/>
        <w:left w:val="none" w:sz="0" w:space="0" w:color="auto"/>
        <w:bottom w:val="none" w:sz="0" w:space="0" w:color="auto"/>
        <w:right w:val="none" w:sz="0" w:space="0" w:color="auto"/>
      </w:divBdr>
    </w:div>
    <w:div w:id="1416051658">
      <w:bodyDiv w:val="1"/>
      <w:marLeft w:val="0"/>
      <w:marRight w:val="0"/>
      <w:marTop w:val="0"/>
      <w:marBottom w:val="0"/>
      <w:divBdr>
        <w:top w:val="none" w:sz="0" w:space="0" w:color="auto"/>
        <w:left w:val="none" w:sz="0" w:space="0" w:color="auto"/>
        <w:bottom w:val="none" w:sz="0" w:space="0" w:color="auto"/>
        <w:right w:val="none" w:sz="0" w:space="0" w:color="auto"/>
      </w:divBdr>
    </w:div>
    <w:div w:id="1528326231">
      <w:bodyDiv w:val="1"/>
      <w:marLeft w:val="0"/>
      <w:marRight w:val="0"/>
      <w:marTop w:val="0"/>
      <w:marBottom w:val="0"/>
      <w:divBdr>
        <w:top w:val="none" w:sz="0" w:space="0" w:color="auto"/>
        <w:left w:val="none" w:sz="0" w:space="0" w:color="auto"/>
        <w:bottom w:val="none" w:sz="0" w:space="0" w:color="auto"/>
        <w:right w:val="none" w:sz="0" w:space="0" w:color="auto"/>
      </w:divBdr>
      <w:divsChild>
        <w:div w:id="529879315">
          <w:marLeft w:val="3"/>
          <w:marRight w:val="3"/>
          <w:marTop w:val="0"/>
          <w:marBottom w:val="0"/>
          <w:divBdr>
            <w:top w:val="single" w:sz="6" w:space="0" w:color="112449"/>
            <w:left w:val="single" w:sz="6" w:space="0" w:color="112449"/>
            <w:bottom w:val="single" w:sz="6" w:space="0" w:color="112449"/>
            <w:right w:val="single" w:sz="6" w:space="0" w:color="112449"/>
          </w:divBdr>
          <w:divsChild>
            <w:div w:id="17213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OP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CATOP_E</Template>
  <TotalTime>0</TotalTime>
  <Pages>13</Pages>
  <Words>6572</Words>
  <Characters>37464</Characters>
  <Application>Microsoft Office Word</Application>
  <DocSecurity>0</DocSecurity>
  <Lines>312</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 Neogi</dc:creator>
  <cp:keywords/>
  <cp:lastModifiedBy>Sarah Willig</cp:lastModifiedBy>
  <cp:revision>2</cp:revision>
  <cp:lastPrinted>2015-01-14T14:24:00Z</cp:lastPrinted>
  <dcterms:created xsi:type="dcterms:W3CDTF">2017-01-25T01:27:00Z</dcterms:created>
  <dcterms:modified xsi:type="dcterms:W3CDTF">2017-01-25T01:27:00Z</dcterms:modified>
</cp:coreProperties>
</file>