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D9757E" w:rsidP="00E3695B">
            <w:pPr>
              <w:jc w:val="right"/>
            </w:pPr>
            <w:r w:rsidRPr="00D9757E">
              <w:rPr>
                <w:sz w:val="40"/>
              </w:rPr>
              <w:t>CAT</w:t>
            </w:r>
            <w:r>
              <w:t>/C/5</w:t>
            </w:r>
            <w:r w:rsidR="00E3695B">
              <w:t>3</w:t>
            </w:r>
            <w:r>
              <w:t>/D/473/2011</w:t>
            </w:r>
          </w:p>
        </w:tc>
      </w:tr>
      <w:tr w:rsidR="00B56E9C" w:rsidTr="00646B0C">
        <w:trPr>
          <w:cantSplit/>
          <w:trHeight w:hRule="exact" w:val="2271"/>
        </w:trPr>
        <w:tc>
          <w:tcPr>
            <w:tcW w:w="1276" w:type="dxa"/>
            <w:tcBorders>
              <w:top w:val="single" w:sz="4" w:space="0" w:color="auto"/>
              <w:bottom w:val="single" w:sz="12" w:space="0" w:color="auto"/>
            </w:tcBorders>
          </w:tcPr>
          <w:p w:rsidR="00B56E9C" w:rsidRDefault="0027671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4F0326" w:rsidRDefault="004F0326" w:rsidP="001C4F61">
            <w:pPr>
              <w:spacing w:line="240" w:lineRule="auto"/>
            </w:pPr>
          </w:p>
          <w:p w:rsidR="001C4F61" w:rsidRDefault="00D9757E" w:rsidP="001C4F61">
            <w:pPr>
              <w:spacing w:line="240" w:lineRule="auto"/>
            </w:pPr>
            <w:r>
              <w:t xml:space="preserve">Distr.: </w:t>
            </w:r>
            <w:r w:rsidR="00253DF1">
              <w:t>General</w:t>
            </w:r>
          </w:p>
          <w:p w:rsidR="00D9757E" w:rsidRDefault="0067665D" w:rsidP="005C4708">
            <w:pPr>
              <w:spacing w:line="240" w:lineRule="auto"/>
            </w:pPr>
            <w:r>
              <w:t>20</w:t>
            </w:r>
            <w:r w:rsidR="00E36D61">
              <w:t xml:space="preserve"> </w:t>
            </w:r>
            <w:r w:rsidR="00B33B81">
              <w:t>January</w:t>
            </w:r>
            <w:r w:rsidR="00D9757E">
              <w:t xml:space="preserve"> 201</w:t>
            </w:r>
            <w:r w:rsidR="00B33B81">
              <w:t>5</w:t>
            </w:r>
          </w:p>
          <w:p w:rsidR="00D9757E" w:rsidRDefault="00D9757E" w:rsidP="00D9757E">
            <w:pPr>
              <w:spacing w:line="240" w:lineRule="exact"/>
            </w:pPr>
          </w:p>
          <w:p w:rsidR="00D9757E" w:rsidRDefault="00D9757E" w:rsidP="00D9757E">
            <w:pPr>
              <w:spacing w:line="240" w:lineRule="exact"/>
            </w:pPr>
            <w:r>
              <w:t>Original: English</w:t>
            </w:r>
          </w:p>
        </w:tc>
      </w:tr>
    </w:tbl>
    <w:p w:rsidR="001C4F61" w:rsidRPr="00DA41C2" w:rsidRDefault="001C4F61" w:rsidP="001C4F61">
      <w:pPr>
        <w:spacing w:before="120"/>
        <w:rPr>
          <w:b/>
          <w:sz w:val="24"/>
          <w:szCs w:val="24"/>
        </w:rPr>
      </w:pPr>
      <w:r w:rsidRPr="00DA41C2">
        <w:rPr>
          <w:b/>
          <w:sz w:val="24"/>
          <w:szCs w:val="24"/>
        </w:rPr>
        <w:t>Committee against Torture</w:t>
      </w:r>
    </w:p>
    <w:p w:rsidR="001C4F61" w:rsidRPr="006E7692" w:rsidRDefault="0027671F" w:rsidP="001C4F61">
      <w:pPr>
        <w:pStyle w:val="HChG"/>
      </w:pPr>
      <w:r>
        <w:rPr>
          <w:noProof/>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11&amp;Size=2 &amp;Lang=E"/>
            <w10:wrap anchorx="margin" anchory="margin"/>
          </v:shape>
        </w:pict>
      </w:r>
      <w:r w:rsidR="001C4F61">
        <w:tab/>
      </w:r>
      <w:r w:rsidR="001C4F61" w:rsidRPr="006E7692">
        <w:tab/>
        <w:t xml:space="preserve">Communication </w:t>
      </w:r>
      <w:r w:rsidR="006F5F8C" w:rsidRPr="006E7692">
        <w:t>No. </w:t>
      </w:r>
      <w:r w:rsidR="001C4F61" w:rsidRPr="006E7692">
        <w:t xml:space="preserve">473/2011 </w:t>
      </w:r>
    </w:p>
    <w:p w:rsidR="001C4F61" w:rsidRPr="006E7692" w:rsidRDefault="001C4F61" w:rsidP="00B33B81">
      <w:pPr>
        <w:keepNext/>
        <w:keepLines/>
        <w:tabs>
          <w:tab w:val="right" w:pos="1985"/>
        </w:tabs>
        <w:autoSpaceDN w:val="0"/>
        <w:spacing w:before="360" w:after="240" w:line="270" w:lineRule="exact"/>
        <w:ind w:left="1134" w:right="1134" w:hanging="1134"/>
        <w:textAlignment w:val="baseline"/>
        <w:rPr>
          <w:b/>
          <w:kern w:val="3"/>
          <w:sz w:val="24"/>
          <w:lang w:eastAsia="zh-CN"/>
        </w:rPr>
      </w:pPr>
      <w:r w:rsidRPr="006E7692">
        <w:rPr>
          <w:b/>
          <w:kern w:val="3"/>
          <w:sz w:val="24"/>
          <w:lang w:eastAsia="zh-CN"/>
        </w:rPr>
        <w:tab/>
      </w:r>
      <w:r w:rsidR="00E3695B" w:rsidRPr="006E7692">
        <w:rPr>
          <w:b/>
          <w:kern w:val="3"/>
          <w:sz w:val="24"/>
          <w:lang w:eastAsia="zh-CN"/>
        </w:rPr>
        <w:t xml:space="preserve">Decision adopted by the Committee at its </w:t>
      </w:r>
      <w:r w:rsidR="00B33B81" w:rsidRPr="006E7692">
        <w:rPr>
          <w:b/>
          <w:kern w:val="3"/>
          <w:sz w:val="24"/>
          <w:lang w:eastAsia="zh-CN"/>
        </w:rPr>
        <w:t>fifty-third</w:t>
      </w:r>
      <w:r w:rsidR="00E3695B" w:rsidRPr="006E7692">
        <w:rPr>
          <w:b/>
          <w:kern w:val="3"/>
          <w:sz w:val="24"/>
          <w:lang w:eastAsia="zh-CN"/>
        </w:rPr>
        <w:t xml:space="preserve"> session </w:t>
      </w:r>
      <w:r w:rsidR="00B239B8" w:rsidRPr="006E7692">
        <w:rPr>
          <w:b/>
          <w:kern w:val="3"/>
          <w:sz w:val="24"/>
          <w:lang w:eastAsia="zh-CN"/>
        </w:rPr>
        <w:br/>
      </w:r>
      <w:r w:rsidR="00E3695B" w:rsidRPr="006E7692">
        <w:rPr>
          <w:b/>
          <w:kern w:val="3"/>
          <w:sz w:val="24"/>
          <w:lang w:eastAsia="zh-CN"/>
        </w:rPr>
        <w:t>(3–28 November 2014)</w:t>
      </w:r>
    </w:p>
    <w:tbl>
      <w:tblPr>
        <w:tblW w:w="7371" w:type="dxa"/>
        <w:tblInd w:w="1200" w:type="dxa"/>
        <w:tblLayout w:type="fixed"/>
        <w:tblCellMar>
          <w:left w:w="0" w:type="dxa"/>
          <w:right w:w="0" w:type="dxa"/>
        </w:tblCellMar>
        <w:tblLook w:val="01E0" w:firstRow="1" w:lastRow="1" w:firstColumn="1" w:lastColumn="1" w:noHBand="0" w:noVBand="0"/>
      </w:tblPr>
      <w:tblGrid>
        <w:gridCol w:w="3336"/>
        <w:gridCol w:w="4035"/>
      </w:tblGrid>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rPr>
            </w:pPr>
            <w:r w:rsidRPr="006E7692">
              <w:rPr>
                <w:i/>
              </w:rPr>
              <w:t>Submitted by:</w:t>
            </w:r>
          </w:p>
        </w:tc>
        <w:tc>
          <w:tcPr>
            <w:tcW w:w="4035" w:type="dxa"/>
            <w:shd w:val="clear" w:color="auto" w:fill="auto"/>
          </w:tcPr>
          <w:p w:rsidR="001C4F61" w:rsidRPr="006E7692" w:rsidRDefault="001C4F61" w:rsidP="00EB02FF">
            <w:pPr>
              <w:pStyle w:val="SingleTxtG"/>
              <w:ind w:left="0" w:right="0"/>
              <w:contextualSpacing/>
              <w:jc w:val="left"/>
            </w:pPr>
            <w:r w:rsidRPr="006E7692">
              <w:t>Hussein Khademi et al. (represented by counsel, Ber</w:t>
            </w:r>
            <w:r w:rsidR="00EB02FF" w:rsidRPr="006E7692">
              <w:t>n</w:t>
            </w:r>
            <w:r w:rsidRPr="006E7692">
              <w:t xml:space="preserve">hard </w:t>
            </w:r>
            <w:r w:rsidR="00FC2B0A" w:rsidRPr="006E7692">
              <w:t>Jüsi</w:t>
            </w:r>
            <w:r w:rsidRPr="006E7692">
              <w:t>)</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rPr>
            </w:pPr>
            <w:r w:rsidRPr="006E7692">
              <w:rPr>
                <w:i/>
              </w:rPr>
              <w:t>Alleged victims:</w:t>
            </w:r>
          </w:p>
        </w:tc>
        <w:tc>
          <w:tcPr>
            <w:tcW w:w="4035" w:type="dxa"/>
            <w:shd w:val="clear" w:color="auto" w:fill="auto"/>
          </w:tcPr>
          <w:p w:rsidR="001C4F61" w:rsidRPr="006E7692" w:rsidRDefault="001C4F61" w:rsidP="00D5275A">
            <w:pPr>
              <w:pStyle w:val="SingleTxtG"/>
              <w:ind w:left="0" w:right="0"/>
              <w:contextualSpacing/>
              <w:jc w:val="left"/>
            </w:pPr>
            <w:r w:rsidRPr="006E7692">
              <w:t>The complainants</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rPr>
            </w:pPr>
            <w:r w:rsidRPr="006E7692">
              <w:rPr>
                <w:i/>
              </w:rPr>
              <w:t>State party:</w:t>
            </w:r>
          </w:p>
        </w:tc>
        <w:tc>
          <w:tcPr>
            <w:tcW w:w="4035" w:type="dxa"/>
            <w:shd w:val="clear" w:color="auto" w:fill="auto"/>
          </w:tcPr>
          <w:p w:rsidR="001C4F61" w:rsidRPr="006E7692" w:rsidRDefault="001C4F61" w:rsidP="00D5275A">
            <w:pPr>
              <w:pStyle w:val="SingleTxtG"/>
              <w:ind w:left="0" w:right="0"/>
              <w:contextualSpacing/>
              <w:jc w:val="left"/>
            </w:pPr>
            <w:r w:rsidRPr="006E7692">
              <w:t>Switzerland</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rPr>
            </w:pPr>
            <w:r w:rsidRPr="006E7692">
              <w:rPr>
                <w:i/>
              </w:rPr>
              <w:t>Date of the complaint:</w:t>
            </w:r>
          </w:p>
        </w:tc>
        <w:tc>
          <w:tcPr>
            <w:tcW w:w="4035" w:type="dxa"/>
            <w:shd w:val="clear" w:color="auto" w:fill="auto"/>
          </w:tcPr>
          <w:p w:rsidR="001C4F61" w:rsidRPr="006E7692" w:rsidRDefault="001C4F61" w:rsidP="00D5275A">
            <w:pPr>
              <w:pStyle w:val="SingleTxtG"/>
              <w:ind w:left="0" w:right="0"/>
              <w:contextualSpacing/>
              <w:jc w:val="left"/>
            </w:pPr>
            <w:r w:rsidRPr="006E7692">
              <w:t>3 August 2011 (initial submission)</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rPr>
            </w:pPr>
            <w:r w:rsidRPr="006E7692">
              <w:rPr>
                <w:i/>
              </w:rPr>
              <w:t>Date of decision:</w:t>
            </w:r>
          </w:p>
        </w:tc>
        <w:tc>
          <w:tcPr>
            <w:tcW w:w="4035" w:type="dxa"/>
            <w:shd w:val="clear" w:color="auto" w:fill="auto"/>
          </w:tcPr>
          <w:p w:rsidR="001C4F61" w:rsidRPr="006E7692" w:rsidRDefault="00E3695B" w:rsidP="00E3695B">
            <w:pPr>
              <w:pStyle w:val="SingleTxtG"/>
              <w:ind w:left="0" w:right="0"/>
              <w:contextualSpacing/>
              <w:jc w:val="left"/>
            </w:pPr>
            <w:r w:rsidRPr="006E7692">
              <w:t>14 November</w:t>
            </w:r>
            <w:r w:rsidR="001C4F61" w:rsidRPr="006E7692">
              <w:t xml:space="preserve"> 2014</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rPr>
            </w:pPr>
            <w:r w:rsidRPr="006E7692">
              <w:rPr>
                <w:i/>
                <w:iCs/>
              </w:rPr>
              <w:t>Subject matter:</w:t>
            </w:r>
          </w:p>
        </w:tc>
        <w:tc>
          <w:tcPr>
            <w:tcW w:w="4035" w:type="dxa"/>
            <w:shd w:val="clear" w:color="auto" w:fill="auto"/>
          </w:tcPr>
          <w:p w:rsidR="001C4F61" w:rsidRPr="006E7692" w:rsidRDefault="001C4F61" w:rsidP="00D5275A">
            <w:pPr>
              <w:suppressAutoHyphens w:val="0"/>
              <w:autoSpaceDE w:val="0"/>
              <w:autoSpaceDN w:val="0"/>
              <w:adjustRightInd w:val="0"/>
              <w:spacing w:line="240" w:lineRule="auto"/>
              <w:rPr>
                <w:lang w:eastAsia="en-GB"/>
              </w:rPr>
            </w:pPr>
            <w:r w:rsidRPr="006E7692">
              <w:rPr>
                <w:lang w:eastAsia="en-GB"/>
              </w:rPr>
              <w:t xml:space="preserve">Expulsion of the complainants </w:t>
            </w:r>
          </w:p>
          <w:p w:rsidR="001C4F61" w:rsidRPr="006E7692" w:rsidRDefault="001C4F61" w:rsidP="00D5275A">
            <w:pPr>
              <w:suppressAutoHyphens w:val="0"/>
              <w:autoSpaceDE w:val="0"/>
              <w:autoSpaceDN w:val="0"/>
              <w:adjustRightInd w:val="0"/>
              <w:spacing w:line="240" w:lineRule="auto"/>
              <w:rPr>
                <w:lang w:eastAsia="en-GB"/>
              </w:rPr>
            </w:pPr>
            <w:r w:rsidRPr="006E7692">
              <w:rPr>
                <w:lang w:eastAsia="en-GB"/>
              </w:rPr>
              <w:t>to the Islamic Republic of Iran</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iCs/>
              </w:rPr>
            </w:pPr>
            <w:r w:rsidRPr="006E7692">
              <w:rPr>
                <w:i/>
                <w:iCs/>
              </w:rPr>
              <w:t>Procedural issue</w:t>
            </w:r>
            <w:r w:rsidRPr="006E7692">
              <w:rPr>
                <w:i/>
              </w:rPr>
              <w:t>:</w:t>
            </w:r>
          </w:p>
        </w:tc>
        <w:tc>
          <w:tcPr>
            <w:tcW w:w="4035" w:type="dxa"/>
            <w:shd w:val="clear" w:color="auto" w:fill="auto"/>
          </w:tcPr>
          <w:p w:rsidR="001C4F61" w:rsidRPr="006E7692" w:rsidRDefault="001C4F61" w:rsidP="00D5275A">
            <w:pPr>
              <w:pStyle w:val="SingleTxtG"/>
              <w:ind w:left="0" w:right="0"/>
              <w:contextualSpacing/>
              <w:jc w:val="left"/>
            </w:pPr>
            <w:r w:rsidRPr="006E7692">
              <w:t>None</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iCs/>
              </w:rPr>
            </w:pPr>
            <w:r w:rsidRPr="006E7692">
              <w:rPr>
                <w:i/>
                <w:iCs/>
              </w:rPr>
              <w:t>Substantive issue:</w:t>
            </w:r>
          </w:p>
        </w:tc>
        <w:tc>
          <w:tcPr>
            <w:tcW w:w="4035" w:type="dxa"/>
            <w:shd w:val="clear" w:color="auto" w:fill="auto"/>
          </w:tcPr>
          <w:p w:rsidR="001C4F61" w:rsidRPr="006E7692" w:rsidRDefault="001C4F61" w:rsidP="00FC2B0A">
            <w:pPr>
              <w:pStyle w:val="SingleTxtG"/>
              <w:ind w:left="0" w:right="0"/>
              <w:contextualSpacing/>
              <w:jc w:val="left"/>
            </w:pPr>
            <w:r w:rsidRPr="006E7692">
              <w:t>Risk of torture upon return to the country of origin</w:t>
            </w:r>
          </w:p>
        </w:tc>
      </w:tr>
      <w:tr w:rsidR="001C4F61" w:rsidRPr="006E7692" w:rsidTr="00B239B8">
        <w:tc>
          <w:tcPr>
            <w:tcW w:w="3336" w:type="dxa"/>
            <w:shd w:val="clear" w:color="auto" w:fill="auto"/>
          </w:tcPr>
          <w:p w:rsidR="001C4F61" w:rsidRPr="006E7692" w:rsidRDefault="001C4F61" w:rsidP="00D5275A">
            <w:pPr>
              <w:pStyle w:val="SingleTxtG"/>
              <w:ind w:left="0" w:right="0"/>
              <w:contextualSpacing/>
              <w:jc w:val="left"/>
              <w:rPr>
                <w:i/>
                <w:iCs/>
              </w:rPr>
            </w:pPr>
            <w:r w:rsidRPr="006E7692">
              <w:rPr>
                <w:i/>
                <w:iCs/>
              </w:rPr>
              <w:t>Article of the Convention</w:t>
            </w:r>
            <w:r w:rsidRPr="006E7692">
              <w:rPr>
                <w:i/>
              </w:rPr>
              <w:t>:</w:t>
            </w:r>
          </w:p>
        </w:tc>
        <w:tc>
          <w:tcPr>
            <w:tcW w:w="4035" w:type="dxa"/>
            <w:shd w:val="clear" w:color="auto" w:fill="auto"/>
          </w:tcPr>
          <w:p w:rsidR="001C4F61" w:rsidRPr="006E7692" w:rsidRDefault="001C4F61" w:rsidP="00D5275A">
            <w:pPr>
              <w:pStyle w:val="SingleTxtG"/>
              <w:ind w:left="0" w:right="0"/>
              <w:contextualSpacing/>
              <w:jc w:val="left"/>
            </w:pPr>
            <w:r w:rsidRPr="006E7692">
              <w:t>3</w:t>
            </w:r>
          </w:p>
        </w:tc>
      </w:tr>
    </w:tbl>
    <w:p w:rsidR="001C4F61" w:rsidRPr="006E7692" w:rsidRDefault="001C4F61" w:rsidP="001C4F61">
      <w:pPr>
        <w:pStyle w:val="SingleTxtG"/>
        <w:contextualSpacing/>
        <w:jc w:val="center"/>
      </w:pPr>
    </w:p>
    <w:p w:rsidR="001C4F61" w:rsidRPr="006E7692" w:rsidRDefault="001C4F61" w:rsidP="001C4F61">
      <w:pPr>
        <w:pStyle w:val="HChG"/>
      </w:pPr>
      <w:r w:rsidRPr="006E7692">
        <w:br w:type="page"/>
      </w:r>
      <w:r w:rsidRPr="006E7692">
        <w:lastRenderedPageBreak/>
        <w:t>Annex</w:t>
      </w:r>
    </w:p>
    <w:p w:rsidR="001C4F61" w:rsidRPr="006E7692" w:rsidRDefault="001C4F61" w:rsidP="00EB02FF">
      <w:pPr>
        <w:pStyle w:val="HChG"/>
        <w:contextualSpacing/>
      </w:pPr>
      <w:r w:rsidRPr="006E7692">
        <w:tab/>
      </w:r>
      <w:r w:rsidRPr="006E7692">
        <w:tab/>
        <w:t>Decision of the Committee agai</w:t>
      </w:r>
      <w:r w:rsidR="00B239B8" w:rsidRPr="006E7692">
        <w:t>nst Torture under article 22 of</w:t>
      </w:r>
      <w:r w:rsidR="00FC2B0A" w:rsidRPr="006E7692">
        <w:t xml:space="preserve"> </w:t>
      </w:r>
      <w:r w:rsidRPr="006E7692">
        <w:t>the Convention against Torture and Other Cruel,</w:t>
      </w:r>
      <w:r w:rsidR="00FC2B0A" w:rsidRPr="006E7692">
        <w:t xml:space="preserve"> I</w:t>
      </w:r>
      <w:r w:rsidRPr="006E7692">
        <w:t>nhuman or Degrading Treatment or Punishment (fifty-</w:t>
      </w:r>
      <w:r w:rsidR="00E3695B" w:rsidRPr="006E7692">
        <w:t>third</w:t>
      </w:r>
      <w:r w:rsidRPr="006E7692">
        <w:t xml:space="preserve"> session)</w:t>
      </w:r>
    </w:p>
    <w:p w:rsidR="001C4F61" w:rsidRPr="006E7692" w:rsidRDefault="00FC2B0A" w:rsidP="001C4F61">
      <w:pPr>
        <w:pStyle w:val="SingleTxtG"/>
        <w:contextualSpacing/>
      </w:pPr>
      <w:r w:rsidRPr="006E7692">
        <w:t>c</w:t>
      </w:r>
      <w:r w:rsidR="001C4F61" w:rsidRPr="006E7692">
        <w:t>oncerning</w:t>
      </w:r>
    </w:p>
    <w:p w:rsidR="001C4F61" w:rsidRPr="006E7692" w:rsidRDefault="001C4F61" w:rsidP="001C4F61">
      <w:pPr>
        <w:pStyle w:val="H1G"/>
        <w:contextualSpacing/>
      </w:pPr>
      <w:r w:rsidRPr="006E7692">
        <w:tab/>
      </w:r>
      <w:r w:rsidRPr="006E7692">
        <w:tab/>
        <w:t xml:space="preserve">Communication </w:t>
      </w:r>
      <w:r w:rsidR="006F5F8C" w:rsidRPr="006E7692">
        <w:t>No. </w:t>
      </w:r>
      <w:r w:rsidRPr="006E7692">
        <w:t>473/2011</w:t>
      </w:r>
    </w:p>
    <w:tbl>
      <w:tblPr>
        <w:tblW w:w="7371" w:type="dxa"/>
        <w:tblInd w:w="1200" w:type="dxa"/>
        <w:tblLayout w:type="fixed"/>
        <w:tblCellMar>
          <w:left w:w="0" w:type="dxa"/>
          <w:right w:w="0" w:type="dxa"/>
        </w:tblCellMar>
        <w:tblLook w:val="01E0" w:firstRow="1" w:lastRow="1" w:firstColumn="1" w:lastColumn="1" w:noHBand="0" w:noVBand="0"/>
      </w:tblPr>
      <w:tblGrid>
        <w:gridCol w:w="3373"/>
        <w:gridCol w:w="3998"/>
      </w:tblGrid>
      <w:tr w:rsidR="001C4F61" w:rsidRPr="006E7692" w:rsidTr="00B239B8">
        <w:tc>
          <w:tcPr>
            <w:tcW w:w="3343" w:type="dxa"/>
            <w:shd w:val="clear" w:color="auto" w:fill="auto"/>
          </w:tcPr>
          <w:p w:rsidR="001C4F61" w:rsidRPr="006E7692" w:rsidRDefault="001C4F61" w:rsidP="00D5275A">
            <w:pPr>
              <w:pStyle w:val="SingleTxtG"/>
              <w:ind w:left="0" w:right="0"/>
              <w:contextualSpacing/>
              <w:jc w:val="left"/>
              <w:rPr>
                <w:i/>
              </w:rPr>
            </w:pPr>
            <w:r w:rsidRPr="006E7692">
              <w:rPr>
                <w:i/>
              </w:rPr>
              <w:t>Submitted by:</w:t>
            </w:r>
          </w:p>
        </w:tc>
        <w:tc>
          <w:tcPr>
            <w:tcW w:w="3962" w:type="dxa"/>
            <w:shd w:val="clear" w:color="auto" w:fill="auto"/>
          </w:tcPr>
          <w:p w:rsidR="001C4F61" w:rsidRPr="006E7692" w:rsidRDefault="001C4F61" w:rsidP="00EB02FF">
            <w:pPr>
              <w:pStyle w:val="SingleTxtG"/>
              <w:ind w:left="0" w:right="0"/>
              <w:contextualSpacing/>
              <w:jc w:val="left"/>
            </w:pPr>
            <w:r w:rsidRPr="006E7692">
              <w:t>Hussein Khademi et al. (represented by counsel, Ber</w:t>
            </w:r>
            <w:r w:rsidR="00EB02FF" w:rsidRPr="006E7692">
              <w:t>n</w:t>
            </w:r>
            <w:r w:rsidRPr="006E7692">
              <w:t xml:space="preserve">hard </w:t>
            </w:r>
            <w:r w:rsidR="00FC2B0A" w:rsidRPr="006E7692">
              <w:t>Jüsi</w:t>
            </w:r>
            <w:r w:rsidRPr="006E7692">
              <w:t>)</w:t>
            </w:r>
          </w:p>
        </w:tc>
      </w:tr>
      <w:tr w:rsidR="001C4F61" w:rsidRPr="006E7692" w:rsidTr="00B239B8">
        <w:tc>
          <w:tcPr>
            <w:tcW w:w="3343" w:type="dxa"/>
            <w:shd w:val="clear" w:color="auto" w:fill="auto"/>
          </w:tcPr>
          <w:p w:rsidR="001C4F61" w:rsidRPr="006E7692" w:rsidRDefault="001C4F61" w:rsidP="00D5275A">
            <w:pPr>
              <w:pStyle w:val="SingleTxtG"/>
              <w:ind w:left="0" w:right="0"/>
              <w:contextualSpacing/>
              <w:jc w:val="left"/>
              <w:rPr>
                <w:i/>
              </w:rPr>
            </w:pPr>
            <w:r w:rsidRPr="006E7692">
              <w:rPr>
                <w:i/>
              </w:rPr>
              <w:t>Alleged victim:</w:t>
            </w:r>
          </w:p>
        </w:tc>
        <w:tc>
          <w:tcPr>
            <w:tcW w:w="3962" w:type="dxa"/>
            <w:shd w:val="clear" w:color="auto" w:fill="auto"/>
          </w:tcPr>
          <w:p w:rsidR="001C4F61" w:rsidRPr="006E7692" w:rsidRDefault="001C4F61" w:rsidP="00D5275A">
            <w:pPr>
              <w:pStyle w:val="SingleTxtG"/>
              <w:ind w:left="0" w:right="0"/>
              <w:contextualSpacing/>
              <w:jc w:val="left"/>
            </w:pPr>
            <w:r w:rsidRPr="006E7692">
              <w:t>The complainants</w:t>
            </w:r>
          </w:p>
        </w:tc>
      </w:tr>
      <w:tr w:rsidR="001C4F61" w:rsidRPr="006E7692" w:rsidTr="00B239B8">
        <w:tc>
          <w:tcPr>
            <w:tcW w:w="3343" w:type="dxa"/>
            <w:shd w:val="clear" w:color="auto" w:fill="auto"/>
          </w:tcPr>
          <w:p w:rsidR="001C4F61" w:rsidRPr="006E7692" w:rsidRDefault="001C4F61" w:rsidP="00D5275A">
            <w:pPr>
              <w:pStyle w:val="SingleTxtG"/>
              <w:ind w:left="0" w:right="0"/>
              <w:contextualSpacing/>
              <w:jc w:val="left"/>
              <w:rPr>
                <w:i/>
              </w:rPr>
            </w:pPr>
            <w:r w:rsidRPr="006E7692">
              <w:rPr>
                <w:i/>
              </w:rPr>
              <w:t>State party:</w:t>
            </w:r>
          </w:p>
        </w:tc>
        <w:tc>
          <w:tcPr>
            <w:tcW w:w="3962" w:type="dxa"/>
            <w:shd w:val="clear" w:color="auto" w:fill="auto"/>
          </w:tcPr>
          <w:p w:rsidR="001C4F61" w:rsidRPr="006E7692" w:rsidRDefault="001C4F61" w:rsidP="00D5275A">
            <w:pPr>
              <w:pStyle w:val="SingleTxtG"/>
              <w:ind w:left="0" w:right="0"/>
              <w:contextualSpacing/>
              <w:jc w:val="left"/>
            </w:pPr>
            <w:r w:rsidRPr="006E7692">
              <w:t>Switzerland</w:t>
            </w:r>
          </w:p>
        </w:tc>
      </w:tr>
      <w:tr w:rsidR="001C4F61" w:rsidRPr="006E7692" w:rsidTr="00B239B8">
        <w:tc>
          <w:tcPr>
            <w:tcW w:w="3343" w:type="dxa"/>
            <w:shd w:val="clear" w:color="auto" w:fill="auto"/>
          </w:tcPr>
          <w:p w:rsidR="001C4F61" w:rsidRPr="006E7692" w:rsidRDefault="001C4F61" w:rsidP="00D5275A">
            <w:pPr>
              <w:pStyle w:val="SingleTxtG"/>
              <w:ind w:left="0" w:right="0"/>
              <w:contextualSpacing/>
              <w:jc w:val="left"/>
              <w:rPr>
                <w:i/>
              </w:rPr>
            </w:pPr>
            <w:r w:rsidRPr="006E7692">
              <w:rPr>
                <w:i/>
              </w:rPr>
              <w:t>Date of complaint:</w:t>
            </w:r>
          </w:p>
        </w:tc>
        <w:tc>
          <w:tcPr>
            <w:tcW w:w="3962" w:type="dxa"/>
            <w:shd w:val="clear" w:color="auto" w:fill="auto"/>
          </w:tcPr>
          <w:p w:rsidR="001C4F61" w:rsidRPr="006E7692" w:rsidRDefault="001C4F61" w:rsidP="00D5275A">
            <w:pPr>
              <w:pStyle w:val="SingleTxtG"/>
              <w:ind w:left="0" w:right="0"/>
              <w:contextualSpacing/>
              <w:jc w:val="left"/>
            </w:pPr>
            <w:r w:rsidRPr="006E7692">
              <w:t>3 August 2011 (initial submission)</w:t>
            </w:r>
          </w:p>
        </w:tc>
      </w:tr>
    </w:tbl>
    <w:p w:rsidR="001C4F61" w:rsidRPr="006E7692" w:rsidRDefault="001C4F61" w:rsidP="001C4F61">
      <w:pPr>
        <w:pStyle w:val="SingleTxtG"/>
        <w:spacing w:before="120"/>
        <w:ind w:left="1138" w:right="1138"/>
      </w:pPr>
      <w:r w:rsidRPr="006E7692">
        <w:rPr>
          <w:i/>
        </w:rPr>
        <w:tab/>
        <w:t>The Committee against Torture</w:t>
      </w:r>
      <w:r w:rsidRPr="006E7692">
        <w:t xml:space="preserve">, established under </w:t>
      </w:r>
      <w:r w:rsidR="006F5F8C" w:rsidRPr="006E7692">
        <w:t>article </w:t>
      </w:r>
      <w:r w:rsidRPr="006E7692">
        <w:t>17 of the Convention against Torture and Other Cruel, Inhuman or Degrading Treatment or Punishment,</w:t>
      </w:r>
    </w:p>
    <w:p w:rsidR="001C4F61" w:rsidRPr="006E7692" w:rsidRDefault="001C4F61" w:rsidP="001C4F61">
      <w:pPr>
        <w:pStyle w:val="SingleTxtG"/>
      </w:pPr>
      <w:r w:rsidRPr="006E7692">
        <w:rPr>
          <w:i/>
        </w:rPr>
        <w:tab/>
        <w:t>Meeting</w:t>
      </w:r>
      <w:r w:rsidRPr="006E7692">
        <w:t xml:space="preserve"> on </w:t>
      </w:r>
      <w:r w:rsidR="00067CFC" w:rsidRPr="006E7692">
        <w:t>14 November</w:t>
      </w:r>
      <w:r w:rsidRPr="006E7692">
        <w:t xml:space="preserve"> 2014,</w:t>
      </w:r>
    </w:p>
    <w:p w:rsidR="001C4F61" w:rsidRPr="006E7692" w:rsidRDefault="001C4F61" w:rsidP="00EB02FF">
      <w:pPr>
        <w:pStyle w:val="SingleTxtG"/>
        <w:ind w:firstLine="567"/>
      </w:pPr>
      <w:r w:rsidRPr="006E7692">
        <w:rPr>
          <w:i/>
        </w:rPr>
        <w:t>Having concluded</w:t>
      </w:r>
      <w:r w:rsidRPr="006E7692">
        <w:t xml:space="preserve"> its consideration of complaint </w:t>
      </w:r>
      <w:r w:rsidR="006F5F8C" w:rsidRPr="006E7692">
        <w:t>No. </w:t>
      </w:r>
      <w:r w:rsidRPr="006E7692">
        <w:t xml:space="preserve">473/2011, submitted to the Committee against Torture </w:t>
      </w:r>
      <w:r w:rsidR="00FC2B0A" w:rsidRPr="006E7692">
        <w:t xml:space="preserve">by Bernhard Jüsi </w:t>
      </w:r>
      <w:r w:rsidRPr="006E7692">
        <w:t xml:space="preserve">on behalf of Hussein Khademi et al. under </w:t>
      </w:r>
      <w:r w:rsidR="006F5F8C" w:rsidRPr="006E7692">
        <w:t>article </w:t>
      </w:r>
      <w:r w:rsidRPr="006E7692">
        <w:t>22 of the Convention against Torture and Other Cruel, Inhuman or Degrading Treatment or Punishment,</w:t>
      </w:r>
    </w:p>
    <w:p w:rsidR="001C4F61" w:rsidRPr="006E7692" w:rsidRDefault="001C4F61" w:rsidP="00EB02FF">
      <w:pPr>
        <w:pStyle w:val="SingleTxtG"/>
      </w:pPr>
      <w:r w:rsidRPr="006E7692">
        <w:rPr>
          <w:i/>
        </w:rPr>
        <w:tab/>
        <w:t>Having taken into account</w:t>
      </w:r>
      <w:r w:rsidRPr="006E7692">
        <w:t xml:space="preserve"> all information made available to it by the complainant</w:t>
      </w:r>
      <w:r w:rsidR="00FC2B0A" w:rsidRPr="006E7692">
        <w:t>s</w:t>
      </w:r>
      <w:r w:rsidRPr="006E7692">
        <w:t xml:space="preserve">, </w:t>
      </w:r>
      <w:r w:rsidR="00FC2B0A" w:rsidRPr="006E7692">
        <w:t>their</w:t>
      </w:r>
      <w:r w:rsidRPr="006E7692">
        <w:t xml:space="preserve"> counsel and the State party,</w:t>
      </w:r>
    </w:p>
    <w:p w:rsidR="001C4F61" w:rsidRPr="006E7692" w:rsidRDefault="001C4F61" w:rsidP="001C4F61">
      <w:pPr>
        <w:pStyle w:val="SingleTxtG"/>
      </w:pPr>
      <w:r w:rsidRPr="006E7692">
        <w:rPr>
          <w:i/>
        </w:rPr>
        <w:tab/>
        <w:t>Adopts</w:t>
      </w:r>
      <w:r w:rsidRPr="006E7692">
        <w:t xml:space="preserve"> the following:</w:t>
      </w:r>
    </w:p>
    <w:p w:rsidR="001C4F61" w:rsidRPr="006E7692" w:rsidRDefault="001C4F61" w:rsidP="00EB02FF">
      <w:pPr>
        <w:pStyle w:val="H1G"/>
        <w:contextualSpacing/>
      </w:pPr>
      <w:r w:rsidRPr="006E7692">
        <w:tab/>
      </w:r>
      <w:r w:rsidRPr="006E7692">
        <w:tab/>
        <w:t xml:space="preserve">Decision under </w:t>
      </w:r>
      <w:r w:rsidR="006F5F8C" w:rsidRPr="006E7692">
        <w:t>article </w:t>
      </w:r>
      <w:r w:rsidRPr="006E7692">
        <w:t xml:space="preserve">22, </w:t>
      </w:r>
      <w:r w:rsidR="006F5F8C" w:rsidRPr="006E7692">
        <w:t>paragraph </w:t>
      </w:r>
      <w:r w:rsidRPr="006E7692">
        <w:t>7, of</w:t>
      </w:r>
      <w:r w:rsidR="007527F2" w:rsidRPr="006E7692">
        <w:t xml:space="preserve"> the Convention</w:t>
      </w:r>
      <w:r w:rsidR="00FC2B0A" w:rsidRPr="006E7692">
        <w:t xml:space="preserve"> </w:t>
      </w:r>
    </w:p>
    <w:p w:rsidR="001C4F61" w:rsidRPr="006E7692" w:rsidRDefault="006F5F8C" w:rsidP="00EB02FF">
      <w:pPr>
        <w:pStyle w:val="SingleTxtG"/>
      </w:pPr>
      <w:r w:rsidRPr="006E7692">
        <w:t>1.1</w:t>
      </w:r>
      <w:r w:rsidRPr="006E7692">
        <w:tab/>
        <w:t xml:space="preserve">The complainants are </w:t>
      </w:r>
      <w:r w:rsidR="001C4F61" w:rsidRPr="006E7692">
        <w:t>Hussein Khademi, born 23 September 1956, his wife</w:t>
      </w:r>
      <w:r w:rsidR="00FC2B0A" w:rsidRPr="006E7692">
        <w:t>,</w:t>
      </w:r>
      <w:r w:rsidR="001C4F61" w:rsidRPr="006E7692">
        <w:t xml:space="preserve"> Shahin Qadery, born 8 June 1969, and their children</w:t>
      </w:r>
      <w:r w:rsidR="00FC2B0A" w:rsidRPr="006E7692">
        <w:t>,</w:t>
      </w:r>
      <w:r w:rsidR="001C4F61" w:rsidRPr="006E7692">
        <w:t xml:space="preserve"> Ramyar, Zanyar, Mazyar and Kamyar, born in 1987, 1988, 1996 and 1997 respectively. All are nationals of the Islamic Republic of Iran. They claim that their expulsion to the Islamic Republic of Iran would constitute a violation by Switzerland of </w:t>
      </w:r>
      <w:r w:rsidRPr="006E7692">
        <w:t>article </w:t>
      </w:r>
      <w:r w:rsidR="001C4F61" w:rsidRPr="006E7692">
        <w:t xml:space="preserve">3 of the Convention against Torture and Other Cruel, Inhuman or Degrading Treatment or Punishment. They are represented by counsel, Bernhard </w:t>
      </w:r>
      <w:r w:rsidR="00EB02FF" w:rsidRPr="006E7692">
        <w:t>Jüsi</w:t>
      </w:r>
      <w:r w:rsidR="001C4F61" w:rsidRPr="006E7692">
        <w:t>.</w:t>
      </w:r>
    </w:p>
    <w:p w:rsidR="001C4F61" w:rsidRPr="006E7692" w:rsidRDefault="001C4F61" w:rsidP="00EB02FF">
      <w:pPr>
        <w:pStyle w:val="SingleTxtG"/>
      </w:pPr>
      <w:r w:rsidRPr="006E7692">
        <w:t>1.2</w:t>
      </w:r>
      <w:r w:rsidRPr="006E7692">
        <w:tab/>
        <w:t>On 5 August 2011, under rule 114</w:t>
      </w:r>
      <w:r w:rsidR="007527F2" w:rsidRPr="006E7692">
        <w:t xml:space="preserve"> (former rule </w:t>
      </w:r>
      <w:r w:rsidR="006F5F8C" w:rsidRPr="006E7692">
        <w:t>108</w:t>
      </w:r>
      <w:r w:rsidRPr="006E7692">
        <w:t>) of its rules of procedure (CAT/C/3/Rev.</w:t>
      </w:r>
      <w:r w:rsidR="00EB02FF" w:rsidRPr="006E7692">
        <w:t xml:space="preserve"> </w:t>
      </w:r>
      <w:r w:rsidRPr="006E7692">
        <w:t>5), the Committee requested the State party to refrain from expelling the complainants to the Islamic Republic of Iran while their complaint was under consideration by the Committee. On 23 August 2011, the State party informed the Committee that the Federal Office for Migration had requested the competent authorities to stay the execution of the expulsion order in relation to the complainants until further notice.</w:t>
      </w:r>
    </w:p>
    <w:p w:rsidR="001C4F61" w:rsidRPr="006E7692" w:rsidRDefault="001C4F61" w:rsidP="00EB02FF">
      <w:pPr>
        <w:pStyle w:val="H23G"/>
      </w:pPr>
      <w:r w:rsidRPr="006E7692">
        <w:lastRenderedPageBreak/>
        <w:tab/>
      </w:r>
      <w:r w:rsidRPr="006E7692">
        <w:tab/>
        <w:t xml:space="preserve">The facts as </w:t>
      </w:r>
      <w:r w:rsidR="00EB02FF" w:rsidRPr="006E7692">
        <w:t xml:space="preserve">submitted </w:t>
      </w:r>
      <w:r w:rsidRPr="006E7692">
        <w:t>by the complainant</w:t>
      </w:r>
    </w:p>
    <w:p w:rsidR="001C4F61" w:rsidRPr="006E7692" w:rsidRDefault="007527F2" w:rsidP="00982CF6">
      <w:pPr>
        <w:pStyle w:val="SingleTxtG"/>
        <w:rPr>
          <w:lang w:eastAsia="en-GB"/>
        </w:rPr>
      </w:pPr>
      <w:r w:rsidRPr="006E7692">
        <w:rPr>
          <w:lang w:eastAsia="en-GB"/>
        </w:rPr>
        <w:t>2.1</w:t>
      </w:r>
      <w:r w:rsidR="001C4F61" w:rsidRPr="006E7692">
        <w:rPr>
          <w:lang w:eastAsia="en-GB"/>
        </w:rPr>
        <w:tab/>
      </w:r>
      <w:r w:rsidR="00EB02FF" w:rsidRPr="006E7692">
        <w:t>Hussein Khademi</w:t>
      </w:r>
      <w:r w:rsidR="001C4F61" w:rsidRPr="006E7692">
        <w:rPr>
          <w:lang w:eastAsia="en-GB"/>
        </w:rPr>
        <w:t xml:space="preserve"> and his family are of Kurdish ethnicity. </w:t>
      </w:r>
      <w:r w:rsidR="00EB02FF" w:rsidRPr="006E7692">
        <w:rPr>
          <w:lang w:eastAsia="en-GB"/>
        </w:rPr>
        <w:t xml:space="preserve">Mr. </w:t>
      </w:r>
      <w:r w:rsidR="00EB02FF" w:rsidRPr="006E7692">
        <w:t>Khademi</w:t>
      </w:r>
      <w:r w:rsidR="001C4F61" w:rsidRPr="006E7692">
        <w:rPr>
          <w:lang w:eastAsia="en-GB"/>
        </w:rPr>
        <w:t xml:space="preserve"> was born in Divandareh</w:t>
      </w:r>
      <w:r w:rsidR="00EB02FF" w:rsidRPr="006E7692">
        <w:rPr>
          <w:lang w:eastAsia="en-GB"/>
        </w:rPr>
        <w:t>, Kurdistan Province, Islamic Republic of Iran</w:t>
      </w:r>
      <w:r w:rsidR="001C4F61" w:rsidRPr="006E7692">
        <w:rPr>
          <w:lang w:eastAsia="en-GB"/>
        </w:rPr>
        <w:t xml:space="preserve"> and moved to </w:t>
      </w:r>
      <w:r w:rsidR="00BA09EA" w:rsidRPr="006E7692">
        <w:rPr>
          <w:lang w:eastAsia="en-GB"/>
        </w:rPr>
        <w:t>Mari</w:t>
      </w:r>
      <w:r w:rsidR="001C4F61" w:rsidRPr="006E7692">
        <w:rPr>
          <w:lang w:eastAsia="en-GB"/>
        </w:rPr>
        <w:t xml:space="preserve">van in 1969, where he joined the “Peshmerga,” an armed </w:t>
      </w:r>
      <w:r w:rsidR="00EB02FF" w:rsidRPr="006E7692">
        <w:rPr>
          <w:lang w:eastAsia="en-GB"/>
        </w:rPr>
        <w:t>force</w:t>
      </w:r>
      <w:r w:rsidR="001C4F61" w:rsidRPr="006E7692">
        <w:rPr>
          <w:lang w:eastAsia="en-GB"/>
        </w:rPr>
        <w:t xml:space="preserve"> of the Democratic Party of </w:t>
      </w:r>
      <w:r w:rsidR="00982CF6" w:rsidRPr="006E7692">
        <w:rPr>
          <w:lang w:eastAsia="en-GB"/>
        </w:rPr>
        <w:t>(</w:t>
      </w:r>
      <w:r w:rsidR="001C4F61" w:rsidRPr="006E7692">
        <w:rPr>
          <w:lang w:eastAsia="en-GB"/>
        </w:rPr>
        <w:t>Iranian</w:t>
      </w:r>
      <w:r w:rsidR="00982CF6" w:rsidRPr="006E7692">
        <w:rPr>
          <w:lang w:eastAsia="en-GB"/>
        </w:rPr>
        <w:t>)</w:t>
      </w:r>
      <w:r w:rsidR="006F5F8C" w:rsidRPr="006E7692">
        <w:rPr>
          <w:lang w:eastAsia="en-GB"/>
        </w:rPr>
        <w:t xml:space="preserve"> </w:t>
      </w:r>
      <w:r w:rsidR="001C4F61" w:rsidRPr="006E7692">
        <w:rPr>
          <w:lang w:eastAsia="en-GB"/>
        </w:rPr>
        <w:t>Kurdistan (KDPI) at the age of 18 or 20</w:t>
      </w:r>
      <w:r w:rsidR="007A5C28" w:rsidRPr="006E7692">
        <w:rPr>
          <w:lang w:eastAsia="en-GB"/>
        </w:rPr>
        <w:t xml:space="preserve"> years</w:t>
      </w:r>
      <w:r w:rsidR="001C4F61" w:rsidRPr="006E7692">
        <w:rPr>
          <w:lang w:eastAsia="en-GB"/>
        </w:rPr>
        <w:t xml:space="preserve">. As an active </w:t>
      </w:r>
      <w:r w:rsidR="00982CF6" w:rsidRPr="006E7692">
        <w:rPr>
          <w:lang w:eastAsia="en-GB"/>
        </w:rPr>
        <w:t>p</w:t>
      </w:r>
      <w:r w:rsidR="001C4F61" w:rsidRPr="006E7692">
        <w:rPr>
          <w:lang w:eastAsia="en-GB"/>
        </w:rPr>
        <w:t xml:space="preserve">eshmerga for three years, he participated in both combat operations and attacks against military structures. He also assisted and accompanied his father, a KDPI group leader. After leaving the Peshmerga, he </w:t>
      </w:r>
      <w:r w:rsidR="00982CF6" w:rsidRPr="006E7692">
        <w:rPr>
          <w:lang w:eastAsia="en-GB"/>
        </w:rPr>
        <w:t>went to</w:t>
      </w:r>
      <w:r w:rsidR="001C4F61" w:rsidRPr="006E7692">
        <w:rPr>
          <w:lang w:eastAsia="en-GB"/>
        </w:rPr>
        <w:t xml:space="preserve"> worked in Tehran and Bandar Abbas</w:t>
      </w:r>
      <w:r w:rsidR="00982CF6" w:rsidRPr="006E7692">
        <w:rPr>
          <w:lang w:eastAsia="en-GB"/>
        </w:rPr>
        <w:t>,</w:t>
      </w:r>
      <w:r w:rsidR="001C4F61" w:rsidRPr="006E7692">
        <w:rPr>
          <w:lang w:eastAsia="en-GB"/>
        </w:rPr>
        <w:t xml:space="preserve"> before returning to </w:t>
      </w:r>
      <w:r w:rsidR="00BA09EA" w:rsidRPr="006E7692">
        <w:rPr>
          <w:lang w:eastAsia="en-GB"/>
        </w:rPr>
        <w:t>Mari</w:t>
      </w:r>
      <w:r w:rsidR="001C4F61" w:rsidRPr="006E7692">
        <w:rPr>
          <w:lang w:eastAsia="en-GB"/>
        </w:rPr>
        <w:t xml:space="preserve">van in 1986. </w:t>
      </w:r>
      <w:r w:rsidR="00982CF6" w:rsidRPr="006E7692">
        <w:rPr>
          <w:lang w:eastAsia="en-GB"/>
        </w:rPr>
        <w:t>H</w:t>
      </w:r>
      <w:r w:rsidR="001C4F61" w:rsidRPr="006E7692">
        <w:rPr>
          <w:lang w:eastAsia="en-GB"/>
        </w:rPr>
        <w:t>e married his wife</w:t>
      </w:r>
      <w:r w:rsidR="00982CF6" w:rsidRPr="006E7692">
        <w:rPr>
          <w:lang w:eastAsia="en-GB"/>
        </w:rPr>
        <w:t xml:space="preserve"> in </w:t>
      </w:r>
      <w:r w:rsidR="00BA09EA" w:rsidRPr="006E7692">
        <w:rPr>
          <w:lang w:eastAsia="en-GB"/>
        </w:rPr>
        <w:t>Mari</w:t>
      </w:r>
      <w:r w:rsidR="00982CF6" w:rsidRPr="006E7692">
        <w:rPr>
          <w:lang w:eastAsia="en-GB"/>
        </w:rPr>
        <w:t>van</w:t>
      </w:r>
      <w:r w:rsidR="001C4F61" w:rsidRPr="006E7692">
        <w:rPr>
          <w:lang w:eastAsia="en-GB"/>
        </w:rPr>
        <w:t xml:space="preserve">, </w:t>
      </w:r>
      <w:r w:rsidR="00982CF6" w:rsidRPr="006E7692">
        <w:rPr>
          <w:lang w:eastAsia="en-GB"/>
        </w:rPr>
        <w:t xml:space="preserve">where he </w:t>
      </w:r>
      <w:r w:rsidR="001C4F61" w:rsidRPr="006E7692">
        <w:rPr>
          <w:lang w:eastAsia="en-GB"/>
        </w:rPr>
        <w:t xml:space="preserve">worked as a butcher and owned a small store. </w:t>
      </w:r>
    </w:p>
    <w:p w:rsidR="001C4F61" w:rsidRPr="006E7692" w:rsidRDefault="001C4F61" w:rsidP="003E313E">
      <w:pPr>
        <w:pStyle w:val="SingleTxtG"/>
        <w:rPr>
          <w:lang w:eastAsia="en-GB"/>
        </w:rPr>
      </w:pPr>
      <w:r w:rsidRPr="006E7692">
        <w:rPr>
          <w:lang w:eastAsia="en-GB"/>
        </w:rPr>
        <w:t>2.2</w:t>
      </w:r>
      <w:r w:rsidRPr="006E7692">
        <w:rPr>
          <w:lang w:eastAsia="en-GB"/>
        </w:rPr>
        <w:tab/>
        <w:t xml:space="preserve">In 1991, the </w:t>
      </w:r>
      <w:r w:rsidR="00982CF6" w:rsidRPr="006E7692">
        <w:rPr>
          <w:lang w:eastAsia="en-GB"/>
        </w:rPr>
        <w:t>Mr. Khademi</w:t>
      </w:r>
      <w:r w:rsidRPr="006E7692">
        <w:rPr>
          <w:lang w:eastAsia="en-GB"/>
        </w:rPr>
        <w:t xml:space="preserve"> was summoned by the ET</w:t>
      </w:r>
      <w:r w:rsidR="00962065" w:rsidRPr="006E7692">
        <w:rPr>
          <w:lang w:eastAsia="en-GB"/>
        </w:rPr>
        <w:t>E</w:t>
      </w:r>
      <w:r w:rsidRPr="006E7692">
        <w:rPr>
          <w:lang w:eastAsia="en-GB"/>
        </w:rPr>
        <w:t xml:space="preserve">LAAT, </w:t>
      </w:r>
      <w:r w:rsidR="005C4708" w:rsidRPr="006E7692">
        <w:rPr>
          <w:lang w:eastAsia="en-GB"/>
        </w:rPr>
        <w:t xml:space="preserve">the </w:t>
      </w:r>
      <w:r w:rsidR="00BD12B8" w:rsidRPr="006E7692">
        <w:rPr>
          <w:lang w:eastAsia="en-GB"/>
        </w:rPr>
        <w:t>Iranian intelligence</w:t>
      </w:r>
      <w:r w:rsidRPr="006E7692">
        <w:rPr>
          <w:lang w:eastAsia="en-GB"/>
        </w:rPr>
        <w:t xml:space="preserve"> </w:t>
      </w:r>
      <w:r w:rsidR="00BD12B8" w:rsidRPr="006E7692">
        <w:rPr>
          <w:lang w:eastAsia="en-GB"/>
        </w:rPr>
        <w:t>s</w:t>
      </w:r>
      <w:r w:rsidRPr="006E7692">
        <w:rPr>
          <w:lang w:eastAsia="en-GB"/>
        </w:rPr>
        <w:t xml:space="preserve">ervices police. Upon his arrival at the ETELAAT station, he was blindfolded and left in a fenced courtyard for three days. On the fourth day he attempted to escape, but was caught and beaten by two prison guards. Bones in his right hand were broken. The </w:t>
      </w:r>
      <w:r w:rsidR="00962065" w:rsidRPr="006E7692">
        <w:rPr>
          <w:lang w:eastAsia="en-GB"/>
        </w:rPr>
        <w:t>ETELAAT</w:t>
      </w:r>
      <w:r w:rsidRPr="006E7692">
        <w:rPr>
          <w:lang w:eastAsia="en-GB"/>
        </w:rPr>
        <w:t xml:space="preserve"> accused </w:t>
      </w:r>
      <w:r w:rsidR="00BD12B8" w:rsidRPr="006E7692">
        <w:rPr>
          <w:lang w:eastAsia="en-GB"/>
        </w:rPr>
        <w:t>him</w:t>
      </w:r>
      <w:r w:rsidRPr="006E7692">
        <w:rPr>
          <w:lang w:eastAsia="en-GB"/>
        </w:rPr>
        <w:t xml:space="preserve"> of spying for the KDPI in exile, </w:t>
      </w:r>
      <w:r w:rsidR="00BD12B8" w:rsidRPr="006E7692">
        <w:rPr>
          <w:lang w:eastAsia="en-GB"/>
        </w:rPr>
        <w:t xml:space="preserve">carrying out </w:t>
      </w:r>
      <w:r w:rsidRPr="006E7692">
        <w:rPr>
          <w:lang w:eastAsia="en-GB"/>
        </w:rPr>
        <w:t xml:space="preserve">dissident activities and threatening national security. He was kept in the </w:t>
      </w:r>
      <w:r w:rsidR="00962065" w:rsidRPr="006E7692">
        <w:rPr>
          <w:lang w:eastAsia="en-GB"/>
        </w:rPr>
        <w:t>ETELAAT</w:t>
      </w:r>
      <w:r w:rsidRPr="006E7692">
        <w:rPr>
          <w:lang w:eastAsia="en-GB"/>
        </w:rPr>
        <w:t xml:space="preserve"> prison in </w:t>
      </w:r>
      <w:r w:rsidR="00BA09EA" w:rsidRPr="006E7692">
        <w:rPr>
          <w:lang w:eastAsia="en-GB"/>
        </w:rPr>
        <w:t>Mari</w:t>
      </w:r>
      <w:r w:rsidRPr="006E7692">
        <w:rPr>
          <w:lang w:eastAsia="en-GB"/>
        </w:rPr>
        <w:t xml:space="preserve">van for </w:t>
      </w:r>
      <w:r w:rsidR="00BD12B8" w:rsidRPr="006E7692">
        <w:rPr>
          <w:lang w:eastAsia="en-GB"/>
        </w:rPr>
        <w:t>18</w:t>
      </w:r>
      <w:r w:rsidRPr="006E7692">
        <w:rPr>
          <w:lang w:eastAsia="en-GB"/>
        </w:rPr>
        <w:t xml:space="preserve"> months, eight of which were spent in solitary confinement. He was subjected to questioning and beatings on an almost daily basis, </w:t>
      </w:r>
      <w:r w:rsidR="00BD12B8" w:rsidRPr="006E7692">
        <w:rPr>
          <w:lang w:eastAsia="en-GB"/>
        </w:rPr>
        <w:t xml:space="preserve">as well as </w:t>
      </w:r>
      <w:r w:rsidRPr="006E7692">
        <w:rPr>
          <w:lang w:eastAsia="en-GB"/>
        </w:rPr>
        <w:t xml:space="preserve">floggings and electric shocks. </w:t>
      </w:r>
      <w:r w:rsidR="00BD12B8" w:rsidRPr="006E7692">
        <w:rPr>
          <w:lang w:eastAsia="en-GB"/>
        </w:rPr>
        <w:t>Mr. Khademi</w:t>
      </w:r>
      <w:r w:rsidRPr="006E7692">
        <w:rPr>
          <w:lang w:eastAsia="en-GB"/>
        </w:rPr>
        <w:t>’s family only learn</w:t>
      </w:r>
      <w:r w:rsidR="003E313E" w:rsidRPr="006E7692">
        <w:rPr>
          <w:lang w:eastAsia="en-GB"/>
        </w:rPr>
        <w:t>ed</w:t>
      </w:r>
      <w:r w:rsidRPr="006E7692">
        <w:rPr>
          <w:lang w:eastAsia="en-GB"/>
        </w:rPr>
        <w:t xml:space="preserve"> of his whereabouts eight months into his detention. </w:t>
      </w:r>
    </w:p>
    <w:p w:rsidR="001C4F61" w:rsidRPr="006E7692" w:rsidRDefault="001C4F61" w:rsidP="007527F2">
      <w:pPr>
        <w:pStyle w:val="SingleTxtG"/>
        <w:rPr>
          <w:lang w:eastAsia="en-GB"/>
        </w:rPr>
      </w:pPr>
      <w:r w:rsidRPr="006E7692">
        <w:rPr>
          <w:lang w:eastAsia="en-GB"/>
        </w:rPr>
        <w:t>2.3</w:t>
      </w:r>
      <w:r w:rsidRPr="006E7692">
        <w:rPr>
          <w:lang w:eastAsia="en-GB"/>
        </w:rPr>
        <w:tab/>
        <w:t xml:space="preserve">In the summer of 1993, </w:t>
      </w:r>
      <w:r w:rsidR="003E313E" w:rsidRPr="006E7692">
        <w:rPr>
          <w:lang w:eastAsia="en-GB"/>
        </w:rPr>
        <w:t>Mr. Khademi</w:t>
      </w:r>
      <w:r w:rsidRPr="006E7692">
        <w:rPr>
          <w:lang w:eastAsia="en-GB"/>
        </w:rPr>
        <w:t xml:space="preserve"> was transferred to Sanandaj and formally prosecuted and sentenced to death. He successfully appealed the verdict, however, and as a result was instead sentenced to 15</w:t>
      </w:r>
      <w:r w:rsidR="007527F2" w:rsidRPr="006E7692">
        <w:rPr>
          <w:lang w:eastAsia="en-GB"/>
        </w:rPr>
        <w:t> </w:t>
      </w:r>
      <w:r w:rsidRPr="006E7692">
        <w:rPr>
          <w:lang w:eastAsia="en-GB"/>
        </w:rPr>
        <w:t xml:space="preserve">years in exile in the city of Yazd. He was obliged to report to the </w:t>
      </w:r>
      <w:r w:rsidR="00962065" w:rsidRPr="006E7692">
        <w:rPr>
          <w:lang w:eastAsia="en-GB"/>
        </w:rPr>
        <w:t>ETELAAT</w:t>
      </w:r>
      <w:r w:rsidRPr="006E7692">
        <w:rPr>
          <w:lang w:eastAsia="en-GB"/>
        </w:rPr>
        <w:t xml:space="preserve"> on a daily basis during this time. The complainant’s father was also arrested, held in prison for three years a</w:t>
      </w:r>
      <w:r w:rsidR="007527F2" w:rsidRPr="006E7692">
        <w:rPr>
          <w:lang w:eastAsia="en-GB"/>
        </w:rPr>
        <w:t>nd subsequently sentenced to 15 </w:t>
      </w:r>
      <w:r w:rsidRPr="006E7692">
        <w:rPr>
          <w:lang w:eastAsia="en-GB"/>
        </w:rPr>
        <w:t xml:space="preserve">years in exile in the city of Kashan. </w:t>
      </w:r>
    </w:p>
    <w:p w:rsidR="001C4F61" w:rsidRPr="006E7692" w:rsidRDefault="001C4F61" w:rsidP="005E7CAE">
      <w:pPr>
        <w:pStyle w:val="SingleTxtG"/>
        <w:rPr>
          <w:lang w:eastAsia="en-GB"/>
        </w:rPr>
      </w:pPr>
      <w:r w:rsidRPr="006E7692">
        <w:rPr>
          <w:lang w:eastAsia="en-GB"/>
        </w:rPr>
        <w:t>2.4</w:t>
      </w:r>
      <w:r w:rsidRPr="006E7692">
        <w:rPr>
          <w:lang w:eastAsia="en-GB"/>
        </w:rPr>
        <w:tab/>
        <w:t xml:space="preserve">In March 2001, </w:t>
      </w:r>
      <w:r w:rsidR="003E313E" w:rsidRPr="006E7692">
        <w:rPr>
          <w:lang w:eastAsia="en-GB"/>
        </w:rPr>
        <w:t>Mr. Khademi</w:t>
      </w:r>
      <w:r w:rsidRPr="006E7692">
        <w:rPr>
          <w:lang w:eastAsia="en-GB"/>
        </w:rPr>
        <w:t xml:space="preserve"> returned to </w:t>
      </w:r>
      <w:r w:rsidR="00BA09EA" w:rsidRPr="006E7692">
        <w:rPr>
          <w:lang w:eastAsia="en-GB"/>
        </w:rPr>
        <w:t>Mari</w:t>
      </w:r>
      <w:r w:rsidRPr="006E7692">
        <w:rPr>
          <w:lang w:eastAsia="en-GB"/>
        </w:rPr>
        <w:t>van</w:t>
      </w:r>
      <w:r w:rsidR="00A80B3D" w:rsidRPr="006E7692">
        <w:rPr>
          <w:lang w:eastAsia="en-GB"/>
        </w:rPr>
        <w:t>,</w:t>
      </w:r>
      <w:r w:rsidRPr="006E7692">
        <w:rPr>
          <w:lang w:eastAsia="en-GB"/>
        </w:rPr>
        <w:t xml:space="preserve"> while on leave</w:t>
      </w:r>
      <w:r w:rsidR="00A80B3D" w:rsidRPr="006E7692">
        <w:rPr>
          <w:lang w:eastAsia="en-GB"/>
        </w:rPr>
        <w:t>,</w:t>
      </w:r>
      <w:r w:rsidRPr="006E7692">
        <w:rPr>
          <w:lang w:eastAsia="en-GB"/>
        </w:rPr>
        <w:t xml:space="preserve"> to visit his mother and sisters on the occasion of N</w:t>
      </w:r>
      <w:r w:rsidR="000E2D00" w:rsidRPr="006E7692">
        <w:rPr>
          <w:lang w:eastAsia="en-GB"/>
        </w:rPr>
        <w:t>owruz</w:t>
      </w:r>
      <w:r w:rsidRPr="006E7692">
        <w:rPr>
          <w:lang w:eastAsia="en-GB"/>
        </w:rPr>
        <w:t>.</w:t>
      </w:r>
      <w:r w:rsidR="007E6FC6" w:rsidRPr="006E7692">
        <w:rPr>
          <w:rStyle w:val="FootnoteReference"/>
          <w:lang w:eastAsia="en-GB"/>
        </w:rPr>
        <w:footnoteReference w:id="2"/>
      </w:r>
      <w:r w:rsidRPr="006E7692">
        <w:rPr>
          <w:lang w:eastAsia="en-GB"/>
        </w:rPr>
        <w:t xml:space="preserve"> In the city centre, opposition supporters were demonstrating against the regime. That same evening</w:t>
      </w:r>
      <w:r w:rsidR="000E2D00" w:rsidRPr="006E7692">
        <w:rPr>
          <w:lang w:eastAsia="en-GB"/>
        </w:rPr>
        <w:t>,</w:t>
      </w:r>
      <w:r w:rsidRPr="006E7692">
        <w:rPr>
          <w:lang w:eastAsia="en-GB"/>
        </w:rPr>
        <w:t xml:space="preserve"> </w:t>
      </w:r>
      <w:r w:rsidR="003E313E" w:rsidRPr="006E7692">
        <w:rPr>
          <w:lang w:eastAsia="en-GB"/>
        </w:rPr>
        <w:t>Mr. Khademi</w:t>
      </w:r>
      <w:r w:rsidRPr="006E7692">
        <w:rPr>
          <w:lang w:eastAsia="en-GB"/>
        </w:rPr>
        <w:t xml:space="preserve"> received a phone call from his brother warning him that the </w:t>
      </w:r>
      <w:r w:rsidR="00962065" w:rsidRPr="006E7692">
        <w:rPr>
          <w:lang w:eastAsia="en-GB"/>
        </w:rPr>
        <w:t>ETELAAT</w:t>
      </w:r>
      <w:r w:rsidRPr="006E7692">
        <w:rPr>
          <w:lang w:eastAsia="en-GB"/>
        </w:rPr>
        <w:t xml:space="preserve"> had come to arrest him on the grounds that he had been filmed in the proximity of the demonstrators earlier that day. Members of the </w:t>
      </w:r>
      <w:r w:rsidR="00962065" w:rsidRPr="006E7692">
        <w:rPr>
          <w:lang w:eastAsia="en-GB"/>
        </w:rPr>
        <w:t>ETELAAT</w:t>
      </w:r>
      <w:r w:rsidRPr="006E7692">
        <w:rPr>
          <w:lang w:eastAsia="en-GB"/>
        </w:rPr>
        <w:t xml:space="preserve"> searched his house </w:t>
      </w:r>
      <w:r w:rsidR="000E2D00" w:rsidRPr="006E7692">
        <w:rPr>
          <w:lang w:eastAsia="en-GB"/>
        </w:rPr>
        <w:t xml:space="preserve">in Yazd </w:t>
      </w:r>
      <w:r w:rsidRPr="006E7692">
        <w:rPr>
          <w:lang w:eastAsia="en-GB"/>
        </w:rPr>
        <w:t xml:space="preserve">several times </w:t>
      </w:r>
      <w:r w:rsidR="000E2D00" w:rsidRPr="006E7692">
        <w:rPr>
          <w:lang w:eastAsia="en-GB"/>
        </w:rPr>
        <w:t xml:space="preserve">looking </w:t>
      </w:r>
      <w:r w:rsidRPr="006E7692">
        <w:rPr>
          <w:lang w:eastAsia="en-GB"/>
        </w:rPr>
        <w:t>for incriminating material</w:t>
      </w:r>
      <w:r w:rsidR="000E2D00" w:rsidRPr="006E7692">
        <w:rPr>
          <w:lang w:eastAsia="en-GB"/>
        </w:rPr>
        <w:t>; they</w:t>
      </w:r>
      <w:r w:rsidRPr="006E7692">
        <w:rPr>
          <w:lang w:eastAsia="en-GB"/>
        </w:rPr>
        <w:t xml:space="preserve"> arrested his eldest son,</w:t>
      </w:r>
      <w:r w:rsidR="000E2D00" w:rsidRPr="006E7692">
        <w:rPr>
          <w:lang w:eastAsia="en-GB"/>
        </w:rPr>
        <w:t xml:space="preserve"> Ramyar,</w:t>
      </w:r>
      <w:r w:rsidRPr="006E7692">
        <w:rPr>
          <w:lang w:eastAsia="en-GB"/>
        </w:rPr>
        <w:t xml:space="preserve"> who was detained at the police station in Yazd for two days before being released upon payment by </w:t>
      </w:r>
      <w:r w:rsidR="000E2D00" w:rsidRPr="006E7692">
        <w:rPr>
          <w:lang w:eastAsia="en-GB"/>
        </w:rPr>
        <w:t>Mr. Khademi</w:t>
      </w:r>
      <w:r w:rsidRPr="006E7692">
        <w:rPr>
          <w:lang w:eastAsia="en-GB"/>
        </w:rPr>
        <w:t xml:space="preserve">’s friend, Ashkezari. </w:t>
      </w:r>
      <w:r w:rsidR="003E313E" w:rsidRPr="006E7692">
        <w:rPr>
          <w:lang w:eastAsia="en-GB"/>
        </w:rPr>
        <w:t>Mr. Khademi</w:t>
      </w:r>
      <w:r w:rsidRPr="006E7692">
        <w:rPr>
          <w:lang w:eastAsia="en-GB"/>
        </w:rPr>
        <w:t xml:space="preserve"> fled to Mehriz to a friend’s house, where his family joined him a few days later and together they left </w:t>
      </w:r>
      <w:r w:rsidR="000E2D00" w:rsidRPr="006E7692">
        <w:rPr>
          <w:lang w:eastAsia="en-GB"/>
        </w:rPr>
        <w:t>for</w:t>
      </w:r>
      <w:r w:rsidRPr="006E7692">
        <w:rPr>
          <w:lang w:eastAsia="en-GB"/>
        </w:rPr>
        <w:t xml:space="preserve"> Saqiz. On 2 April 2001, </w:t>
      </w:r>
      <w:r w:rsidR="003E313E" w:rsidRPr="006E7692">
        <w:rPr>
          <w:lang w:eastAsia="en-GB"/>
        </w:rPr>
        <w:t>Mr. Khademi</w:t>
      </w:r>
      <w:r w:rsidRPr="006E7692">
        <w:rPr>
          <w:lang w:eastAsia="en-GB"/>
        </w:rPr>
        <w:t xml:space="preserve"> and his eldest son</w:t>
      </w:r>
      <w:r w:rsidR="000E2D00" w:rsidRPr="006E7692">
        <w:rPr>
          <w:lang w:eastAsia="en-GB"/>
        </w:rPr>
        <w:t>, Ramyar,</w:t>
      </w:r>
      <w:r w:rsidRPr="006E7692">
        <w:rPr>
          <w:lang w:eastAsia="en-GB"/>
        </w:rPr>
        <w:t xml:space="preserve"> crossed illegally into Iraq, where the remaining family members joined them one month later. Together</w:t>
      </w:r>
      <w:r w:rsidR="000E2D00" w:rsidRPr="006E7692">
        <w:rPr>
          <w:lang w:eastAsia="en-GB"/>
        </w:rPr>
        <w:t>,</w:t>
      </w:r>
      <w:r w:rsidRPr="006E7692">
        <w:rPr>
          <w:lang w:eastAsia="en-GB"/>
        </w:rPr>
        <w:t xml:space="preserve"> they fled to Erbil </w:t>
      </w:r>
      <w:r w:rsidR="000E2D00" w:rsidRPr="006E7692">
        <w:rPr>
          <w:lang w:eastAsia="en-GB"/>
        </w:rPr>
        <w:t xml:space="preserve">in the Kurdistan region of Iraq, </w:t>
      </w:r>
      <w:r w:rsidRPr="006E7692">
        <w:rPr>
          <w:lang w:eastAsia="en-GB"/>
        </w:rPr>
        <w:t>where they were recogni</w:t>
      </w:r>
      <w:r w:rsidR="000E2D00" w:rsidRPr="006E7692">
        <w:rPr>
          <w:lang w:eastAsia="en-GB"/>
        </w:rPr>
        <w:t>z</w:t>
      </w:r>
      <w:r w:rsidRPr="006E7692">
        <w:rPr>
          <w:lang w:eastAsia="en-GB"/>
        </w:rPr>
        <w:t xml:space="preserve">ed as refugees by </w:t>
      </w:r>
      <w:r w:rsidR="000E2D00" w:rsidRPr="006E7692">
        <w:rPr>
          <w:lang w:eastAsia="en-GB"/>
        </w:rPr>
        <w:t>the Office of the United Nations High Commissioner for Refugees (</w:t>
      </w:r>
      <w:r w:rsidRPr="006E7692">
        <w:rPr>
          <w:lang w:eastAsia="en-GB"/>
        </w:rPr>
        <w:t>UNHCR</w:t>
      </w:r>
      <w:r w:rsidR="000E2D00" w:rsidRPr="006E7692">
        <w:rPr>
          <w:lang w:eastAsia="en-GB"/>
        </w:rPr>
        <w:t>)</w:t>
      </w:r>
      <w:r w:rsidRPr="006E7692">
        <w:rPr>
          <w:lang w:eastAsia="en-GB"/>
        </w:rPr>
        <w:t xml:space="preserve"> and issued residency permit</w:t>
      </w:r>
      <w:r w:rsidR="000E2D00" w:rsidRPr="006E7692">
        <w:rPr>
          <w:lang w:eastAsia="en-GB"/>
        </w:rPr>
        <w:t>s</w:t>
      </w:r>
      <w:r w:rsidRPr="006E7692">
        <w:rPr>
          <w:lang w:eastAsia="en-GB"/>
        </w:rPr>
        <w:t xml:space="preserve"> by the Kurdish Democratic Party (KDP). </w:t>
      </w:r>
      <w:r w:rsidR="00F02F74" w:rsidRPr="006E7692">
        <w:rPr>
          <w:lang w:eastAsia="en-GB"/>
        </w:rPr>
        <w:t>However, f</w:t>
      </w:r>
      <w:r w:rsidRPr="006E7692">
        <w:rPr>
          <w:lang w:eastAsia="en-GB"/>
        </w:rPr>
        <w:t xml:space="preserve">earing for his life after two assassination attempts in Erbil by </w:t>
      </w:r>
      <w:r w:rsidR="00F02F74" w:rsidRPr="006E7692">
        <w:rPr>
          <w:lang w:eastAsia="en-GB"/>
        </w:rPr>
        <w:t xml:space="preserve">the </w:t>
      </w:r>
      <w:r w:rsidR="00BA09EA" w:rsidRPr="006E7692">
        <w:rPr>
          <w:lang w:eastAsia="en-GB"/>
        </w:rPr>
        <w:t>Mari</w:t>
      </w:r>
      <w:r w:rsidRPr="006E7692">
        <w:rPr>
          <w:lang w:eastAsia="en-GB"/>
        </w:rPr>
        <w:t xml:space="preserve">van </w:t>
      </w:r>
      <w:r w:rsidR="00962065" w:rsidRPr="006E7692">
        <w:rPr>
          <w:lang w:eastAsia="en-GB"/>
        </w:rPr>
        <w:t>ETELAAT</w:t>
      </w:r>
      <w:r w:rsidRPr="006E7692">
        <w:rPr>
          <w:lang w:eastAsia="en-GB"/>
        </w:rPr>
        <w:t xml:space="preserve"> section, </w:t>
      </w:r>
      <w:r w:rsidR="003E313E" w:rsidRPr="006E7692">
        <w:rPr>
          <w:lang w:eastAsia="en-GB"/>
        </w:rPr>
        <w:t>Mr. Khademi</w:t>
      </w:r>
      <w:r w:rsidRPr="006E7692">
        <w:rPr>
          <w:lang w:eastAsia="en-GB"/>
        </w:rPr>
        <w:t xml:space="preserve"> and his family left Iraq for Greece </w:t>
      </w:r>
      <w:r w:rsidR="00F02F74" w:rsidRPr="006E7692">
        <w:rPr>
          <w:lang w:eastAsia="en-GB"/>
        </w:rPr>
        <w:t>via</w:t>
      </w:r>
      <w:r w:rsidRPr="006E7692">
        <w:rPr>
          <w:lang w:eastAsia="en-GB"/>
        </w:rPr>
        <w:t xml:space="preserve"> Turkey in 2003. After receiving an expulsion order four years later, the family left Greece and travelled to Switzerland, where they filed an asylum </w:t>
      </w:r>
      <w:r w:rsidR="00F02F74" w:rsidRPr="006E7692">
        <w:rPr>
          <w:lang w:eastAsia="en-GB"/>
        </w:rPr>
        <w:t>application</w:t>
      </w:r>
      <w:r w:rsidRPr="006E7692">
        <w:rPr>
          <w:lang w:eastAsia="en-GB"/>
        </w:rPr>
        <w:t xml:space="preserve"> on 27 August 2007 and 3 September 2007. The complainants initially did not reveal the fact that they had been in Greece for fear of being expelled there under the Dublin regulations. Furthermore, on 22 September 2008, Radio Kurdistan broadcasted an obituary for the </w:t>
      </w:r>
      <w:r w:rsidR="00F02F74" w:rsidRPr="006E7692">
        <w:rPr>
          <w:lang w:eastAsia="en-GB"/>
        </w:rPr>
        <w:t>Mr. Khademi</w:t>
      </w:r>
      <w:r w:rsidRPr="006E7692">
        <w:rPr>
          <w:lang w:eastAsia="en-GB"/>
        </w:rPr>
        <w:t xml:space="preserve">’s deceased father, in which both the complainant and his father’s activities </w:t>
      </w:r>
      <w:r w:rsidR="00ED356F" w:rsidRPr="006E7692">
        <w:rPr>
          <w:lang w:eastAsia="en-GB"/>
        </w:rPr>
        <w:t>with</w:t>
      </w:r>
      <w:r w:rsidRPr="006E7692">
        <w:rPr>
          <w:lang w:eastAsia="en-GB"/>
        </w:rPr>
        <w:t xml:space="preserve"> the Peshmerga </w:t>
      </w:r>
      <w:r w:rsidR="00ED356F" w:rsidRPr="006E7692">
        <w:rPr>
          <w:lang w:eastAsia="en-GB"/>
        </w:rPr>
        <w:t>we</w:t>
      </w:r>
      <w:r w:rsidRPr="006E7692">
        <w:rPr>
          <w:lang w:eastAsia="en-GB"/>
        </w:rPr>
        <w:t>re discussed.</w:t>
      </w:r>
    </w:p>
    <w:p w:rsidR="001C4F61" w:rsidRPr="006E7692" w:rsidRDefault="001C4F61" w:rsidP="005E7CAE">
      <w:pPr>
        <w:pStyle w:val="SingleTxtG"/>
        <w:rPr>
          <w:lang w:eastAsia="en-GB"/>
        </w:rPr>
      </w:pPr>
      <w:r w:rsidRPr="006E7692">
        <w:rPr>
          <w:lang w:eastAsia="en-GB"/>
        </w:rPr>
        <w:lastRenderedPageBreak/>
        <w:t>2.5</w:t>
      </w:r>
      <w:r w:rsidRPr="006E7692">
        <w:rPr>
          <w:lang w:eastAsia="en-GB"/>
        </w:rPr>
        <w:tab/>
      </w:r>
      <w:r w:rsidR="005E7CAE" w:rsidRPr="006E7692">
        <w:rPr>
          <w:lang w:eastAsia="en-GB"/>
        </w:rPr>
        <w:t>I</w:t>
      </w:r>
      <w:r w:rsidRPr="006E7692">
        <w:rPr>
          <w:lang w:eastAsia="en-GB"/>
        </w:rPr>
        <w:t xml:space="preserve">n Switzerland, the </w:t>
      </w:r>
      <w:r w:rsidR="00ED356F" w:rsidRPr="006E7692">
        <w:rPr>
          <w:lang w:eastAsia="en-GB"/>
        </w:rPr>
        <w:t>Khademis</w:t>
      </w:r>
      <w:r w:rsidRPr="006E7692">
        <w:rPr>
          <w:lang w:eastAsia="en-GB"/>
        </w:rPr>
        <w:t xml:space="preserve"> have continued their political activities against the</w:t>
      </w:r>
      <w:r w:rsidR="00ED356F" w:rsidRPr="006E7692">
        <w:rPr>
          <w:lang w:eastAsia="en-GB"/>
        </w:rPr>
        <w:t xml:space="preserve"> regime of the</w:t>
      </w:r>
      <w:r w:rsidRPr="006E7692">
        <w:rPr>
          <w:lang w:eastAsia="en-GB"/>
        </w:rPr>
        <w:t xml:space="preserve"> Islamic Republic of Iran. They are active members of the Swiss section of </w:t>
      </w:r>
      <w:r w:rsidR="007A5C28" w:rsidRPr="006E7692">
        <w:rPr>
          <w:lang w:eastAsia="en-GB"/>
        </w:rPr>
        <w:t xml:space="preserve">the </w:t>
      </w:r>
      <w:r w:rsidRPr="006E7692">
        <w:rPr>
          <w:lang w:eastAsia="en-GB"/>
        </w:rPr>
        <w:t>KDPI and have organi</w:t>
      </w:r>
      <w:r w:rsidR="005E7CAE" w:rsidRPr="006E7692">
        <w:rPr>
          <w:lang w:eastAsia="en-GB"/>
        </w:rPr>
        <w:t>z</w:t>
      </w:r>
      <w:r w:rsidRPr="006E7692">
        <w:rPr>
          <w:lang w:eastAsia="en-GB"/>
        </w:rPr>
        <w:t xml:space="preserve">ed several demonstrations. They also regularly participate in protests throughout Switzerland and in Europe. </w:t>
      </w:r>
    </w:p>
    <w:p w:rsidR="001C4F61" w:rsidRPr="006E7692" w:rsidRDefault="001C4F61" w:rsidP="00316F96">
      <w:pPr>
        <w:pStyle w:val="SingleTxtG"/>
        <w:rPr>
          <w:lang w:eastAsia="en-GB"/>
        </w:rPr>
      </w:pPr>
      <w:r w:rsidRPr="006E7692">
        <w:rPr>
          <w:lang w:eastAsia="en-GB"/>
        </w:rPr>
        <w:t>2.6</w:t>
      </w:r>
      <w:r w:rsidRPr="006E7692">
        <w:rPr>
          <w:lang w:eastAsia="en-GB"/>
        </w:rPr>
        <w:tab/>
        <w:t xml:space="preserve">On 17 November 2010, the Federal Office for Migration (BFM) rejected the asylum applications of the </w:t>
      </w:r>
      <w:r w:rsidR="005E7CAE" w:rsidRPr="006E7692">
        <w:rPr>
          <w:lang w:eastAsia="en-GB"/>
        </w:rPr>
        <w:t xml:space="preserve">Khademi family </w:t>
      </w:r>
      <w:r w:rsidRPr="006E7692">
        <w:rPr>
          <w:lang w:eastAsia="en-GB"/>
        </w:rPr>
        <w:t>and ordered their expulsion to the Islamic Republic of Iran. On 20 December 2010, they appealed the decision before the Federal Administrative Tribunal, which</w:t>
      </w:r>
      <w:r w:rsidR="005E7CAE" w:rsidRPr="006E7692">
        <w:rPr>
          <w:lang w:eastAsia="en-GB"/>
        </w:rPr>
        <w:t>,</w:t>
      </w:r>
      <w:r w:rsidRPr="006E7692">
        <w:rPr>
          <w:lang w:eastAsia="en-GB"/>
        </w:rPr>
        <w:t xml:space="preserve"> on 30 June 2011</w:t>
      </w:r>
      <w:r w:rsidR="005E7CAE" w:rsidRPr="006E7692">
        <w:rPr>
          <w:lang w:eastAsia="en-GB"/>
        </w:rPr>
        <w:t>,</w:t>
      </w:r>
      <w:r w:rsidRPr="006E7692">
        <w:rPr>
          <w:lang w:eastAsia="en-GB"/>
        </w:rPr>
        <w:t xml:space="preserve"> upheld </w:t>
      </w:r>
      <w:r w:rsidR="005E7CAE" w:rsidRPr="006E7692">
        <w:rPr>
          <w:lang w:eastAsia="en-GB"/>
        </w:rPr>
        <w:t xml:space="preserve">the </w:t>
      </w:r>
      <w:r w:rsidRPr="006E7692">
        <w:rPr>
          <w:lang w:eastAsia="en-GB"/>
        </w:rPr>
        <w:t>decision</w:t>
      </w:r>
      <w:r w:rsidR="005E7CAE" w:rsidRPr="006E7692">
        <w:rPr>
          <w:lang w:eastAsia="en-GB"/>
        </w:rPr>
        <w:t xml:space="preserve"> of BFM</w:t>
      </w:r>
      <w:r w:rsidRPr="006E7692">
        <w:rPr>
          <w:lang w:eastAsia="en-GB"/>
        </w:rPr>
        <w:t xml:space="preserve">. The Tribunal argued that it was </w:t>
      </w:r>
      <w:r w:rsidR="005E7CAE" w:rsidRPr="006E7692">
        <w:rPr>
          <w:lang w:eastAsia="en-GB"/>
        </w:rPr>
        <w:t xml:space="preserve">not </w:t>
      </w:r>
      <w:r w:rsidRPr="006E7692">
        <w:rPr>
          <w:lang w:eastAsia="en-GB"/>
        </w:rPr>
        <w:t xml:space="preserve">plausible that the </w:t>
      </w:r>
      <w:r w:rsidR="00962065" w:rsidRPr="006E7692">
        <w:rPr>
          <w:lang w:eastAsia="en-GB"/>
        </w:rPr>
        <w:t>ETELAAT</w:t>
      </w:r>
      <w:r w:rsidRPr="006E7692">
        <w:rPr>
          <w:lang w:eastAsia="en-GB"/>
        </w:rPr>
        <w:t xml:space="preserve"> only arrested </w:t>
      </w:r>
      <w:r w:rsidR="003E313E" w:rsidRPr="006E7692">
        <w:rPr>
          <w:lang w:eastAsia="en-GB"/>
        </w:rPr>
        <w:t>Mr. Khademi</w:t>
      </w:r>
      <w:r w:rsidRPr="006E7692">
        <w:rPr>
          <w:lang w:eastAsia="en-GB"/>
        </w:rPr>
        <w:t xml:space="preserve"> five years after his return to </w:t>
      </w:r>
      <w:r w:rsidR="00BA09EA" w:rsidRPr="006E7692">
        <w:rPr>
          <w:lang w:eastAsia="en-GB"/>
        </w:rPr>
        <w:t>Mari</w:t>
      </w:r>
      <w:r w:rsidRPr="006E7692">
        <w:rPr>
          <w:lang w:eastAsia="en-GB"/>
        </w:rPr>
        <w:t xml:space="preserve">van, especially since the </w:t>
      </w:r>
      <w:r w:rsidR="00962065" w:rsidRPr="006E7692">
        <w:rPr>
          <w:lang w:eastAsia="en-GB"/>
        </w:rPr>
        <w:t>ETELAAT</w:t>
      </w:r>
      <w:r w:rsidRPr="006E7692">
        <w:rPr>
          <w:lang w:eastAsia="en-GB"/>
        </w:rPr>
        <w:t xml:space="preserve"> was allegedly aware of his activities with the KDPI. Furthermore, the Tribunal found </w:t>
      </w:r>
      <w:r w:rsidR="005E7CAE" w:rsidRPr="006E7692">
        <w:rPr>
          <w:lang w:eastAsia="en-GB"/>
        </w:rPr>
        <w:t xml:space="preserve">that </w:t>
      </w:r>
      <w:r w:rsidRPr="006E7692">
        <w:rPr>
          <w:lang w:eastAsia="en-GB"/>
        </w:rPr>
        <w:t xml:space="preserve">it was not credible that </w:t>
      </w:r>
      <w:r w:rsidR="003E313E" w:rsidRPr="006E7692">
        <w:rPr>
          <w:lang w:eastAsia="en-GB"/>
        </w:rPr>
        <w:t>Mr. Khademi</w:t>
      </w:r>
      <w:r w:rsidRPr="006E7692">
        <w:rPr>
          <w:lang w:eastAsia="en-GB"/>
        </w:rPr>
        <w:t xml:space="preserve"> was identified in one day from footage taken of </w:t>
      </w:r>
      <w:r w:rsidR="005E7CAE" w:rsidRPr="006E7692">
        <w:rPr>
          <w:lang w:eastAsia="en-GB"/>
        </w:rPr>
        <w:t>a</w:t>
      </w:r>
      <w:r w:rsidRPr="006E7692">
        <w:rPr>
          <w:lang w:eastAsia="en-GB"/>
        </w:rPr>
        <w:t xml:space="preserve"> demonstration which, according to him, was “huge.” Conflicting statements regarding the manner in which he was identified also led to the Tribunal’s conclusion that his claims were not credible. Regarding the statements made by </w:t>
      </w:r>
      <w:r w:rsidR="005E7CAE" w:rsidRPr="006E7692">
        <w:rPr>
          <w:lang w:eastAsia="en-GB"/>
        </w:rPr>
        <w:t>Shahin Qadery</w:t>
      </w:r>
      <w:r w:rsidR="00316F96" w:rsidRPr="006E7692">
        <w:rPr>
          <w:lang w:eastAsia="en-GB"/>
        </w:rPr>
        <w:t xml:space="preserve">, </w:t>
      </w:r>
      <w:r w:rsidRPr="006E7692">
        <w:rPr>
          <w:lang w:eastAsia="en-GB"/>
        </w:rPr>
        <w:t>the second</w:t>
      </w:r>
      <w:r w:rsidR="00316F96" w:rsidRPr="006E7692">
        <w:rPr>
          <w:lang w:eastAsia="en-GB"/>
        </w:rPr>
        <w:t xml:space="preserve"> </w:t>
      </w:r>
      <w:r w:rsidRPr="006E7692">
        <w:rPr>
          <w:lang w:eastAsia="en-GB"/>
        </w:rPr>
        <w:t>complainant,</w:t>
      </w:r>
      <w:r w:rsidR="00316F96" w:rsidRPr="006E7692">
        <w:rPr>
          <w:lang w:eastAsia="en-GB"/>
        </w:rPr>
        <w:t xml:space="preserve"> </w:t>
      </w:r>
      <w:r w:rsidRPr="006E7692">
        <w:rPr>
          <w:lang w:eastAsia="en-GB"/>
        </w:rPr>
        <w:t xml:space="preserve">the Tribunal found that it was implausible that she and her sons joined </w:t>
      </w:r>
      <w:r w:rsidR="005E7CAE" w:rsidRPr="006E7692">
        <w:rPr>
          <w:lang w:eastAsia="en-GB"/>
        </w:rPr>
        <w:t>Mr. Khademi</w:t>
      </w:r>
      <w:r w:rsidRPr="006E7692">
        <w:rPr>
          <w:lang w:eastAsia="en-GB"/>
        </w:rPr>
        <w:t xml:space="preserve"> in Mehriz</w:t>
      </w:r>
      <w:r w:rsidR="005E7CAE" w:rsidRPr="006E7692">
        <w:rPr>
          <w:lang w:eastAsia="en-GB"/>
        </w:rPr>
        <w:t>,</w:t>
      </w:r>
      <w:r w:rsidRPr="006E7692">
        <w:rPr>
          <w:lang w:eastAsia="en-GB"/>
        </w:rPr>
        <w:t xml:space="preserve"> a few days after he had fled </w:t>
      </w:r>
      <w:r w:rsidR="005E7CAE" w:rsidRPr="006E7692">
        <w:rPr>
          <w:lang w:eastAsia="en-GB"/>
        </w:rPr>
        <w:t>because</w:t>
      </w:r>
      <w:r w:rsidRPr="006E7692">
        <w:rPr>
          <w:lang w:eastAsia="en-GB"/>
        </w:rPr>
        <w:t xml:space="preserve"> </w:t>
      </w:r>
      <w:r w:rsidR="005E7CAE" w:rsidRPr="006E7692">
        <w:rPr>
          <w:lang w:eastAsia="en-GB"/>
        </w:rPr>
        <w:t xml:space="preserve">doing so </w:t>
      </w:r>
      <w:r w:rsidRPr="006E7692">
        <w:rPr>
          <w:lang w:eastAsia="en-GB"/>
        </w:rPr>
        <w:t>would have put the latter’s life at risk</w:t>
      </w:r>
      <w:r w:rsidR="005E7CAE" w:rsidRPr="006E7692">
        <w:rPr>
          <w:lang w:eastAsia="en-GB"/>
        </w:rPr>
        <w:t>,</w:t>
      </w:r>
      <w:r w:rsidRPr="006E7692">
        <w:rPr>
          <w:lang w:eastAsia="en-GB"/>
        </w:rPr>
        <w:t xml:space="preserve"> </w:t>
      </w:r>
      <w:r w:rsidR="005E7CAE" w:rsidRPr="006E7692">
        <w:rPr>
          <w:lang w:eastAsia="en-GB"/>
        </w:rPr>
        <w:t>as</w:t>
      </w:r>
      <w:r w:rsidRPr="006E7692">
        <w:rPr>
          <w:lang w:eastAsia="en-GB"/>
        </w:rPr>
        <w:t xml:space="preserve"> their house in Yazd was being monitored by the </w:t>
      </w:r>
      <w:r w:rsidR="00962065" w:rsidRPr="006E7692">
        <w:rPr>
          <w:lang w:eastAsia="en-GB"/>
        </w:rPr>
        <w:t>ETELAAT</w:t>
      </w:r>
      <w:r w:rsidRPr="006E7692">
        <w:rPr>
          <w:lang w:eastAsia="en-GB"/>
        </w:rPr>
        <w:t xml:space="preserve"> and they would have been followed. </w:t>
      </w:r>
    </w:p>
    <w:p w:rsidR="001C4F61" w:rsidRPr="006E7692" w:rsidRDefault="001C4F61" w:rsidP="00DA1265">
      <w:pPr>
        <w:pStyle w:val="SingleTxtG"/>
        <w:rPr>
          <w:lang w:eastAsia="en-GB"/>
        </w:rPr>
      </w:pPr>
      <w:r w:rsidRPr="006E7692">
        <w:rPr>
          <w:lang w:eastAsia="en-GB"/>
        </w:rPr>
        <w:t>2.7</w:t>
      </w:r>
      <w:r w:rsidRPr="006E7692">
        <w:rPr>
          <w:lang w:eastAsia="en-GB"/>
        </w:rPr>
        <w:tab/>
        <w:t xml:space="preserve">The Tribunal further found that the documents submitted by </w:t>
      </w:r>
      <w:r w:rsidR="003E313E" w:rsidRPr="006E7692">
        <w:rPr>
          <w:lang w:eastAsia="en-GB"/>
        </w:rPr>
        <w:t>Mr. Khademi</w:t>
      </w:r>
      <w:r w:rsidRPr="006E7692">
        <w:rPr>
          <w:lang w:eastAsia="en-GB"/>
        </w:rPr>
        <w:t xml:space="preserve"> to support his claims could not be considered </w:t>
      </w:r>
      <w:r w:rsidR="005E7CAE" w:rsidRPr="006E7692">
        <w:rPr>
          <w:lang w:eastAsia="en-GB"/>
        </w:rPr>
        <w:t>as</w:t>
      </w:r>
      <w:r w:rsidRPr="006E7692">
        <w:rPr>
          <w:lang w:eastAsia="en-GB"/>
        </w:rPr>
        <w:t xml:space="preserve"> pertinent evidence</w:t>
      </w:r>
      <w:r w:rsidR="005E7CAE" w:rsidRPr="006E7692">
        <w:rPr>
          <w:lang w:eastAsia="en-GB"/>
        </w:rPr>
        <w:t xml:space="preserve"> because (1)</w:t>
      </w:r>
      <w:r w:rsidRPr="006E7692">
        <w:rPr>
          <w:lang w:eastAsia="en-GB"/>
        </w:rPr>
        <w:t xml:space="preserve"> the copies of the court files could have been falsified and the original copies of the verdict against him could have been procured</w:t>
      </w:r>
      <w:r w:rsidR="005E7CAE" w:rsidRPr="006E7692">
        <w:rPr>
          <w:lang w:eastAsia="en-GB"/>
        </w:rPr>
        <w:t>; (2)</w:t>
      </w:r>
      <w:r w:rsidRPr="006E7692">
        <w:rPr>
          <w:lang w:eastAsia="en-GB"/>
        </w:rPr>
        <w:t xml:space="preserve"> a letter from KDPI and a tribal elder confirming </w:t>
      </w:r>
      <w:r w:rsidR="005E7CAE" w:rsidRPr="006E7692">
        <w:rPr>
          <w:lang w:eastAsia="en-GB"/>
        </w:rPr>
        <w:t>Mr. Khademi</w:t>
      </w:r>
      <w:r w:rsidRPr="006E7692">
        <w:rPr>
          <w:lang w:eastAsia="en-GB"/>
        </w:rPr>
        <w:t xml:space="preserve">’s political activities, a witness report and a letter from an Iranian lawyer, which explained that original case files could not be obtained, were written as a favour to </w:t>
      </w:r>
      <w:r w:rsidR="005E7CAE" w:rsidRPr="006E7692">
        <w:rPr>
          <w:lang w:eastAsia="en-GB"/>
        </w:rPr>
        <w:t>him</w:t>
      </w:r>
      <w:r w:rsidRPr="006E7692">
        <w:rPr>
          <w:lang w:eastAsia="en-GB"/>
        </w:rPr>
        <w:t xml:space="preserve"> and were therefore unreliable</w:t>
      </w:r>
      <w:r w:rsidR="005E7CAE" w:rsidRPr="006E7692">
        <w:rPr>
          <w:lang w:eastAsia="en-GB"/>
        </w:rPr>
        <w:t>; (3)</w:t>
      </w:r>
      <w:r w:rsidRPr="006E7692">
        <w:rPr>
          <w:lang w:eastAsia="en-GB"/>
        </w:rPr>
        <w:t xml:space="preserve"> the audio files of the interview on Kurdish radio could have been manipulated</w:t>
      </w:r>
      <w:r w:rsidR="005E7CAE" w:rsidRPr="006E7692">
        <w:rPr>
          <w:lang w:eastAsia="en-GB"/>
        </w:rPr>
        <w:t>; and (4)</w:t>
      </w:r>
      <w:r w:rsidRPr="006E7692">
        <w:rPr>
          <w:lang w:eastAsia="en-GB"/>
        </w:rPr>
        <w:t xml:space="preserve"> the medical certificate did not demonstrate an obvious link between </w:t>
      </w:r>
      <w:r w:rsidR="003E313E" w:rsidRPr="006E7692">
        <w:rPr>
          <w:lang w:eastAsia="en-GB"/>
        </w:rPr>
        <w:t>Mr. Khademi</w:t>
      </w:r>
      <w:r w:rsidRPr="006E7692">
        <w:rPr>
          <w:lang w:eastAsia="en-GB"/>
        </w:rPr>
        <w:t xml:space="preserve">’s </w:t>
      </w:r>
      <w:r w:rsidR="00316F96" w:rsidRPr="006E7692">
        <w:rPr>
          <w:lang w:eastAsia="en-GB"/>
        </w:rPr>
        <w:t>post-traumatic stress disorder</w:t>
      </w:r>
      <w:r w:rsidRPr="006E7692">
        <w:rPr>
          <w:lang w:eastAsia="en-GB"/>
        </w:rPr>
        <w:t xml:space="preserve">, bodily scars and bone fracture in his hand, and the ill-treatment he purportedly suffered in the Islamic Republic of Iran. In addition, the Tribunal </w:t>
      </w:r>
      <w:r w:rsidR="00316F96" w:rsidRPr="006E7692">
        <w:rPr>
          <w:lang w:eastAsia="en-GB"/>
        </w:rPr>
        <w:t>took into account</w:t>
      </w:r>
      <w:r w:rsidRPr="006E7692">
        <w:rPr>
          <w:lang w:eastAsia="en-GB"/>
        </w:rPr>
        <w:t xml:space="preserve"> the fact that no reports concerning the death penalty conviction of </w:t>
      </w:r>
      <w:r w:rsidR="00316F96" w:rsidRPr="006E7692">
        <w:rPr>
          <w:lang w:eastAsia="en-GB"/>
        </w:rPr>
        <w:t>Mr. Khademi</w:t>
      </w:r>
      <w:r w:rsidRPr="006E7692">
        <w:rPr>
          <w:lang w:eastAsia="en-GB"/>
        </w:rPr>
        <w:t xml:space="preserve"> were available</w:t>
      </w:r>
      <w:r w:rsidR="00316F96" w:rsidRPr="006E7692">
        <w:rPr>
          <w:lang w:eastAsia="en-GB"/>
        </w:rPr>
        <w:t xml:space="preserve"> —</w:t>
      </w:r>
      <w:r w:rsidRPr="006E7692">
        <w:rPr>
          <w:lang w:eastAsia="en-GB"/>
        </w:rPr>
        <w:t xml:space="preserve"> Kurdish organi</w:t>
      </w:r>
      <w:r w:rsidR="00316F96" w:rsidRPr="006E7692">
        <w:rPr>
          <w:lang w:eastAsia="en-GB"/>
        </w:rPr>
        <w:t>z</w:t>
      </w:r>
      <w:r w:rsidRPr="006E7692">
        <w:rPr>
          <w:lang w:eastAsia="en-GB"/>
        </w:rPr>
        <w:t xml:space="preserve">ations </w:t>
      </w:r>
      <w:r w:rsidR="00316F96" w:rsidRPr="006E7692">
        <w:rPr>
          <w:lang w:eastAsia="en-GB"/>
        </w:rPr>
        <w:t xml:space="preserve">normally </w:t>
      </w:r>
      <w:r w:rsidRPr="006E7692">
        <w:rPr>
          <w:lang w:eastAsia="en-GB"/>
        </w:rPr>
        <w:t>publish such reports</w:t>
      </w:r>
      <w:r w:rsidR="00316F96" w:rsidRPr="006E7692">
        <w:rPr>
          <w:lang w:eastAsia="en-GB"/>
        </w:rPr>
        <w:t xml:space="preserve"> —</w:t>
      </w:r>
      <w:r w:rsidRPr="006E7692">
        <w:rPr>
          <w:lang w:eastAsia="en-GB"/>
        </w:rPr>
        <w:t xml:space="preserve"> </w:t>
      </w:r>
      <w:r w:rsidR="00316F96" w:rsidRPr="006E7692">
        <w:rPr>
          <w:lang w:eastAsia="en-GB"/>
        </w:rPr>
        <w:t xml:space="preserve">for it </w:t>
      </w:r>
      <w:r w:rsidRPr="006E7692">
        <w:rPr>
          <w:lang w:eastAsia="en-GB"/>
        </w:rPr>
        <w:t xml:space="preserve">to </w:t>
      </w:r>
      <w:r w:rsidR="00316F96" w:rsidRPr="006E7692">
        <w:rPr>
          <w:lang w:eastAsia="en-GB"/>
        </w:rPr>
        <w:t>draw a</w:t>
      </w:r>
      <w:r w:rsidRPr="006E7692">
        <w:rPr>
          <w:lang w:eastAsia="en-GB"/>
        </w:rPr>
        <w:t xml:space="preserve"> conclusion. It also </w:t>
      </w:r>
      <w:r w:rsidR="00316F96" w:rsidRPr="006E7692">
        <w:rPr>
          <w:lang w:eastAsia="en-GB"/>
        </w:rPr>
        <w:t>considered</w:t>
      </w:r>
      <w:r w:rsidRPr="006E7692">
        <w:rPr>
          <w:lang w:eastAsia="en-GB"/>
        </w:rPr>
        <w:t xml:space="preserve"> that the allegations of </w:t>
      </w:r>
      <w:r w:rsidR="00316F96" w:rsidRPr="006E7692">
        <w:rPr>
          <w:lang w:eastAsia="en-GB"/>
        </w:rPr>
        <w:t>the Khademi family</w:t>
      </w:r>
      <w:r w:rsidRPr="006E7692">
        <w:rPr>
          <w:lang w:eastAsia="en-GB"/>
        </w:rPr>
        <w:t xml:space="preserve"> concerning events in Iraq were false as the family was in Greece between </w:t>
      </w:r>
      <w:r w:rsidR="00F46CFA" w:rsidRPr="006E7692">
        <w:rPr>
          <w:lang w:eastAsia="en-GB"/>
        </w:rPr>
        <w:t xml:space="preserve">2003 </w:t>
      </w:r>
      <w:r w:rsidRPr="006E7692">
        <w:rPr>
          <w:lang w:eastAsia="en-GB"/>
        </w:rPr>
        <w:t>and 2005</w:t>
      </w:r>
      <w:r w:rsidR="00316F96" w:rsidRPr="006E7692">
        <w:rPr>
          <w:lang w:eastAsia="en-GB"/>
        </w:rPr>
        <w:t>,</w:t>
      </w:r>
      <w:r w:rsidRPr="006E7692">
        <w:rPr>
          <w:lang w:eastAsia="en-GB"/>
        </w:rPr>
        <w:t xml:space="preserve"> and that </w:t>
      </w:r>
      <w:r w:rsidR="00DA1265" w:rsidRPr="006E7692">
        <w:rPr>
          <w:lang w:eastAsia="en-GB"/>
        </w:rPr>
        <w:t>Ram</w:t>
      </w:r>
      <w:r w:rsidR="00316F96" w:rsidRPr="006E7692">
        <w:rPr>
          <w:lang w:eastAsia="en-GB"/>
        </w:rPr>
        <w:t xml:space="preserve">yar Khademi, </w:t>
      </w:r>
      <w:r w:rsidRPr="006E7692">
        <w:rPr>
          <w:lang w:eastAsia="en-GB"/>
        </w:rPr>
        <w:t>the third complainant</w:t>
      </w:r>
      <w:r w:rsidR="00316F96" w:rsidRPr="006E7692">
        <w:rPr>
          <w:lang w:eastAsia="en-GB"/>
        </w:rPr>
        <w:t>,</w:t>
      </w:r>
      <w:r w:rsidRPr="006E7692">
        <w:rPr>
          <w:lang w:eastAsia="en-GB"/>
        </w:rPr>
        <w:t xml:space="preserve"> </w:t>
      </w:r>
      <w:r w:rsidR="00316F96" w:rsidRPr="006E7692">
        <w:rPr>
          <w:lang w:eastAsia="en-GB"/>
        </w:rPr>
        <w:t>di</w:t>
      </w:r>
      <w:r w:rsidRPr="006E7692">
        <w:rPr>
          <w:lang w:eastAsia="en-GB"/>
        </w:rPr>
        <w:t xml:space="preserve">d not mentioned </w:t>
      </w:r>
      <w:r w:rsidR="00316F96" w:rsidRPr="006E7692">
        <w:rPr>
          <w:lang w:eastAsia="en-GB"/>
        </w:rPr>
        <w:t>that they had</w:t>
      </w:r>
      <w:r w:rsidRPr="006E7692">
        <w:rPr>
          <w:lang w:eastAsia="en-GB"/>
        </w:rPr>
        <w:t xml:space="preserve"> been detained for two days during his first asylum interview. Finally, the Tribunal ruled that the complainants’ political activities in Switzerland could not have come to the attention of the Iranian authorities, which only identified activists in exile who had leading roles in dissident movements.</w:t>
      </w:r>
    </w:p>
    <w:p w:rsidR="00343EE1" w:rsidRPr="006E7692" w:rsidRDefault="001C4F61" w:rsidP="00F96CE8">
      <w:pPr>
        <w:pStyle w:val="SingleTxtG"/>
        <w:rPr>
          <w:lang w:eastAsia="en-GB"/>
        </w:rPr>
      </w:pPr>
      <w:r w:rsidRPr="006E7692">
        <w:rPr>
          <w:lang w:eastAsia="en-GB"/>
        </w:rPr>
        <w:t>2.8</w:t>
      </w:r>
      <w:r w:rsidRPr="006E7692">
        <w:rPr>
          <w:lang w:eastAsia="en-GB"/>
        </w:rPr>
        <w:tab/>
        <w:t xml:space="preserve">The complainants maintain that the Swiss authorities have mistakenly concluded that they will not run the risk of persecution should they be expelled to the Islamic Republic of Iran. </w:t>
      </w:r>
      <w:r w:rsidR="003E313E" w:rsidRPr="006E7692">
        <w:rPr>
          <w:lang w:eastAsia="en-GB"/>
        </w:rPr>
        <w:t>Mr. Khademi</w:t>
      </w:r>
      <w:r w:rsidRPr="006E7692">
        <w:rPr>
          <w:lang w:eastAsia="en-GB"/>
        </w:rPr>
        <w:t xml:space="preserve"> argues that the Federal Administrative Tribunal failed to invite the Swiss </w:t>
      </w:r>
      <w:r w:rsidR="005B341E" w:rsidRPr="006E7692">
        <w:rPr>
          <w:lang w:eastAsia="en-GB"/>
        </w:rPr>
        <w:t>E</w:t>
      </w:r>
      <w:r w:rsidRPr="006E7692">
        <w:rPr>
          <w:lang w:eastAsia="en-GB"/>
        </w:rPr>
        <w:t>mbassy in Tehran to investigate further the authenticity of the court documents submitted or the existence of an arrest warrant against him</w:t>
      </w:r>
      <w:r w:rsidR="00316F96" w:rsidRPr="006E7692">
        <w:rPr>
          <w:lang w:eastAsia="en-GB"/>
        </w:rPr>
        <w:t>,</w:t>
      </w:r>
      <w:r w:rsidRPr="006E7692">
        <w:rPr>
          <w:lang w:eastAsia="en-GB"/>
        </w:rPr>
        <w:t xml:space="preserve"> prior to its finding that th</w:t>
      </w:r>
      <w:r w:rsidR="00316F96" w:rsidRPr="006E7692">
        <w:rPr>
          <w:lang w:eastAsia="en-GB"/>
        </w:rPr>
        <w:t>o</w:t>
      </w:r>
      <w:r w:rsidRPr="006E7692">
        <w:rPr>
          <w:lang w:eastAsia="en-GB"/>
        </w:rPr>
        <w:t xml:space="preserve">se documents were not pertinent evidence of his claims. </w:t>
      </w:r>
      <w:r w:rsidR="00316F96" w:rsidRPr="006E7692">
        <w:rPr>
          <w:lang w:eastAsia="en-GB"/>
        </w:rPr>
        <w:t>H</w:t>
      </w:r>
      <w:r w:rsidRPr="006E7692">
        <w:rPr>
          <w:lang w:eastAsia="en-GB"/>
        </w:rPr>
        <w:t>e observes</w:t>
      </w:r>
      <w:r w:rsidR="00316F96" w:rsidRPr="006E7692">
        <w:rPr>
          <w:lang w:eastAsia="en-GB"/>
        </w:rPr>
        <w:t xml:space="preserve"> that that omission</w:t>
      </w:r>
      <w:r w:rsidRPr="006E7692">
        <w:rPr>
          <w:lang w:eastAsia="en-GB"/>
        </w:rPr>
        <w:t xml:space="preserve"> resulted in the Tribunal’s other erroneous findings that letters from the KDPI, the tribal leader, a fellow inmate and an Iranian lawyer explaining the inability to obtain original court documents were not credible. Furthermore, the complainants contend that the Swiss authorities reversed the burden of proof against them. In particular, the medical certificate was not found to sufficiently demonstrate the link between </w:t>
      </w:r>
      <w:r w:rsidR="003E313E" w:rsidRPr="006E7692">
        <w:rPr>
          <w:lang w:eastAsia="en-GB"/>
        </w:rPr>
        <w:t>Mr. Khademi</w:t>
      </w:r>
      <w:r w:rsidRPr="006E7692">
        <w:rPr>
          <w:lang w:eastAsia="en-GB"/>
        </w:rPr>
        <w:t xml:space="preserve">’s injuries and the ill-treatment suffered without further investigation on the part of the Swiss authorities. The complainants also note that the Swiss authorities found that no record of </w:t>
      </w:r>
      <w:r w:rsidR="003E313E" w:rsidRPr="006E7692">
        <w:rPr>
          <w:lang w:eastAsia="en-GB"/>
        </w:rPr>
        <w:t>Mr. Khademi</w:t>
      </w:r>
      <w:r w:rsidRPr="006E7692">
        <w:rPr>
          <w:lang w:eastAsia="en-GB"/>
        </w:rPr>
        <w:t>’s death penalty conviction existed without considering that th</w:t>
      </w:r>
      <w:r w:rsidR="00904C9E" w:rsidRPr="006E7692">
        <w:rPr>
          <w:lang w:eastAsia="en-GB"/>
        </w:rPr>
        <w:t>e</w:t>
      </w:r>
      <w:r w:rsidRPr="006E7692">
        <w:rPr>
          <w:lang w:eastAsia="en-GB"/>
        </w:rPr>
        <w:t xml:space="preserve"> conviction was passed </w:t>
      </w:r>
      <w:r w:rsidR="00904C9E" w:rsidRPr="006E7692">
        <w:rPr>
          <w:lang w:eastAsia="en-GB"/>
        </w:rPr>
        <w:t>20</w:t>
      </w:r>
      <w:r w:rsidRPr="006E7692">
        <w:rPr>
          <w:lang w:eastAsia="en-GB"/>
        </w:rPr>
        <w:t xml:space="preserve"> years ago</w:t>
      </w:r>
      <w:r w:rsidR="00904C9E" w:rsidRPr="006E7692">
        <w:rPr>
          <w:lang w:eastAsia="en-GB"/>
        </w:rPr>
        <w:t>,</w:t>
      </w:r>
      <w:r w:rsidRPr="006E7692">
        <w:rPr>
          <w:lang w:eastAsia="en-GB"/>
        </w:rPr>
        <w:t xml:space="preserve"> when the use of</w:t>
      </w:r>
      <w:r w:rsidR="00067CFC" w:rsidRPr="006E7692">
        <w:rPr>
          <w:lang w:eastAsia="en-GB"/>
        </w:rPr>
        <w:t xml:space="preserve"> </w:t>
      </w:r>
      <w:r w:rsidR="00904C9E" w:rsidRPr="006E7692">
        <w:rPr>
          <w:lang w:eastAsia="en-GB"/>
        </w:rPr>
        <w:t>I</w:t>
      </w:r>
      <w:r w:rsidR="00343EE1" w:rsidRPr="006E7692">
        <w:rPr>
          <w:lang w:eastAsia="en-GB"/>
        </w:rPr>
        <w:t xml:space="preserve">nternet was limited. Moreover, the complainants argue that the </w:t>
      </w:r>
      <w:r w:rsidR="00343EE1" w:rsidRPr="006E7692">
        <w:rPr>
          <w:lang w:eastAsia="en-GB"/>
        </w:rPr>
        <w:lastRenderedPageBreak/>
        <w:t xml:space="preserve">Swiss authorities did not address the matter of their illegal departure from the Islamic Republic of Iran, which would result in scrutiny by </w:t>
      </w:r>
      <w:r w:rsidR="00904C9E" w:rsidRPr="006E7692">
        <w:rPr>
          <w:lang w:eastAsia="en-GB"/>
        </w:rPr>
        <w:t xml:space="preserve">the </w:t>
      </w:r>
      <w:r w:rsidR="00343EE1" w:rsidRPr="006E7692">
        <w:rPr>
          <w:lang w:eastAsia="en-GB"/>
        </w:rPr>
        <w:t xml:space="preserve">Iranian authorities upon their </w:t>
      </w:r>
      <w:r w:rsidR="00904C9E" w:rsidRPr="006E7692">
        <w:rPr>
          <w:lang w:eastAsia="en-GB"/>
        </w:rPr>
        <w:t>return and</w:t>
      </w:r>
      <w:r w:rsidR="00343EE1" w:rsidRPr="006E7692">
        <w:rPr>
          <w:lang w:eastAsia="en-GB"/>
        </w:rPr>
        <w:t xml:space="preserve"> which may expose them to further harm, should they be returned.</w:t>
      </w:r>
      <w:r w:rsidR="007E6FC6" w:rsidRPr="006E7692">
        <w:rPr>
          <w:rStyle w:val="FootnoteReference"/>
          <w:lang w:eastAsia="en-GB"/>
        </w:rPr>
        <w:footnoteReference w:id="3"/>
      </w:r>
      <w:r w:rsidR="00904C9E" w:rsidRPr="006E7692">
        <w:rPr>
          <w:lang w:eastAsia="en-GB"/>
        </w:rPr>
        <w:t xml:space="preserve"> </w:t>
      </w:r>
      <w:r w:rsidR="003E313E" w:rsidRPr="006E7692">
        <w:rPr>
          <w:lang w:eastAsia="en-GB"/>
        </w:rPr>
        <w:t>Mr. Khademi</w:t>
      </w:r>
      <w:r w:rsidR="00343EE1" w:rsidRPr="006E7692">
        <w:rPr>
          <w:lang w:eastAsia="en-GB"/>
        </w:rPr>
        <w:t xml:space="preserve"> further submits that the Swiss authorities did not directly dispute his membership in </w:t>
      </w:r>
      <w:r w:rsidR="00904C9E" w:rsidRPr="006E7692">
        <w:rPr>
          <w:lang w:eastAsia="en-GB"/>
        </w:rPr>
        <w:t xml:space="preserve">the </w:t>
      </w:r>
      <w:r w:rsidR="00343EE1" w:rsidRPr="006E7692">
        <w:rPr>
          <w:lang w:eastAsia="en-GB"/>
        </w:rPr>
        <w:t xml:space="preserve">KDPI as a </w:t>
      </w:r>
      <w:r w:rsidR="00904C9E" w:rsidRPr="006E7692">
        <w:rPr>
          <w:lang w:eastAsia="en-GB"/>
        </w:rPr>
        <w:t>p</w:t>
      </w:r>
      <w:r w:rsidR="00343EE1" w:rsidRPr="006E7692">
        <w:rPr>
          <w:lang w:eastAsia="en-GB"/>
        </w:rPr>
        <w:t>eshmerga</w:t>
      </w:r>
      <w:r w:rsidR="00904C9E" w:rsidRPr="006E7692">
        <w:rPr>
          <w:lang w:eastAsia="en-GB"/>
        </w:rPr>
        <w:t>,</w:t>
      </w:r>
      <w:r w:rsidR="00343EE1" w:rsidRPr="006E7692">
        <w:rPr>
          <w:lang w:eastAsia="en-GB"/>
        </w:rPr>
        <w:t xml:space="preserve"> which leaves him vulnerable to imprisonment and death upon return.</w:t>
      </w:r>
      <w:r w:rsidR="007E6FC6" w:rsidRPr="006E7692">
        <w:rPr>
          <w:rStyle w:val="FootnoteReference"/>
          <w:lang w:eastAsia="en-GB"/>
        </w:rPr>
        <w:footnoteReference w:id="4"/>
      </w:r>
      <w:r w:rsidR="00343EE1" w:rsidRPr="006E7692">
        <w:rPr>
          <w:lang w:eastAsia="en-GB"/>
        </w:rPr>
        <w:t xml:space="preserve"> </w:t>
      </w:r>
      <w:r w:rsidR="003E313E" w:rsidRPr="006E7692">
        <w:rPr>
          <w:lang w:eastAsia="en-GB"/>
        </w:rPr>
        <w:t>Mr. Khademi</w:t>
      </w:r>
      <w:r w:rsidR="00343EE1" w:rsidRPr="006E7692">
        <w:rPr>
          <w:lang w:eastAsia="en-GB"/>
        </w:rPr>
        <w:t xml:space="preserve"> adds that reports show that the Iranian authorities are actively trying to identify protestors abroad, even if they are low</w:t>
      </w:r>
      <w:r w:rsidR="00F96CE8" w:rsidRPr="006E7692">
        <w:rPr>
          <w:lang w:eastAsia="en-GB"/>
        </w:rPr>
        <w:t>-</w:t>
      </w:r>
      <w:r w:rsidR="00343EE1" w:rsidRPr="006E7692">
        <w:rPr>
          <w:lang w:eastAsia="en-GB"/>
        </w:rPr>
        <w:t>profile activists,</w:t>
      </w:r>
      <w:r w:rsidR="007E6FC6" w:rsidRPr="006E7692">
        <w:rPr>
          <w:rStyle w:val="FootnoteReference"/>
          <w:lang w:eastAsia="en-GB"/>
        </w:rPr>
        <w:footnoteReference w:id="5"/>
      </w:r>
      <w:r w:rsidR="00343EE1" w:rsidRPr="006E7692">
        <w:rPr>
          <w:lang w:eastAsia="en-GB"/>
        </w:rPr>
        <w:t xml:space="preserve"> as well as arresting, torturing and carrying out hundreds of death sentences against human rights activists within the Islamic Republic of Iran.</w:t>
      </w:r>
      <w:r w:rsidR="007E6FC6" w:rsidRPr="006E7692">
        <w:rPr>
          <w:rStyle w:val="FootnoteReference"/>
          <w:lang w:eastAsia="en-GB"/>
        </w:rPr>
        <w:footnoteReference w:id="6"/>
      </w:r>
    </w:p>
    <w:p w:rsidR="00343EE1" w:rsidRPr="006E7692" w:rsidRDefault="007527F2" w:rsidP="007527F2">
      <w:pPr>
        <w:pStyle w:val="H23G"/>
        <w:rPr>
          <w:lang w:eastAsia="en-GB"/>
        </w:rPr>
      </w:pPr>
      <w:r w:rsidRPr="006E7692">
        <w:rPr>
          <w:lang w:eastAsia="en-GB"/>
        </w:rPr>
        <w:tab/>
      </w:r>
      <w:r w:rsidRPr="006E7692">
        <w:rPr>
          <w:lang w:eastAsia="en-GB"/>
        </w:rPr>
        <w:tab/>
      </w:r>
      <w:r w:rsidR="00343EE1" w:rsidRPr="006E7692">
        <w:rPr>
          <w:lang w:eastAsia="en-GB"/>
        </w:rPr>
        <w:t>The complaint</w:t>
      </w:r>
    </w:p>
    <w:p w:rsidR="00343EE1" w:rsidRPr="006E7692" w:rsidRDefault="00343EE1" w:rsidP="009F2D81">
      <w:pPr>
        <w:pStyle w:val="SingleTxtG"/>
      </w:pPr>
      <w:r w:rsidRPr="006E7692">
        <w:t>3.</w:t>
      </w:r>
      <w:r w:rsidRPr="006E7692">
        <w:tab/>
        <w:t xml:space="preserve">The complainants submit that, altogether, the human rights situation in the Islamic Republic of Iran, </w:t>
      </w:r>
      <w:r w:rsidR="003E313E" w:rsidRPr="006E7692">
        <w:t>Mr. Khademi</w:t>
      </w:r>
      <w:r w:rsidRPr="006E7692">
        <w:t xml:space="preserve">’s political activities in the country, the family’s political activities in Switzerland and the fact that </w:t>
      </w:r>
      <w:r w:rsidR="009F2D81" w:rsidRPr="006E7692">
        <w:t>Mr. Khademi</w:t>
      </w:r>
      <w:r w:rsidRPr="006E7692">
        <w:t xml:space="preserve"> ha</w:t>
      </w:r>
      <w:r w:rsidR="009F2D81" w:rsidRPr="006E7692">
        <w:t>d</w:t>
      </w:r>
      <w:r w:rsidRPr="006E7692">
        <w:t xml:space="preserve"> been tortured</w:t>
      </w:r>
      <w:r w:rsidR="009F2D81" w:rsidRPr="006E7692">
        <w:t xml:space="preserve"> previously</w:t>
      </w:r>
      <w:r w:rsidRPr="006E7692">
        <w:t xml:space="preserve"> puts the</w:t>
      </w:r>
      <w:r w:rsidR="009F2D81" w:rsidRPr="006E7692">
        <w:t xml:space="preserve"> family</w:t>
      </w:r>
      <w:r w:rsidRPr="006E7692">
        <w:t xml:space="preserve"> at </w:t>
      </w:r>
      <w:r w:rsidR="009F2D81" w:rsidRPr="006E7692">
        <w:t xml:space="preserve">a </w:t>
      </w:r>
      <w:r w:rsidRPr="006E7692">
        <w:t xml:space="preserve">real and personal risk of torture or other inhuman and degrading treatment should </w:t>
      </w:r>
      <w:r w:rsidR="009F2D81" w:rsidRPr="006E7692">
        <w:t>t</w:t>
      </w:r>
      <w:r w:rsidRPr="006E7692">
        <w:t>he</w:t>
      </w:r>
      <w:r w:rsidR="009F2D81" w:rsidRPr="006E7692">
        <w:t>y</w:t>
      </w:r>
      <w:r w:rsidRPr="006E7692">
        <w:t xml:space="preserve"> be returned to the Islamic Republic of Iran.</w:t>
      </w:r>
      <w:r w:rsidR="006F5F8C" w:rsidRPr="006E7692">
        <w:t xml:space="preserve"> </w:t>
      </w:r>
      <w:r w:rsidRPr="006E7692">
        <w:t xml:space="preserve">The complainants maintain that their forcible return to the Islamic Republic of Iran would constitute a breach by Switzerland of its obligations under </w:t>
      </w:r>
      <w:r w:rsidR="006F5F8C" w:rsidRPr="006E7692">
        <w:t>article </w:t>
      </w:r>
      <w:r w:rsidRPr="006E7692">
        <w:t xml:space="preserve">3, </w:t>
      </w:r>
      <w:r w:rsidR="006F5F8C" w:rsidRPr="006E7692">
        <w:t>paragraph </w:t>
      </w:r>
      <w:r w:rsidRPr="006E7692">
        <w:t>1, of the Convention.</w:t>
      </w:r>
    </w:p>
    <w:p w:rsidR="00343EE1" w:rsidRPr="006E7692" w:rsidRDefault="007527F2" w:rsidP="007527F2">
      <w:pPr>
        <w:pStyle w:val="H23G"/>
        <w:rPr>
          <w:lang w:eastAsia="en-GB"/>
        </w:rPr>
      </w:pPr>
      <w:r w:rsidRPr="006E7692">
        <w:rPr>
          <w:lang w:eastAsia="en-GB"/>
        </w:rPr>
        <w:tab/>
      </w:r>
      <w:r w:rsidRPr="006E7692">
        <w:rPr>
          <w:lang w:eastAsia="en-GB"/>
        </w:rPr>
        <w:tab/>
      </w:r>
      <w:r w:rsidR="00343EE1" w:rsidRPr="006E7692">
        <w:rPr>
          <w:lang w:eastAsia="en-GB"/>
        </w:rPr>
        <w:t xml:space="preserve">State party’s observations on the merits </w:t>
      </w:r>
    </w:p>
    <w:p w:rsidR="00343EE1" w:rsidRPr="006E7692" w:rsidRDefault="00343EE1" w:rsidP="009531E0">
      <w:pPr>
        <w:pStyle w:val="SingleTxtG"/>
      </w:pPr>
      <w:r w:rsidRPr="006E7692">
        <w:t>4.1</w:t>
      </w:r>
      <w:r w:rsidRPr="006E7692">
        <w:tab/>
        <w:t xml:space="preserve">On 3 February 2012, the State party submitted its observations on the merits. It recalls the facts of the case and notes the complainants’ argument before the Committee that they would be at risk of being subjected to torture or inhuman treatment if returned to their country of origin. </w:t>
      </w:r>
    </w:p>
    <w:p w:rsidR="00343EE1" w:rsidRPr="006E7692" w:rsidRDefault="00343EE1" w:rsidP="00AB454B">
      <w:pPr>
        <w:pStyle w:val="SingleTxtG"/>
      </w:pPr>
      <w:r w:rsidRPr="006E7692">
        <w:t>4.2</w:t>
      </w:r>
      <w:r w:rsidRPr="006E7692">
        <w:tab/>
        <w:t xml:space="preserve">The State party notes that </w:t>
      </w:r>
      <w:r w:rsidR="00DA1265" w:rsidRPr="006E7692">
        <w:t xml:space="preserve">Ramyar Khademi, </w:t>
      </w:r>
      <w:r w:rsidRPr="006E7692">
        <w:t>the third complainant</w:t>
      </w:r>
      <w:r w:rsidR="00DA1265" w:rsidRPr="006E7692">
        <w:t>,</w:t>
      </w:r>
      <w:r w:rsidRPr="006E7692">
        <w:t xml:space="preserve"> had indicated</w:t>
      </w:r>
      <w:r w:rsidR="00DA1265" w:rsidRPr="006E7692">
        <w:t>,</w:t>
      </w:r>
      <w:r w:rsidRPr="006E7692">
        <w:t xml:space="preserve"> in his first asylum interview on 10 September 2007</w:t>
      </w:r>
      <w:r w:rsidR="00DA1265" w:rsidRPr="006E7692">
        <w:t>,</w:t>
      </w:r>
      <w:r w:rsidRPr="006E7692">
        <w:t xml:space="preserve"> that he had left the Islamic Republic of Iran because of his father’s political activities. </w:t>
      </w:r>
      <w:r w:rsidR="008D3588" w:rsidRPr="006E7692">
        <w:t>However, i</w:t>
      </w:r>
      <w:r w:rsidRPr="006E7692">
        <w:t xml:space="preserve">n a second asylum interview </w:t>
      </w:r>
      <w:r w:rsidR="008D3588" w:rsidRPr="006E7692">
        <w:t xml:space="preserve">with the Swiss authorities </w:t>
      </w:r>
      <w:r w:rsidRPr="006E7692">
        <w:t>and before the Committee, he claims t</w:t>
      </w:r>
      <w:r w:rsidR="00DA1265" w:rsidRPr="006E7692">
        <w:t>hat he had</w:t>
      </w:r>
      <w:r w:rsidRPr="006E7692">
        <w:t xml:space="preserve"> been arrested, detained for two days and interrogated. The State party reiterates that, based on his initial claim, the Swiss asylum authorities found on 17 November 2010 that </w:t>
      </w:r>
      <w:r w:rsidR="00DA1265" w:rsidRPr="006E7692">
        <w:t>Ramyar Khademi</w:t>
      </w:r>
      <w:r w:rsidRPr="006E7692">
        <w:t xml:space="preserve"> had no credible reason to fear persecution upon return</w:t>
      </w:r>
      <w:r w:rsidR="00DA1265" w:rsidRPr="006E7692">
        <w:t xml:space="preserve"> to his country of origin</w:t>
      </w:r>
      <w:r w:rsidRPr="006E7692">
        <w:t xml:space="preserve">. Furthermore, the State party submits that </w:t>
      </w:r>
      <w:r w:rsidR="009531E0" w:rsidRPr="006E7692">
        <w:t>Sha</w:t>
      </w:r>
      <w:r w:rsidR="00AB454B" w:rsidRPr="006E7692">
        <w:t>h</w:t>
      </w:r>
      <w:r w:rsidR="009531E0" w:rsidRPr="006E7692">
        <w:t xml:space="preserve">in Qadery, the </w:t>
      </w:r>
      <w:r w:rsidRPr="006E7692">
        <w:t>second complainant</w:t>
      </w:r>
      <w:r w:rsidR="009531E0" w:rsidRPr="006E7692">
        <w:t>,</w:t>
      </w:r>
      <w:r w:rsidRPr="006E7692">
        <w:t xml:space="preserve"> did not provide valid reason for an asylum claim. </w:t>
      </w:r>
      <w:r w:rsidR="00DA1265" w:rsidRPr="006E7692">
        <w:t>The State party</w:t>
      </w:r>
      <w:r w:rsidRPr="006E7692">
        <w:t xml:space="preserve"> also contends that the new evidence provided by the complainants, that is</w:t>
      </w:r>
      <w:r w:rsidR="00DA1265" w:rsidRPr="006E7692">
        <w:t>,</w:t>
      </w:r>
      <w:r w:rsidRPr="006E7692">
        <w:t xml:space="preserve"> letters from </w:t>
      </w:r>
      <w:r w:rsidR="00DA1265" w:rsidRPr="006E7692">
        <w:t xml:space="preserve">the </w:t>
      </w:r>
      <w:r w:rsidRPr="006E7692">
        <w:t xml:space="preserve">KDPI dated 9 February 2010 and 1 May </w:t>
      </w:r>
      <w:r w:rsidR="00C80AA2" w:rsidRPr="006E7692">
        <w:t>2011</w:t>
      </w:r>
      <w:r w:rsidR="00DA1265" w:rsidRPr="006E7692">
        <w:t>,</w:t>
      </w:r>
      <w:r w:rsidRPr="006E7692">
        <w:t xml:space="preserve"> do not call into question the decisions of the asylum authorities of the State party.</w:t>
      </w:r>
      <w:r w:rsidR="006F5F8C" w:rsidRPr="006E7692">
        <w:t xml:space="preserve"> </w:t>
      </w:r>
    </w:p>
    <w:p w:rsidR="00C80AA2" w:rsidRPr="006E7692" w:rsidRDefault="00343EE1" w:rsidP="00201E0E">
      <w:pPr>
        <w:pStyle w:val="SingleTxtG"/>
      </w:pPr>
      <w:r w:rsidRPr="006E7692">
        <w:t>4.3</w:t>
      </w:r>
      <w:r w:rsidRPr="006E7692">
        <w:tab/>
        <w:t>The State party further clarifies the asylum proceedings pursued by the complainants. It notes in particular that</w:t>
      </w:r>
      <w:r w:rsidR="00DA1265" w:rsidRPr="006E7692">
        <w:t>,</w:t>
      </w:r>
      <w:r w:rsidRPr="006E7692">
        <w:t xml:space="preserve"> on 17 November 2010, the Federal Office for</w:t>
      </w:r>
      <w:r w:rsidR="00067CFC" w:rsidRPr="006E7692">
        <w:t xml:space="preserve"> </w:t>
      </w:r>
      <w:r w:rsidR="00C80AA2" w:rsidRPr="006E7692">
        <w:t>Migration rejected the complainants’ applications for asy</w:t>
      </w:r>
      <w:r w:rsidR="007527F2" w:rsidRPr="006E7692">
        <w:t>lum, which were submitted on 27 </w:t>
      </w:r>
      <w:r w:rsidR="00C80AA2" w:rsidRPr="006E7692">
        <w:t>August 2007 and 3 September 2007</w:t>
      </w:r>
      <w:r w:rsidR="00DA1265" w:rsidRPr="006E7692">
        <w:t xml:space="preserve"> —</w:t>
      </w:r>
      <w:r w:rsidR="00C80AA2" w:rsidRPr="006E7692">
        <w:t xml:space="preserve"> the latter on behalf of </w:t>
      </w:r>
      <w:r w:rsidR="00DA1265" w:rsidRPr="006E7692">
        <w:t xml:space="preserve">Ramyar Khademi, </w:t>
      </w:r>
      <w:r w:rsidR="00C80AA2" w:rsidRPr="006E7692">
        <w:t>the third</w:t>
      </w:r>
      <w:r w:rsidR="00DA1265" w:rsidRPr="006E7692">
        <w:t xml:space="preserve"> </w:t>
      </w:r>
      <w:r w:rsidR="00C80AA2" w:rsidRPr="006E7692">
        <w:t>complainant</w:t>
      </w:r>
      <w:r w:rsidR="00DA1265" w:rsidRPr="006E7692">
        <w:t xml:space="preserve"> —</w:t>
      </w:r>
      <w:r w:rsidR="00C80AA2" w:rsidRPr="006E7692">
        <w:t xml:space="preserve">, because their allegations lacked credibility and nothing in their case </w:t>
      </w:r>
      <w:r w:rsidR="00C80AA2" w:rsidRPr="006E7692">
        <w:lastRenderedPageBreak/>
        <w:t xml:space="preserve">file led it to conclude that they would face torture upon return to the Islamic Republic of Iran. On 7 March 2011, the Federal Administrative Tribunal unified the separate asylum appeals from the complainants and noted that the complainants’ request for free legal aid was incomplete. It also stated that it had received a report from the Swiss Embassy in Tehran indicating that it was possible to procure court files from </w:t>
      </w:r>
      <w:r w:rsidR="00AB454B" w:rsidRPr="006E7692">
        <w:t>R</w:t>
      </w:r>
      <w:r w:rsidR="00C80AA2" w:rsidRPr="006E7692">
        <w:t xml:space="preserve">evolutionary </w:t>
      </w:r>
      <w:r w:rsidR="00AB454B" w:rsidRPr="006E7692">
        <w:t>T</w:t>
      </w:r>
      <w:r w:rsidR="00C80AA2" w:rsidRPr="006E7692">
        <w:t>ribunals in the Islamic Republic of Iran. The complainants were given a time</w:t>
      </w:r>
      <w:r w:rsidR="00F039C3" w:rsidRPr="006E7692">
        <w:t xml:space="preserve"> </w:t>
      </w:r>
      <w:r w:rsidR="00C80AA2" w:rsidRPr="006E7692">
        <w:t>frame in which to comment on th</w:t>
      </w:r>
      <w:r w:rsidR="00F039C3" w:rsidRPr="006E7692">
        <w:t>o</w:t>
      </w:r>
      <w:r w:rsidR="00C80AA2" w:rsidRPr="006E7692">
        <w:t xml:space="preserve">se findings, but they failed to do so. On 30 June 2011, the Tribunal confirmed its decision to expel the complainants. The State party adds that all </w:t>
      </w:r>
      <w:r w:rsidR="00F039C3" w:rsidRPr="006E7692">
        <w:t xml:space="preserve">the </w:t>
      </w:r>
      <w:r w:rsidR="00C80AA2" w:rsidRPr="006E7692">
        <w:t>arguments presented by the complainants were considered in a complete manner and with strict adherence to the procedures of th</w:t>
      </w:r>
      <w:r w:rsidR="007527F2" w:rsidRPr="006E7692">
        <w:t>e Federal Office for Migration.</w:t>
      </w:r>
    </w:p>
    <w:p w:rsidR="00C80AA2" w:rsidRPr="006E7692" w:rsidRDefault="00C80AA2" w:rsidP="005B341E">
      <w:pPr>
        <w:pStyle w:val="SingleTxtG"/>
      </w:pPr>
      <w:r w:rsidRPr="006E7692">
        <w:t>4.4</w:t>
      </w:r>
      <w:r w:rsidRPr="006E7692">
        <w:tab/>
        <w:t xml:space="preserve">The State party recalls that, under </w:t>
      </w:r>
      <w:r w:rsidR="006F5F8C" w:rsidRPr="006E7692">
        <w:t>article </w:t>
      </w:r>
      <w:r w:rsidRPr="006E7692">
        <w:t xml:space="preserve">3 of the Convention, States parties are prohibited from expelling, returning or extraditing a person to another State where there exists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 With reference to the Committee’s general comment </w:t>
      </w:r>
      <w:r w:rsidRPr="006E7692">
        <w:rPr>
          <w:rStyle w:val="FollowedHyperlink"/>
        </w:rPr>
        <w:t>No. </w:t>
      </w:r>
      <w:r w:rsidRPr="006E7692">
        <w:t>1</w:t>
      </w:r>
      <w:r w:rsidR="005B341E" w:rsidRPr="006E7692">
        <w:t xml:space="preserve"> (1997) on the implementation of article 3 of the Convention in the context of article 22</w:t>
      </w:r>
      <w:r w:rsidRPr="006E7692">
        <w:t>, the State party adds that the author should establish the existence of a “personal, present and real” risk of being subjected to torture upon return to the country of origin. The existence of such a risk must be assessed on grounds that go beyond mere theory or suspicion. Additional grounds must exist for the risk of torture to qualify as “real” (</w:t>
      </w:r>
      <w:r w:rsidR="006F5F8C" w:rsidRPr="006E7692">
        <w:t>paras. 6 and 7</w:t>
      </w:r>
      <w:r w:rsidRPr="006E7692">
        <w:t xml:space="preserve">). The following elements must be taken into account to assess the existence of such a risk: evidence of a consistent pattern of gross, flagrant or mass violations of human rights in the country of origin; allegations of torture or ill-treatment sustained by the author in the recent past and independent evidence thereof; political activity of the author within or outside the country of origin; evidence as to the credibility of the author; and factual inconsistencies in the claim of the author </w:t>
      </w:r>
      <w:r w:rsidR="006F5F8C" w:rsidRPr="006E7692">
        <w:t>(para. 8</w:t>
      </w:r>
      <w:r w:rsidRPr="006E7692">
        <w:t>).</w:t>
      </w:r>
    </w:p>
    <w:p w:rsidR="00C80AA2" w:rsidRPr="006E7692" w:rsidRDefault="00C80AA2" w:rsidP="00C80AA2">
      <w:pPr>
        <w:pStyle w:val="SingleTxtG"/>
      </w:pPr>
      <w:r w:rsidRPr="006E7692">
        <w:t>4.5</w:t>
      </w:r>
      <w:r w:rsidRPr="006E7692">
        <w:tab/>
        <w:t>With regard to the existence of gross, flagrant or mass violations of human rights, the State party submits that this is not in itself a sufficient basis for concluding that an individual might be subjected to torture upon his or her return to his or her country. The Committee should establish whether the individual concerned would be “personally” at risk of being subjected to torture in the country to which he or she would return.</w:t>
      </w:r>
      <w:r w:rsidR="007E6FC6" w:rsidRPr="006E7692">
        <w:rPr>
          <w:rStyle w:val="FootnoteReference"/>
        </w:rPr>
        <w:footnoteReference w:id="7"/>
      </w:r>
      <w:r w:rsidRPr="006E7692">
        <w:t xml:space="preserve"> Additional grounds should be adduced for the risk of torture to qualify as “foreseeable, real and personal” under </w:t>
      </w:r>
      <w:r w:rsidR="006F5F8C" w:rsidRPr="006E7692">
        <w:t>article </w:t>
      </w:r>
      <w:r w:rsidRPr="006E7692">
        <w:t xml:space="preserve">3, </w:t>
      </w:r>
      <w:r w:rsidR="006F5F8C" w:rsidRPr="006E7692">
        <w:t>paragraph </w:t>
      </w:r>
      <w:r w:rsidRPr="006E7692">
        <w:t>1, of the Convention.</w:t>
      </w:r>
      <w:r w:rsidR="007E6FC6" w:rsidRPr="006E7692">
        <w:rPr>
          <w:rStyle w:val="FootnoteReference"/>
        </w:rPr>
        <w:footnoteReference w:id="8"/>
      </w:r>
      <w:r w:rsidRPr="006E7692">
        <w:t xml:space="preserve"> The risk of torture must be assessed on grounds that go beyond mere theory or suspicion.</w:t>
      </w:r>
      <w:r w:rsidR="007E6FC6" w:rsidRPr="006E7692">
        <w:rPr>
          <w:rStyle w:val="FootnoteReference"/>
        </w:rPr>
        <w:footnoteReference w:id="9"/>
      </w:r>
    </w:p>
    <w:p w:rsidR="00C80AA2" w:rsidRPr="006E7692" w:rsidRDefault="00C80AA2" w:rsidP="00273789">
      <w:pPr>
        <w:pStyle w:val="SingleTxtG"/>
      </w:pPr>
      <w:r w:rsidRPr="006E7692">
        <w:t xml:space="preserve">4.6 </w:t>
      </w:r>
      <w:r w:rsidRPr="006E7692">
        <w:tab/>
        <w:t xml:space="preserve">In </w:t>
      </w:r>
      <w:r w:rsidR="00273789" w:rsidRPr="006E7692">
        <w:t xml:space="preserve">the </w:t>
      </w:r>
      <w:r w:rsidRPr="006E7692">
        <w:t xml:space="preserve">light of the above, the State party submits that the human rights situation in the Islamic Republic of Iran is concerning in several regards. </w:t>
      </w:r>
      <w:r w:rsidR="00273789" w:rsidRPr="006E7692">
        <w:t>However, i</w:t>
      </w:r>
      <w:r w:rsidRPr="006E7692">
        <w:t>t recalls the</w:t>
      </w:r>
      <w:r w:rsidR="00273789" w:rsidRPr="006E7692">
        <w:t xml:space="preserve"> finding of the</w:t>
      </w:r>
      <w:r w:rsidRPr="006E7692">
        <w:t xml:space="preserve"> Federal Administrative Tribunal that the country is not currently experiencing generali</w:t>
      </w:r>
      <w:r w:rsidR="00273789" w:rsidRPr="006E7692">
        <w:t>z</w:t>
      </w:r>
      <w:r w:rsidRPr="006E7692">
        <w:t>ed violence. The State party further reiterates that the country situation is not in itself sufficient ground to conclude that the complainants might be subjected to torture in the event of removal. It argues that the complainants failed to show that they would face a foreseeable, real and personal risk of being subjected to torture if returned. Furthermore, the State party notes that the reports by the Committee itself, the International Federation</w:t>
      </w:r>
      <w:r w:rsidR="00067CFC" w:rsidRPr="006E7692">
        <w:t xml:space="preserve"> </w:t>
      </w:r>
      <w:r w:rsidRPr="006E7692">
        <w:t xml:space="preserve">for Human Rights, Amnesty International and Human Rights Watch on the human rights situation in the Islamic Republic of Iran, which were relied upon by the complainants to support their claims and which were reviewed by the Federal Administrative Tribunal, do </w:t>
      </w:r>
      <w:r w:rsidRPr="006E7692">
        <w:lastRenderedPageBreak/>
        <w:t xml:space="preserve">not demonstrate that they would run a personal risk of being subjected to torture upon their return. </w:t>
      </w:r>
    </w:p>
    <w:p w:rsidR="00C80AA2" w:rsidRPr="006E7692" w:rsidRDefault="00C80AA2" w:rsidP="008D3588">
      <w:pPr>
        <w:pStyle w:val="SingleTxtG"/>
      </w:pPr>
      <w:r w:rsidRPr="006E7692">
        <w:t>4.7</w:t>
      </w:r>
      <w:r w:rsidRPr="006E7692">
        <w:tab/>
        <w:t xml:space="preserve">With regard to the allegations of torture or ill-treatment sustained in the recent past by </w:t>
      </w:r>
      <w:r w:rsidR="003E313E" w:rsidRPr="006E7692">
        <w:t>Mr. Khademi</w:t>
      </w:r>
      <w:r w:rsidRPr="006E7692">
        <w:t xml:space="preserve"> and the existence of independent evidence thereof, the State party underlines that State parties to the Convention have an obligation to take th</w:t>
      </w:r>
      <w:r w:rsidR="00273789" w:rsidRPr="006E7692">
        <w:t>o</w:t>
      </w:r>
      <w:r w:rsidRPr="006E7692">
        <w:t>se</w:t>
      </w:r>
      <w:r w:rsidR="00273789" w:rsidRPr="006E7692">
        <w:t xml:space="preserve"> allegations</w:t>
      </w:r>
      <w:r w:rsidRPr="006E7692">
        <w:t xml:space="preserve"> into consideration in order to assess the risk of the complainant being subjected to torture if returned to his country of origin.</w:t>
      </w:r>
      <w:r w:rsidR="00680D57" w:rsidRPr="006E7692">
        <w:rPr>
          <w:rStyle w:val="FootnoteReference"/>
        </w:rPr>
        <w:footnoteReference w:id="10"/>
      </w:r>
      <w:r w:rsidRPr="006E7692">
        <w:t xml:space="preserve"> The State party recalls that </w:t>
      </w:r>
      <w:r w:rsidR="00680D57" w:rsidRPr="006E7692">
        <w:t xml:space="preserve">the Federal Administrative Tribunal did not find that </w:t>
      </w:r>
      <w:r w:rsidRPr="006E7692">
        <w:t xml:space="preserve">the medical certificate presented by </w:t>
      </w:r>
      <w:r w:rsidR="003E313E" w:rsidRPr="006E7692">
        <w:t>Mr. Khademi</w:t>
      </w:r>
      <w:r w:rsidRPr="006E7692">
        <w:t xml:space="preserve"> demonstrate</w:t>
      </w:r>
      <w:r w:rsidR="00680D57" w:rsidRPr="006E7692">
        <w:t>d</w:t>
      </w:r>
      <w:r w:rsidRPr="006E7692">
        <w:t xml:space="preserve"> a causal link between the </w:t>
      </w:r>
      <w:r w:rsidR="00680D57" w:rsidRPr="006E7692">
        <w:t>his</w:t>
      </w:r>
      <w:r w:rsidRPr="006E7692">
        <w:t xml:space="preserve"> injuries and the allegations of ill-treatment he suffered </w:t>
      </w:r>
      <w:r w:rsidR="00680D57" w:rsidRPr="006E7692">
        <w:t xml:space="preserve">while </w:t>
      </w:r>
      <w:r w:rsidRPr="006E7692">
        <w:t xml:space="preserve">in detention </w:t>
      </w:r>
      <w:r w:rsidR="00680D57" w:rsidRPr="006E7692">
        <w:t xml:space="preserve">in </w:t>
      </w:r>
      <w:r w:rsidR="00BA09EA" w:rsidRPr="006E7692">
        <w:t>Mari</w:t>
      </w:r>
      <w:r w:rsidR="00680D57" w:rsidRPr="006E7692">
        <w:t>van from</w:t>
      </w:r>
      <w:r w:rsidRPr="006E7692">
        <w:t xml:space="preserve"> 1991</w:t>
      </w:r>
      <w:r w:rsidR="00680D57" w:rsidRPr="006E7692">
        <w:t xml:space="preserve"> to</w:t>
      </w:r>
      <w:r w:rsidRPr="006E7692">
        <w:t xml:space="preserve"> 1993. Furthermore, the Swiss authorities found that a letter, dated 24 May 2011, which was presented by the complainant as evidence and which was allegedly provided by a refugee in Sweden who </w:t>
      </w:r>
      <w:r w:rsidR="00680D57" w:rsidRPr="006E7692">
        <w:t>had been</w:t>
      </w:r>
      <w:r w:rsidRPr="006E7692">
        <w:t xml:space="preserve"> a fellow inmate of </w:t>
      </w:r>
      <w:r w:rsidR="003E313E" w:rsidRPr="006E7692">
        <w:t>Mr. Khademi</w:t>
      </w:r>
      <w:r w:rsidRPr="006E7692">
        <w:t>, was not credible</w:t>
      </w:r>
      <w:r w:rsidR="00680D57" w:rsidRPr="006E7692">
        <w:t>,</w:t>
      </w:r>
      <w:r w:rsidRPr="006E7692">
        <w:t xml:space="preserve"> as </w:t>
      </w:r>
      <w:r w:rsidR="008D3588" w:rsidRPr="006E7692">
        <w:t>its</w:t>
      </w:r>
      <w:r w:rsidRPr="006E7692">
        <w:t xml:space="preserve"> content appeared to have been influenced by the complainant himself. Events recounted in th</w:t>
      </w:r>
      <w:r w:rsidR="00680D57" w:rsidRPr="006E7692">
        <w:t>e</w:t>
      </w:r>
      <w:r w:rsidRPr="006E7692">
        <w:t xml:space="preserve"> letter, in particular a meeting between </w:t>
      </w:r>
      <w:r w:rsidR="003E313E" w:rsidRPr="006E7692">
        <w:t>Mr. Khademi</w:t>
      </w:r>
      <w:r w:rsidRPr="006E7692">
        <w:t xml:space="preserve"> and a judge, also did not correspond with </w:t>
      </w:r>
      <w:r w:rsidR="00680D57" w:rsidRPr="006E7692">
        <w:t>Mr. Khademi’s</w:t>
      </w:r>
      <w:r w:rsidRPr="006E7692">
        <w:t xml:space="preserve"> own recounts in the asylum interviews. Lastly, the State party points out that the complainant’s argument that the Swiss authorities reversed the burden of proof against him is unfounded</w:t>
      </w:r>
      <w:r w:rsidR="00680D57" w:rsidRPr="006E7692">
        <w:t>,</w:t>
      </w:r>
      <w:r w:rsidRPr="006E7692">
        <w:t xml:space="preserve"> since the </w:t>
      </w:r>
      <w:r w:rsidR="00680D57" w:rsidRPr="006E7692">
        <w:t xml:space="preserve">jurisprudence of the </w:t>
      </w:r>
      <w:r w:rsidRPr="006E7692">
        <w:t>European Court of Human Rights</w:t>
      </w:r>
      <w:r w:rsidR="00680D57" w:rsidRPr="006E7692">
        <w:t>,</w:t>
      </w:r>
      <w:r w:rsidRPr="006E7692">
        <w:t xml:space="preserve"> cited by the latter</w:t>
      </w:r>
      <w:r w:rsidR="00680D57" w:rsidRPr="006E7692">
        <w:t>,</w:t>
      </w:r>
      <w:r w:rsidRPr="006E7692">
        <w:t xml:space="preserve"> d</w:t>
      </w:r>
      <w:r w:rsidR="00680D57" w:rsidRPr="006E7692">
        <w:t>oes</w:t>
      </w:r>
      <w:r w:rsidRPr="006E7692">
        <w:t xml:space="preserve"> not apply in his context</w:t>
      </w:r>
      <w:r w:rsidR="00680D57" w:rsidRPr="006E7692">
        <w:t>,</w:t>
      </w:r>
      <w:r w:rsidRPr="006E7692">
        <w:t xml:space="preserve"> and that the Swiss authorities had, as per their obligation, thoroughly examined the medical certificate dated 4 September 2010. The Swiss authorities consequently found that no causal link between the complainant’s injuries and the alleged ill-treatment suffered in the Islamic Republic of Iran </w:t>
      </w:r>
      <w:r w:rsidR="00680D57" w:rsidRPr="006E7692">
        <w:t>could</w:t>
      </w:r>
      <w:r w:rsidRPr="006E7692">
        <w:t xml:space="preserve"> be established. Hence, the State party argues that the treatment sustained by the complainants, as claimed before the domestic authorities and the Committee, would not amount to a violation of the Convention.</w:t>
      </w:r>
    </w:p>
    <w:p w:rsidR="00C80AA2" w:rsidRPr="006E7692" w:rsidRDefault="00C80AA2" w:rsidP="00680D57">
      <w:pPr>
        <w:pStyle w:val="SingleTxtG"/>
      </w:pPr>
      <w:r w:rsidRPr="006E7692">
        <w:t>4.8</w:t>
      </w:r>
      <w:r w:rsidRPr="006E7692">
        <w:tab/>
        <w:t xml:space="preserve">With regard to the political activities pursued by </w:t>
      </w:r>
      <w:r w:rsidR="003E313E" w:rsidRPr="006E7692">
        <w:t>Mr. Khademi</w:t>
      </w:r>
      <w:r w:rsidRPr="006E7692">
        <w:t xml:space="preserve">, the State party notes that both before the domestic authorities and the Committee, </w:t>
      </w:r>
      <w:r w:rsidR="00680D57" w:rsidRPr="006E7692">
        <w:t>Mr. Khademi</w:t>
      </w:r>
      <w:r w:rsidRPr="006E7692">
        <w:t xml:space="preserve"> contended that he was an active member of the KDPI Peshmerga in the 1980s</w:t>
      </w:r>
      <w:r w:rsidR="00680D57" w:rsidRPr="006E7692">
        <w:t>;</w:t>
      </w:r>
      <w:r w:rsidRPr="006E7692">
        <w:t xml:space="preserve"> that KDPI activists are brutally oppressed in the Islamic Republic of Iran</w:t>
      </w:r>
      <w:r w:rsidR="00680D57" w:rsidRPr="006E7692">
        <w:t xml:space="preserve">; </w:t>
      </w:r>
      <w:r w:rsidRPr="006E7692">
        <w:t xml:space="preserve">that he </w:t>
      </w:r>
      <w:r w:rsidR="00680D57" w:rsidRPr="006E7692">
        <w:t>had been</w:t>
      </w:r>
      <w:r w:rsidRPr="006E7692">
        <w:t xml:space="preserve"> arrested for his political activities</w:t>
      </w:r>
      <w:r w:rsidR="008D3588" w:rsidRPr="006E7692">
        <w:t>;</w:t>
      </w:r>
      <w:r w:rsidRPr="006E7692">
        <w:t xml:space="preserve"> and that he risked detention once more if returned to his country of origin. These allegations were duly examined by the Swiss asylum authorities, which established that they lacked credibility. Similarly, </w:t>
      </w:r>
      <w:r w:rsidR="003E313E" w:rsidRPr="006E7692">
        <w:t>Mr. Khademi</w:t>
      </w:r>
      <w:r w:rsidRPr="006E7692">
        <w:t xml:space="preserve">’s allegations relating to </w:t>
      </w:r>
      <w:r w:rsidR="00962065" w:rsidRPr="006E7692">
        <w:t>ETELAAT</w:t>
      </w:r>
      <w:r w:rsidRPr="006E7692">
        <w:t xml:space="preserve">’s search for him in Iran and Iraq were not found to be credible. Moreover, the State party notes that </w:t>
      </w:r>
      <w:r w:rsidR="003E313E" w:rsidRPr="006E7692">
        <w:t>Mr. Khademi</w:t>
      </w:r>
      <w:r w:rsidRPr="006E7692">
        <w:t xml:space="preserve"> did not demonstrate in a credible manner how his illegal departure from the Islamic Republic of Iran would expose him to danger in case of return. It was further noted that </w:t>
      </w:r>
      <w:r w:rsidR="003E313E" w:rsidRPr="006E7692">
        <w:t>Mr. Khademi</w:t>
      </w:r>
      <w:r w:rsidRPr="006E7692">
        <w:t xml:space="preserve"> has not been politically active in his country of origin since 1980 and did not submit credible evidence confirming his political activities or how the Iranian authorities would have known about them. </w:t>
      </w:r>
    </w:p>
    <w:p w:rsidR="00D5275A" w:rsidRPr="006E7692" w:rsidRDefault="00C80AA2" w:rsidP="00AB454B">
      <w:pPr>
        <w:pStyle w:val="SingleTxtG"/>
      </w:pPr>
      <w:r w:rsidRPr="006E7692">
        <w:t>4.9</w:t>
      </w:r>
      <w:r w:rsidRPr="006E7692">
        <w:tab/>
        <w:t xml:space="preserve">With regard to the political activities pursued by the complainants in Switzerland, the State party notes that, </w:t>
      </w:r>
      <w:r w:rsidR="008D3588" w:rsidRPr="006E7692">
        <w:t>Mr. Khademi, Sha</w:t>
      </w:r>
      <w:r w:rsidR="00AB454B" w:rsidRPr="006E7692">
        <w:t>h</w:t>
      </w:r>
      <w:r w:rsidR="008D3588" w:rsidRPr="006E7692">
        <w:t>in Qadery and Ramyar Khademi</w:t>
      </w:r>
      <w:r w:rsidRPr="006E7692">
        <w:t>, the first, second and third complainants</w:t>
      </w:r>
      <w:r w:rsidR="008D3588" w:rsidRPr="006E7692">
        <w:t>, stated to the Committee</w:t>
      </w:r>
      <w:r w:rsidRPr="006E7692">
        <w:t xml:space="preserve"> that they </w:t>
      </w:r>
      <w:r w:rsidR="008D3588" w:rsidRPr="006E7692">
        <w:t>we</w:t>
      </w:r>
      <w:r w:rsidRPr="006E7692">
        <w:t>re active members of the KDPI in Switzerland and participate</w:t>
      </w:r>
      <w:r w:rsidR="008D3588" w:rsidRPr="006E7692">
        <w:t>d</w:t>
      </w:r>
      <w:r w:rsidRPr="006E7692">
        <w:t xml:space="preserve"> regularly in protests, and that the Iranian authorities </w:t>
      </w:r>
      <w:r w:rsidR="008D3588" w:rsidRPr="006E7692">
        <w:t>we</w:t>
      </w:r>
      <w:r w:rsidRPr="006E7692">
        <w:t>re actively identifying activists against the regime abroad, including “low</w:t>
      </w:r>
      <w:r w:rsidR="008D3588" w:rsidRPr="006E7692">
        <w:t>-</w:t>
      </w:r>
      <w:r w:rsidRPr="006E7692">
        <w:t>profile” activists or those who participate</w:t>
      </w:r>
      <w:r w:rsidR="008D3588" w:rsidRPr="006E7692">
        <w:t>d</w:t>
      </w:r>
      <w:r w:rsidRPr="006E7692">
        <w:t xml:space="preserve"> in protests for opportunistic reasons. To support the latter claim, the complainants relied on a ruling in a British case. The State party underlines that the complainants only declared their political activities in Switzerland following the negative decision taken by the Swiss asylum authorities on 17 November 2010. Further</w:t>
      </w:r>
      <w:r w:rsidR="008D3588" w:rsidRPr="006E7692">
        <w:t>more</w:t>
      </w:r>
      <w:r w:rsidRPr="006E7692">
        <w:t>, the State party notes that</w:t>
      </w:r>
      <w:r w:rsidR="008D3588" w:rsidRPr="006E7692">
        <w:t>,</w:t>
      </w:r>
      <w:r w:rsidRPr="006E7692">
        <w:t xml:space="preserve"> on 30 June 2011, </w:t>
      </w:r>
      <w:r w:rsidR="008D3588" w:rsidRPr="006E7692">
        <w:t xml:space="preserve">in the light of its jurisprudence and new information from the complainants, </w:t>
      </w:r>
      <w:r w:rsidRPr="006E7692">
        <w:t xml:space="preserve">the Federal Administrative </w:t>
      </w:r>
      <w:r w:rsidRPr="006E7692">
        <w:lastRenderedPageBreak/>
        <w:t>Tribunal thoroughly examined whether they could be returned to their country of</w:t>
      </w:r>
      <w:r w:rsidR="00067CFC" w:rsidRPr="006E7692">
        <w:t xml:space="preserve"> </w:t>
      </w:r>
      <w:r w:rsidR="00D5275A" w:rsidRPr="006E7692">
        <w:t xml:space="preserve">origin. It found that since the revision of the Iranian Penal </w:t>
      </w:r>
      <w:r w:rsidR="008D3588" w:rsidRPr="006E7692">
        <w:t>C</w:t>
      </w:r>
      <w:r w:rsidR="00D5275A" w:rsidRPr="006E7692">
        <w:t>ode in 1996, political activities conducted abroad by an organi</w:t>
      </w:r>
      <w:r w:rsidR="008D3588" w:rsidRPr="006E7692">
        <w:t>z</w:t>
      </w:r>
      <w:r w:rsidR="00D5275A" w:rsidRPr="006E7692">
        <w:t>ation against the regime were punishable and that, according to relevant reports, individuals had been arrested, accused and condemned for critici</w:t>
      </w:r>
      <w:r w:rsidR="007E7B42" w:rsidRPr="006E7692">
        <w:t>z</w:t>
      </w:r>
      <w:r w:rsidR="00D5275A" w:rsidRPr="006E7692">
        <w:t xml:space="preserve">ing the Islamic Republic of Iran on the </w:t>
      </w:r>
      <w:r w:rsidR="007E7B42" w:rsidRPr="006E7692">
        <w:t>I</w:t>
      </w:r>
      <w:r w:rsidR="00D5275A" w:rsidRPr="006E7692">
        <w:t>nternet. It also determined that the Iranian authorities survey</w:t>
      </w:r>
      <w:r w:rsidR="007E7B42" w:rsidRPr="006E7692">
        <w:t>ed</w:t>
      </w:r>
      <w:r w:rsidR="00D5275A" w:rsidRPr="006E7692">
        <w:t xml:space="preserve"> the political activities of dissidents abroad and systematically register</w:t>
      </w:r>
      <w:r w:rsidR="007E7B42" w:rsidRPr="006E7692">
        <w:t>ed</w:t>
      </w:r>
      <w:r w:rsidR="00D5275A" w:rsidRPr="006E7692">
        <w:t xml:space="preserve"> their names. However, only dissidents of a particular profile were found to be targeted, that is</w:t>
      </w:r>
      <w:r w:rsidR="007E7B42" w:rsidRPr="006E7692">
        <w:t>,</w:t>
      </w:r>
      <w:r w:rsidR="00D5275A" w:rsidRPr="006E7692">
        <w:t xml:space="preserve"> those who occup</w:t>
      </w:r>
      <w:r w:rsidR="007E7B42" w:rsidRPr="006E7692">
        <w:t>ied</w:t>
      </w:r>
      <w:r w:rsidR="00D5275A" w:rsidRPr="006E7692">
        <w:t xml:space="preserve"> lead positions in exile, pose</w:t>
      </w:r>
      <w:r w:rsidR="007E7B42" w:rsidRPr="006E7692">
        <w:t>d</w:t>
      </w:r>
      <w:r w:rsidR="00D5275A" w:rsidRPr="006E7692">
        <w:t xml:space="preserve"> a serious and concrete threat to the </w:t>
      </w:r>
      <w:r w:rsidR="007E7B42" w:rsidRPr="006E7692">
        <w:t>G</w:t>
      </w:r>
      <w:r w:rsidR="00D5275A" w:rsidRPr="006E7692">
        <w:t xml:space="preserve">overnment and who </w:t>
      </w:r>
      <w:r w:rsidR="007E7B42" w:rsidRPr="006E7692">
        <w:t>we</w:t>
      </w:r>
      <w:r w:rsidR="00D5275A" w:rsidRPr="006E7692">
        <w:t>re in a position to place decisive pressure on the diaspora or the Iranian people, with the aim of toppling the Iranian regime. The State party argues that the complainants do not match th</w:t>
      </w:r>
      <w:r w:rsidR="007E7B42" w:rsidRPr="006E7692">
        <w:t>at</w:t>
      </w:r>
      <w:r w:rsidR="00D5275A" w:rsidRPr="006E7692">
        <w:t xml:space="preserve"> profile</w:t>
      </w:r>
      <w:r w:rsidR="007E7B42" w:rsidRPr="006E7692">
        <w:t>,</w:t>
      </w:r>
      <w:r w:rsidR="00D5275A" w:rsidRPr="006E7692">
        <w:t xml:space="preserve"> as their activities, including obtaining permits for a booth and manning it, participating in protests and writing articles online accompanied by pictures, can be compared to the political activities of many Iranian dissidents in exile and do not attract the attention of the Iranian authorities. Furthermore, the ruling</w:t>
      </w:r>
      <w:r w:rsidR="007E7B42" w:rsidRPr="006E7692">
        <w:t xml:space="preserve"> by the British court, on which </w:t>
      </w:r>
      <w:r w:rsidR="00D5275A" w:rsidRPr="006E7692">
        <w:t>the complainants</w:t>
      </w:r>
      <w:r w:rsidR="007E7B42" w:rsidRPr="006E7692">
        <w:t xml:space="preserve"> relied</w:t>
      </w:r>
      <w:r w:rsidR="00D5275A" w:rsidRPr="006E7692">
        <w:t>, which f</w:t>
      </w:r>
      <w:r w:rsidR="007E7B42" w:rsidRPr="006E7692">
        <w:t>ound</w:t>
      </w:r>
      <w:r w:rsidR="00D5275A" w:rsidRPr="006E7692">
        <w:t xml:space="preserve"> that “low</w:t>
      </w:r>
      <w:r w:rsidR="007E7B42" w:rsidRPr="006E7692">
        <w:t>-</w:t>
      </w:r>
      <w:r w:rsidR="00D5275A" w:rsidRPr="006E7692">
        <w:t xml:space="preserve"> profile” dissidents abroad </w:t>
      </w:r>
      <w:r w:rsidR="007E7B42" w:rsidRPr="006E7692">
        <w:t>we</w:t>
      </w:r>
      <w:r w:rsidR="00D5275A" w:rsidRPr="006E7692">
        <w:t>re targeted by the Iranian regime, cannot be interpreted as mean</w:t>
      </w:r>
      <w:r w:rsidR="007E7B42" w:rsidRPr="006E7692">
        <w:t>ing</w:t>
      </w:r>
      <w:r w:rsidR="00D5275A" w:rsidRPr="006E7692">
        <w:t xml:space="preserve"> that all “low</w:t>
      </w:r>
      <w:r w:rsidR="007E7B42" w:rsidRPr="006E7692">
        <w:t>-</w:t>
      </w:r>
      <w:r w:rsidR="00D5275A" w:rsidRPr="006E7692">
        <w:t>profile” dissidents would face ill-treatment if returned to the Islamic Republic of Iran</w:t>
      </w:r>
      <w:r w:rsidR="007E7B42" w:rsidRPr="006E7692">
        <w:t>,</w:t>
      </w:r>
      <w:r w:rsidR="00D5275A" w:rsidRPr="006E7692">
        <w:t xml:space="preserve"> as th</w:t>
      </w:r>
      <w:r w:rsidR="007E7B42" w:rsidRPr="006E7692">
        <w:t>at</w:t>
      </w:r>
      <w:r w:rsidR="00D5275A" w:rsidRPr="006E7692">
        <w:t xml:space="preserve"> does not reflect the reality. In addition, the State party submits that, since </w:t>
      </w:r>
      <w:r w:rsidR="003E313E" w:rsidRPr="006E7692">
        <w:t>Mr. Khademi</w:t>
      </w:r>
      <w:r w:rsidR="00D5275A" w:rsidRPr="006E7692">
        <w:t>’s allegations pertaining to his political activities in the Islamic Republic of Iran were not judged to be credible by the Swiss asylum authorities, the same credibility concerns arise vis-</w:t>
      </w:r>
      <w:r w:rsidR="007E7B42" w:rsidRPr="006E7692">
        <w:t>à</w:t>
      </w:r>
      <w:r w:rsidR="00D5275A" w:rsidRPr="006E7692">
        <w:t xml:space="preserve">-vis his allegation that he was identified as an activist in Iraq. </w:t>
      </w:r>
    </w:p>
    <w:p w:rsidR="00D5275A" w:rsidRPr="006E7692" w:rsidRDefault="00D5275A" w:rsidP="00A80B3D">
      <w:pPr>
        <w:pStyle w:val="SingleTxtG"/>
      </w:pPr>
      <w:r w:rsidRPr="006E7692">
        <w:t>4.10</w:t>
      </w:r>
      <w:r w:rsidRPr="006E7692">
        <w:tab/>
        <w:t xml:space="preserve">With regard to the credibility and the factual consistency of the complainants’ claims, the State party recalls that the Swiss asylum authorities considered it implausible that the Iranian authorities would arrest </w:t>
      </w:r>
      <w:r w:rsidR="003E313E" w:rsidRPr="006E7692">
        <w:t>Mr. Khademi</w:t>
      </w:r>
      <w:r w:rsidRPr="006E7692">
        <w:t xml:space="preserve"> for his involvement with the KDPI five years after he </w:t>
      </w:r>
      <w:r w:rsidR="007E7B42" w:rsidRPr="006E7692">
        <w:t xml:space="preserve">had </w:t>
      </w:r>
      <w:r w:rsidRPr="006E7692">
        <w:t>allegedly stopped th</w:t>
      </w:r>
      <w:r w:rsidR="007E7B42" w:rsidRPr="006E7692">
        <w:t>o</w:t>
      </w:r>
      <w:r w:rsidRPr="006E7692">
        <w:t xml:space="preserve">se political activities. The domestic authorities also found that </w:t>
      </w:r>
      <w:r w:rsidR="003E313E" w:rsidRPr="006E7692">
        <w:t>Mr. Khademi</w:t>
      </w:r>
      <w:r w:rsidRPr="006E7692">
        <w:t xml:space="preserve">’s explanation regarding his identification by the </w:t>
      </w:r>
      <w:r w:rsidR="00962065" w:rsidRPr="006E7692">
        <w:t>ETELAAT</w:t>
      </w:r>
      <w:r w:rsidRPr="006E7692">
        <w:t xml:space="preserve"> during the first asylum proceedings was vague and illogical</w:t>
      </w:r>
      <w:r w:rsidR="00A80B3D" w:rsidRPr="006E7692">
        <w:t>,</w:t>
      </w:r>
      <w:r w:rsidRPr="006E7692">
        <w:t xml:space="preserve"> as he must have assumed </w:t>
      </w:r>
      <w:r w:rsidR="00A80B3D" w:rsidRPr="006E7692">
        <w:t xml:space="preserve">that </w:t>
      </w:r>
      <w:r w:rsidRPr="006E7692">
        <w:t xml:space="preserve">it was safe to return to </w:t>
      </w:r>
      <w:r w:rsidR="00BA09EA" w:rsidRPr="006E7692">
        <w:t>Mari</w:t>
      </w:r>
      <w:r w:rsidRPr="006E7692">
        <w:t>van</w:t>
      </w:r>
      <w:r w:rsidR="00F46CFA" w:rsidRPr="006E7692">
        <w:t>.</w:t>
      </w:r>
      <w:r w:rsidRPr="006E7692">
        <w:t xml:space="preserve"> In addition, following the negative asylum decision on 17 November 2010, </w:t>
      </w:r>
      <w:r w:rsidR="003E313E" w:rsidRPr="006E7692">
        <w:t>Mr. Khademi</w:t>
      </w:r>
      <w:r w:rsidRPr="006E7692">
        <w:t xml:space="preserve"> indicated in the second asylum proceedings that he was identified to the </w:t>
      </w:r>
      <w:r w:rsidR="00962065" w:rsidRPr="006E7692">
        <w:t>ETELAAT</w:t>
      </w:r>
      <w:r w:rsidRPr="006E7692">
        <w:t xml:space="preserve"> by a masked man who had been called up as a witness during the </w:t>
      </w:r>
      <w:r w:rsidR="00A80B3D" w:rsidRPr="006E7692">
        <w:t>his</w:t>
      </w:r>
      <w:r w:rsidRPr="006E7692">
        <w:t xml:space="preserve"> detention and who denounced him to the authorities. Considering the potential significance of such a revelation, the domestic authorities considered this additional information to have been invented by the complainant and concluded that there were no substantial grounds to believe that the complainants would be subjected to torture if returned. </w:t>
      </w:r>
    </w:p>
    <w:p w:rsidR="00D5275A" w:rsidRPr="006E7692" w:rsidRDefault="00D5275A" w:rsidP="00777CC8">
      <w:pPr>
        <w:pStyle w:val="SingleTxtG"/>
      </w:pPr>
      <w:r w:rsidRPr="006E7692">
        <w:t>4.11</w:t>
      </w:r>
      <w:r w:rsidRPr="006E7692">
        <w:tab/>
        <w:t xml:space="preserve">In respect of </w:t>
      </w:r>
      <w:r w:rsidR="003E313E" w:rsidRPr="006E7692">
        <w:t>Mr. Khademi</w:t>
      </w:r>
      <w:r w:rsidRPr="006E7692">
        <w:t xml:space="preserve">’s allegations that he returned to </w:t>
      </w:r>
      <w:r w:rsidR="00BA09EA" w:rsidRPr="006E7692">
        <w:t>Mari</w:t>
      </w:r>
      <w:r w:rsidRPr="006E7692">
        <w:t>van in 2001 to visit his family</w:t>
      </w:r>
      <w:r w:rsidR="002A3202" w:rsidRPr="006E7692">
        <w:t xml:space="preserve"> and</w:t>
      </w:r>
      <w:r w:rsidRPr="006E7692">
        <w:t xml:space="preserve"> by chance he found himself in the midst of a “huge” protest in the town centre, </w:t>
      </w:r>
      <w:r w:rsidR="002A3202" w:rsidRPr="006E7692">
        <w:t xml:space="preserve">that he </w:t>
      </w:r>
      <w:r w:rsidRPr="006E7692">
        <w:t xml:space="preserve">was identified through video footage within a day by the Iranian security forces and was </w:t>
      </w:r>
      <w:r w:rsidR="00777CC8" w:rsidRPr="006E7692">
        <w:t xml:space="preserve">being </w:t>
      </w:r>
      <w:r w:rsidRPr="006E7692">
        <w:t xml:space="preserve">sought following their identification of him that same day, the State party notes that the </w:t>
      </w:r>
      <w:r w:rsidR="002A3202" w:rsidRPr="006E7692">
        <w:t>asylum</w:t>
      </w:r>
      <w:r w:rsidRPr="006E7692">
        <w:t xml:space="preserve"> authorities found this recount to be implausible</w:t>
      </w:r>
      <w:r w:rsidR="002A3202" w:rsidRPr="006E7692">
        <w:t>,</w:t>
      </w:r>
      <w:r w:rsidRPr="006E7692">
        <w:t xml:space="preserve"> considering the short time</w:t>
      </w:r>
      <w:r w:rsidR="002A3202" w:rsidRPr="006E7692">
        <w:t xml:space="preserve"> </w:t>
      </w:r>
      <w:r w:rsidRPr="006E7692">
        <w:t xml:space="preserve">frame in which </w:t>
      </w:r>
      <w:r w:rsidR="002A3202" w:rsidRPr="006E7692">
        <w:t>it all</w:t>
      </w:r>
      <w:r w:rsidRPr="006E7692">
        <w:t xml:space="preserve"> supposedly occurred and the complainant’s description of the protest as “huge.” Furthermore, during the first asylum proceedings</w:t>
      </w:r>
      <w:r w:rsidR="002A3202" w:rsidRPr="006E7692">
        <w:t>,</w:t>
      </w:r>
      <w:r w:rsidRPr="006E7692">
        <w:t xml:space="preserve"> </w:t>
      </w:r>
      <w:r w:rsidR="003E313E" w:rsidRPr="006E7692">
        <w:t>Mr. Khademi</w:t>
      </w:r>
      <w:r w:rsidRPr="006E7692">
        <w:t xml:space="preserve"> made statements which led the </w:t>
      </w:r>
      <w:r w:rsidR="002A3202" w:rsidRPr="006E7692">
        <w:t>asylum</w:t>
      </w:r>
      <w:r w:rsidRPr="006E7692">
        <w:t xml:space="preserve"> authorities to question the veracity of his allegations regarding th</w:t>
      </w:r>
      <w:r w:rsidR="002A3202" w:rsidRPr="006E7692">
        <w:t>o</w:t>
      </w:r>
      <w:r w:rsidRPr="006E7692">
        <w:t xml:space="preserve">se incidents. For instance, </w:t>
      </w:r>
      <w:r w:rsidR="003E313E" w:rsidRPr="006E7692">
        <w:t>Mr. Khademi</w:t>
      </w:r>
      <w:r w:rsidRPr="006E7692">
        <w:t xml:space="preserve"> </w:t>
      </w:r>
      <w:r w:rsidR="002A3202" w:rsidRPr="006E7692">
        <w:t>stated</w:t>
      </w:r>
      <w:r w:rsidRPr="006E7692">
        <w:t xml:space="preserve"> that he visited his family in </w:t>
      </w:r>
      <w:r w:rsidR="00BA09EA" w:rsidRPr="006E7692">
        <w:t>Mari</w:t>
      </w:r>
      <w:r w:rsidRPr="006E7692">
        <w:t>van on the occasion of every N</w:t>
      </w:r>
      <w:r w:rsidR="002A3202" w:rsidRPr="006E7692">
        <w:t>owruz</w:t>
      </w:r>
      <w:r w:rsidRPr="006E7692">
        <w:t>, even during his detention</w:t>
      </w:r>
      <w:r w:rsidR="002A3202" w:rsidRPr="006E7692">
        <w:t>,</w:t>
      </w:r>
      <w:r w:rsidRPr="006E7692">
        <w:t xml:space="preserve"> as he was given seven days leave, </w:t>
      </w:r>
      <w:r w:rsidR="002A3202" w:rsidRPr="006E7692">
        <w:t xml:space="preserve">as well as </w:t>
      </w:r>
      <w:r w:rsidRPr="006E7692">
        <w:t xml:space="preserve">during his exile in Yazd. The Swiss asylum authorities therefore found it surprising that the </w:t>
      </w:r>
      <w:r w:rsidR="00962065" w:rsidRPr="006E7692">
        <w:t>ETELAAT</w:t>
      </w:r>
      <w:r w:rsidRPr="006E7692">
        <w:t xml:space="preserve"> would have suspected him on only th</w:t>
      </w:r>
      <w:r w:rsidR="002A3202" w:rsidRPr="006E7692">
        <w:t>at</w:t>
      </w:r>
      <w:r w:rsidRPr="006E7692">
        <w:t xml:space="preserve"> occasion of N</w:t>
      </w:r>
      <w:r w:rsidR="002A3202" w:rsidRPr="006E7692">
        <w:t>owruz</w:t>
      </w:r>
      <w:r w:rsidRPr="006E7692">
        <w:t xml:space="preserve"> of coming to </w:t>
      </w:r>
      <w:r w:rsidR="00BA09EA" w:rsidRPr="006E7692">
        <w:t>Mari</w:t>
      </w:r>
      <w:r w:rsidRPr="006E7692">
        <w:t xml:space="preserve">van with the aim of participating in a protest. Furthermore, </w:t>
      </w:r>
      <w:r w:rsidR="003E313E" w:rsidRPr="006E7692">
        <w:t>Mr. Khademi</w:t>
      </w:r>
      <w:r w:rsidRPr="006E7692">
        <w:t xml:space="preserve"> provided conflicting statements in respect of his knowledge of </w:t>
      </w:r>
      <w:r w:rsidR="00962065" w:rsidRPr="006E7692">
        <w:t>ETELAAT</w:t>
      </w:r>
      <w:r w:rsidRPr="006E7692">
        <w:t xml:space="preserve">’s presence at the protest. In an initial interview, he claimed to have been unaware of </w:t>
      </w:r>
      <w:r w:rsidR="00962065" w:rsidRPr="006E7692">
        <w:t>ETELAAT</w:t>
      </w:r>
      <w:r w:rsidRPr="006E7692">
        <w:t xml:space="preserve"> agents taking photos, whereas in a later</w:t>
      </w:r>
      <w:r w:rsidR="00067CFC" w:rsidRPr="006E7692">
        <w:t xml:space="preserve"> </w:t>
      </w:r>
      <w:r w:rsidRPr="006E7692">
        <w:t xml:space="preserve">interview he claimed to have known </w:t>
      </w:r>
      <w:r w:rsidRPr="006E7692">
        <w:lastRenderedPageBreak/>
        <w:t xml:space="preserve">that the authorities had installed secret cameras and were filming protestors and that he was identified through the footage. </w:t>
      </w:r>
    </w:p>
    <w:p w:rsidR="00D5275A" w:rsidRPr="006E7692" w:rsidRDefault="00D5275A" w:rsidP="00AB454B">
      <w:pPr>
        <w:pStyle w:val="SingleTxtG"/>
      </w:pPr>
      <w:r w:rsidRPr="006E7692">
        <w:t>4.12</w:t>
      </w:r>
      <w:r w:rsidRPr="006E7692">
        <w:tab/>
        <w:t>The State party submits that</w:t>
      </w:r>
      <w:r w:rsidR="002A3202" w:rsidRPr="006E7692">
        <w:t xml:space="preserve"> the asylum authorities </w:t>
      </w:r>
      <w:r w:rsidRPr="006E7692">
        <w:t xml:space="preserve">established </w:t>
      </w:r>
      <w:r w:rsidR="002A3202" w:rsidRPr="006E7692">
        <w:t>that</w:t>
      </w:r>
      <w:r w:rsidRPr="006E7692">
        <w:t xml:space="preserve"> the claims of </w:t>
      </w:r>
      <w:r w:rsidR="002A3202" w:rsidRPr="006E7692">
        <w:t>Sha</w:t>
      </w:r>
      <w:r w:rsidR="00AB454B" w:rsidRPr="006E7692">
        <w:t>h</w:t>
      </w:r>
      <w:r w:rsidR="002A3202" w:rsidRPr="006E7692">
        <w:t xml:space="preserve">in Qadery, </w:t>
      </w:r>
      <w:r w:rsidRPr="006E7692">
        <w:t>the second complainant</w:t>
      </w:r>
      <w:r w:rsidR="002A3202" w:rsidRPr="006E7692">
        <w:t>, w</w:t>
      </w:r>
      <w:r w:rsidR="00AB454B" w:rsidRPr="006E7692">
        <w:t>ent</w:t>
      </w:r>
      <w:r w:rsidRPr="006E7692">
        <w:t xml:space="preserve"> against all logic. </w:t>
      </w:r>
      <w:r w:rsidR="002A3202" w:rsidRPr="006E7692">
        <w:t>They considered it</w:t>
      </w:r>
      <w:r w:rsidRPr="006E7692">
        <w:t xml:space="preserve"> improbable that she </w:t>
      </w:r>
      <w:r w:rsidR="002A3202" w:rsidRPr="006E7692">
        <w:t xml:space="preserve">was able to </w:t>
      </w:r>
      <w:r w:rsidRPr="006E7692">
        <w:t>both inform her husband that he was being sought in Yazd</w:t>
      </w:r>
      <w:r w:rsidR="002A3202" w:rsidRPr="006E7692">
        <w:t>,</w:t>
      </w:r>
      <w:r w:rsidRPr="006E7692">
        <w:t xml:space="preserve"> and explain to the Iranian authorities at their Yazd residence that he would not return while they were there</w:t>
      </w:r>
      <w:r w:rsidR="002A3202" w:rsidRPr="006E7692">
        <w:t>;</w:t>
      </w:r>
      <w:r w:rsidRPr="006E7692">
        <w:t xml:space="preserve"> </w:t>
      </w:r>
      <w:r w:rsidR="002A3202" w:rsidRPr="006E7692">
        <w:t xml:space="preserve">that </w:t>
      </w:r>
      <w:r w:rsidRPr="006E7692">
        <w:t xml:space="preserve">the </w:t>
      </w:r>
      <w:r w:rsidR="002A3202" w:rsidRPr="006E7692">
        <w:t xml:space="preserve">Iranian </w:t>
      </w:r>
      <w:r w:rsidRPr="006E7692">
        <w:t xml:space="preserve">authorities </w:t>
      </w:r>
      <w:r w:rsidR="002A3202" w:rsidRPr="006E7692">
        <w:t>would have</w:t>
      </w:r>
      <w:r w:rsidRPr="006E7692">
        <w:t xml:space="preserve"> le</w:t>
      </w:r>
      <w:r w:rsidR="002A3202" w:rsidRPr="006E7692">
        <w:t>ft</w:t>
      </w:r>
      <w:r w:rsidRPr="006E7692">
        <w:t xml:space="preserve"> without further question</w:t>
      </w:r>
      <w:r w:rsidR="002A3202" w:rsidRPr="006E7692">
        <w:t>s;</w:t>
      </w:r>
      <w:r w:rsidRPr="006E7692">
        <w:t xml:space="preserve"> and </w:t>
      </w:r>
      <w:r w:rsidR="002A3202" w:rsidRPr="006E7692">
        <w:t>that she</w:t>
      </w:r>
      <w:r w:rsidRPr="006E7692">
        <w:t xml:space="preserve"> and </w:t>
      </w:r>
      <w:r w:rsidR="002A3202" w:rsidRPr="006E7692">
        <w:t>her</w:t>
      </w:r>
      <w:r w:rsidRPr="006E7692">
        <w:t xml:space="preserve"> children </w:t>
      </w:r>
      <w:r w:rsidR="002A3202" w:rsidRPr="006E7692">
        <w:t>would</w:t>
      </w:r>
      <w:r w:rsidRPr="006E7692">
        <w:t xml:space="preserve"> leave for Mehr</w:t>
      </w:r>
      <w:r w:rsidR="002A3202" w:rsidRPr="006E7692">
        <w:t>iz</w:t>
      </w:r>
      <w:r w:rsidRPr="006E7692">
        <w:t xml:space="preserve"> to join her husband without being followed. Moreover, the State party points out that the complainants omitted to declare that they had resided in Greece for four years prior to arriving in Switzerland. It was only through a criminal procedure against </w:t>
      </w:r>
      <w:r w:rsidR="00F62F3D" w:rsidRPr="006E7692">
        <w:t xml:space="preserve">Mazyar Khademi, </w:t>
      </w:r>
      <w:r w:rsidRPr="006E7692">
        <w:t>the fifth complainant</w:t>
      </w:r>
      <w:r w:rsidR="00F62F3D" w:rsidRPr="006E7692">
        <w:t>,</w:t>
      </w:r>
      <w:r w:rsidRPr="006E7692">
        <w:t xml:space="preserve"> that this fact was revealed. Thus, the claims made by </w:t>
      </w:r>
      <w:r w:rsidR="00F62F3D" w:rsidRPr="006E7692">
        <w:t>Sha</w:t>
      </w:r>
      <w:r w:rsidR="00AB454B" w:rsidRPr="006E7692">
        <w:t>h</w:t>
      </w:r>
      <w:r w:rsidR="00F62F3D" w:rsidRPr="006E7692">
        <w:t>in Qadery</w:t>
      </w:r>
      <w:r w:rsidRPr="006E7692">
        <w:t xml:space="preserve"> that the </w:t>
      </w:r>
      <w:r w:rsidR="00962065" w:rsidRPr="006E7692">
        <w:t>ETELAAT</w:t>
      </w:r>
      <w:r w:rsidRPr="006E7692">
        <w:t xml:space="preserve"> sought out her husband in Iraq just before the family de</w:t>
      </w:r>
      <w:r w:rsidR="00206DD7" w:rsidRPr="006E7692">
        <w:t>parted are not true to reality.</w:t>
      </w:r>
    </w:p>
    <w:p w:rsidR="00D5275A" w:rsidRPr="006E7692" w:rsidRDefault="00D5275A" w:rsidP="00AB454B">
      <w:pPr>
        <w:pStyle w:val="SingleTxtG"/>
      </w:pPr>
      <w:r w:rsidRPr="006E7692">
        <w:t>4.13</w:t>
      </w:r>
      <w:r w:rsidRPr="006E7692">
        <w:tab/>
        <w:t xml:space="preserve">The State party further submits that the </w:t>
      </w:r>
      <w:r w:rsidR="00F62F3D" w:rsidRPr="006E7692">
        <w:t>asylum</w:t>
      </w:r>
      <w:r w:rsidRPr="006E7692">
        <w:t xml:space="preserve"> authorities</w:t>
      </w:r>
      <w:r w:rsidR="00F62F3D" w:rsidRPr="006E7692">
        <w:t xml:space="preserve"> found that</w:t>
      </w:r>
      <w:r w:rsidRPr="006E7692">
        <w:t xml:space="preserve"> the documents provided by the complainants to support their claims </w:t>
      </w:r>
      <w:r w:rsidR="00F62F3D" w:rsidRPr="006E7692">
        <w:t>we</w:t>
      </w:r>
      <w:r w:rsidRPr="006E7692">
        <w:t xml:space="preserve">re not credible. The </w:t>
      </w:r>
      <w:r w:rsidR="00F62F3D" w:rsidRPr="006E7692">
        <w:t>Swiss asylum</w:t>
      </w:r>
      <w:r w:rsidRPr="006E7692">
        <w:t xml:space="preserve"> authorities noted that the pardon requests presented by </w:t>
      </w:r>
      <w:r w:rsidR="003E313E" w:rsidRPr="006E7692">
        <w:t>Mr. Khademi</w:t>
      </w:r>
      <w:r w:rsidRPr="006E7692">
        <w:t xml:space="preserve"> had no evidential value as they </w:t>
      </w:r>
      <w:r w:rsidR="00F62F3D" w:rsidRPr="006E7692">
        <w:t>had been</w:t>
      </w:r>
      <w:r w:rsidRPr="006E7692">
        <w:t xml:space="preserve"> written by him. The letter from the tribal elder in </w:t>
      </w:r>
      <w:r w:rsidR="00BA09EA" w:rsidRPr="006E7692">
        <w:t>Mari</w:t>
      </w:r>
      <w:r w:rsidRPr="006E7692">
        <w:t>van</w:t>
      </w:r>
      <w:r w:rsidR="00AE2555" w:rsidRPr="006E7692">
        <w:t>,</w:t>
      </w:r>
      <w:r w:rsidRPr="006E7692">
        <w:t xml:space="preserve"> confirming the problems </w:t>
      </w:r>
      <w:r w:rsidR="00F62F3D" w:rsidRPr="006E7692">
        <w:t xml:space="preserve">that </w:t>
      </w:r>
      <w:r w:rsidR="003E313E" w:rsidRPr="006E7692">
        <w:t>Mr. Khademi</w:t>
      </w:r>
      <w:r w:rsidRPr="006E7692">
        <w:t xml:space="preserve"> allegedly faced</w:t>
      </w:r>
      <w:r w:rsidR="00F62F3D" w:rsidRPr="006E7692">
        <w:t>,</w:t>
      </w:r>
      <w:r w:rsidRPr="006E7692">
        <w:t xml:space="preserve"> and the letter confirming his activities in the KDPI could also not be counted as evidence as they were purposely drafted to support his claims. </w:t>
      </w:r>
      <w:r w:rsidR="00F62F3D" w:rsidRPr="006E7692">
        <w:t>A</w:t>
      </w:r>
      <w:r w:rsidRPr="006E7692">
        <w:t xml:space="preserve"> copy of </w:t>
      </w:r>
      <w:r w:rsidR="00F62F3D" w:rsidRPr="006E7692">
        <w:t>Mr. Khademi’s</w:t>
      </w:r>
      <w:r w:rsidRPr="006E7692">
        <w:t xml:space="preserve"> request for </w:t>
      </w:r>
      <w:r w:rsidR="00F62F3D" w:rsidRPr="006E7692">
        <w:t>five</w:t>
      </w:r>
      <w:r w:rsidRPr="006E7692">
        <w:t xml:space="preserve"> days</w:t>
      </w:r>
      <w:r w:rsidR="00AB454B" w:rsidRPr="006E7692">
        <w:t>’</w:t>
      </w:r>
      <w:r w:rsidRPr="006E7692">
        <w:t xml:space="preserve"> </w:t>
      </w:r>
      <w:r w:rsidR="00F62F3D" w:rsidRPr="006E7692">
        <w:t>leave</w:t>
      </w:r>
      <w:r w:rsidRPr="006E7692">
        <w:t xml:space="preserve"> from detention in </w:t>
      </w:r>
      <w:r w:rsidR="00BA09EA" w:rsidRPr="006E7692">
        <w:t>Mari</w:t>
      </w:r>
      <w:r w:rsidRPr="006E7692">
        <w:t xml:space="preserve">van and </w:t>
      </w:r>
      <w:r w:rsidR="00F62F3D" w:rsidRPr="006E7692">
        <w:t>the</w:t>
      </w:r>
      <w:r w:rsidRPr="006E7692">
        <w:t xml:space="preserve"> postal receipt could not be accepted as evidence either. Regarding the copies of legal documents from Yazd, which were lodged by </w:t>
      </w:r>
      <w:r w:rsidR="003E313E" w:rsidRPr="006E7692">
        <w:t>Mr. Khademi</w:t>
      </w:r>
      <w:r w:rsidRPr="006E7692">
        <w:t xml:space="preserve"> with the </w:t>
      </w:r>
      <w:r w:rsidR="00AE2555" w:rsidRPr="006E7692">
        <w:t>Swiss asylum</w:t>
      </w:r>
      <w:r w:rsidRPr="006E7692">
        <w:t xml:space="preserve"> authorities, it was considered that they could have been falsified and therefore could not be accepted as evidence. Moreover, when the </w:t>
      </w:r>
      <w:r w:rsidR="00AE2555" w:rsidRPr="006E7692">
        <w:t>Swiss asylum</w:t>
      </w:r>
      <w:r w:rsidRPr="006E7692">
        <w:t xml:space="preserve"> authorities requested </w:t>
      </w:r>
      <w:r w:rsidR="003E313E" w:rsidRPr="006E7692">
        <w:t>Mr. Khademi</w:t>
      </w:r>
      <w:r w:rsidRPr="006E7692">
        <w:t xml:space="preserve"> to submit original copies of the judicial process against him, he produced a letter from an Iranian lawyer confirming that access to the original documents was impossible. The </w:t>
      </w:r>
      <w:r w:rsidR="00AE2555" w:rsidRPr="006E7692">
        <w:t>Swiss asylum</w:t>
      </w:r>
      <w:r w:rsidRPr="006E7692">
        <w:t xml:space="preserve"> authorities considered that th</w:t>
      </w:r>
      <w:r w:rsidR="00AE2555" w:rsidRPr="006E7692">
        <w:t>e</w:t>
      </w:r>
      <w:r w:rsidRPr="006E7692">
        <w:t xml:space="preserve"> letter </w:t>
      </w:r>
      <w:r w:rsidR="00AE2555" w:rsidRPr="006E7692">
        <w:t xml:space="preserve">was </w:t>
      </w:r>
      <w:r w:rsidRPr="006E7692">
        <w:t>not credible evidence</w:t>
      </w:r>
      <w:r w:rsidR="00AE2555" w:rsidRPr="006E7692">
        <w:t>,</w:t>
      </w:r>
      <w:r w:rsidRPr="006E7692">
        <w:t xml:space="preserve"> as it was again drafted with the purpose of supporting </w:t>
      </w:r>
      <w:r w:rsidR="003E313E" w:rsidRPr="006E7692">
        <w:t>Mr. Khademi</w:t>
      </w:r>
      <w:r w:rsidRPr="006E7692">
        <w:t xml:space="preserve">’s claims. Furthermore, the </w:t>
      </w:r>
      <w:r w:rsidR="00AE2555" w:rsidRPr="006E7692">
        <w:t>Swiss</w:t>
      </w:r>
      <w:r w:rsidRPr="006E7692">
        <w:t xml:space="preserve"> authorities determined that the lawyer who drafted the letter had not been involved in the defence of </w:t>
      </w:r>
      <w:r w:rsidR="003E313E" w:rsidRPr="006E7692">
        <w:t>Mr. Khademi</w:t>
      </w:r>
      <w:r w:rsidRPr="006E7692">
        <w:t xml:space="preserve"> before the </w:t>
      </w:r>
      <w:r w:rsidR="00AB454B" w:rsidRPr="006E7692">
        <w:t>R</w:t>
      </w:r>
      <w:r w:rsidRPr="006E7692">
        <w:t xml:space="preserve">evolutionary </w:t>
      </w:r>
      <w:r w:rsidR="00AB454B" w:rsidRPr="006E7692">
        <w:t>T</w:t>
      </w:r>
      <w:r w:rsidRPr="006E7692">
        <w:t xml:space="preserve">ribunal. Furthermore, the </w:t>
      </w:r>
      <w:r w:rsidR="00AB454B" w:rsidRPr="006E7692">
        <w:t>asylum</w:t>
      </w:r>
      <w:r w:rsidRPr="006E7692">
        <w:t xml:space="preserve"> authorities established</w:t>
      </w:r>
      <w:r w:rsidR="00AB454B" w:rsidRPr="006E7692">
        <w:t xml:space="preserve">, based on information from </w:t>
      </w:r>
      <w:r w:rsidRPr="006E7692">
        <w:t xml:space="preserve">the Swiss </w:t>
      </w:r>
      <w:r w:rsidR="00AB454B" w:rsidRPr="006E7692">
        <w:t>E</w:t>
      </w:r>
      <w:r w:rsidRPr="006E7692">
        <w:t xml:space="preserve">mbassy in Tehran, </w:t>
      </w:r>
      <w:r w:rsidR="00AB454B" w:rsidRPr="006E7692">
        <w:t xml:space="preserve">that </w:t>
      </w:r>
      <w:r w:rsidRPr="006E7692">
        <w:t xml:space="preserve">the general rule was that the condemned received a copy of the judgement or, at least, he or </w:t>
      </w:r>
      <w:r w:rsidR="00AB454B" w:rsidRPr="006E7692">
        <w:t>his</w:t>
      </w:r>
      <w:r w:rsidRPr="006E7692">
        <w:t xml:space="preserve"> mandated lawyer </w:t>
      </w:r>
      <w:r w:rsidR="00AB454B" w:rsidRPr="006E7692">
        <w:t>c</w:t>
      </w:r>
      <w:r w:rsidRPr="006E7692">
        <w:t>ould obtain copies at a later stage.</w:t>
      </w:r>
      <w:r w:rsidR="006F5F8C" w:rsidRPr="006E7692">
        <w:t xml:space="preserve"> </w:t>
      </w:r>
      <w:r w:rsidR="00AB454B" w:rsidRPr="006E7692">
        <w:t>Mr. Khademi</w:t>
      </w:r>
      <w:r w:rsidRPr="006E7692">
        <w:t xml:space="preserve"> was unable to convincingly argue against th</w:t>
      </w:r>
      <w:r w:rsidR="00AB454B" w:rsidRPr="006E7692">
        <w:t>o</w:t>
      </w:r>
      <w:r w:rsidRPr="006E7692">
        <w:t xml:space="preserve">se findings and explain why he had not used a lawyer who had defended him before the </w:t>
      </w:r>
      <w:r w:rsidR="00AB454B" w:rsidRPr="006E7692">
        <w:t>R</w:t>
      </w:r>
      <w:r w:rsidRPr="006E7692">
        <w:t xml:space="preserve">evolutionary </w:t>
      </w:r>
      <w:r w:rsidR="00AB454B" w:rsidRPr="006E7692">
        <w:t>T</w:t>
      </w:r>
      <w:r w:rsidRPr="006E7692">
        <w:t>ribunal to obtai</w:t>
      </w:r>
      <w:r w:rsidR="00206DD7" w:rsidRPr="006E7692">
        <w:t>n the required legal documents.</w:t>
      </w:r>
    </w:p>
    <w:p w:rsidR="008B20A5" w:rsidRPr="006E7692" w:rsidRDefault="00D5275A" w:rsidP="00777CC8">
      <w:pPr>
        <w:pStyle w:val="SingleTxtG"/>
      </w:pPr>
      <w:r w:rsidRPr="006E7692">
        <w:t>4.14</w:t>
      </w:r>
      <w:r w:rsidRPr="006E7692">
        <w:tab/>
        <w:t>As regards the complainants</w:t>
      </w:r>
      <w:r w:rsidR="00AB454B" w:rsidRPr="006E7692">
        <w:t>’</w:t>
      </w:r>
      <w:r w:rsidRPr="006E7692">
        <w:t xml:space="preserve"> other allegations, the State party notes</w:t>
      </w:r>
      <w:r w:rsidR="00AB454B" w:rsidRPr="006E7692">
        <w:t>, first of all,</w:t>
      </w:r>
      <w:r w:rsidRPr="006E7692">
        <w:t xml:space="preserve"> that the Swiss authorities could not find any evidence of the alleged death sentence against </w:t>
      </w:r>
      <w:r w:rsidR="00AB454B" w:rsidRPr="006E7692">
        <w:t>Mr. Khademi</w:t>
      </w:r>
      <w:r w:rsidRPr="006E7692">
        <w:t xml:space="preserve">, which was subsequently commuted to a less severe sentence. The Kurdish media is known to actively </w:t>
      </w:r>
      <w:r w:rsidR="00AB454B" w:rsidRPr="006E7692">
        <w:t>draw</w:t>
      </w:r>
      <w:r w:rsidRPr="006E7692">
        <w:t xml:space="preserve"> attention to </w:t>
      </w:r>
      <w:r w:rsidR="00AB454B" w:rsidRPr="006E7692">
        <w:t xml:space="preserve">cases of the </w:t>
      </w:r>
      <w:r w:rsidRPr="006E7692">
        <w:t>death penalty against Kurdish individuals</w:t>
      </w:r>
      <w:r w:rsidR="00AB454B" w:rsidRPr="006E7692">
        <w:t>,</w:t>
      </w:r>
      <w:r w:rsidRPr="006E7692">
        <w:t xml:space="preserve"> th</w:t>
      </w:r>
      <w:r w:rsidR="00AB454B" w:rsidRPr="006E7692">
        <w:t>erefore</w:t>
      </w:r>
      <w:r w:rsidRPr="006E7692">
        <w:t xml:space="preserve"> </w:t>
      </w:r>
      <w:r w:rsidR="003E313E" w:rsidRPr="006E7692">
        <w:t>Mr. Khademi</w:t>
      </w:r>
      <w:r w:rsidRPr="006E7692">
        <w:t>’s case would have caught the interest of the population. Second</w:t>
      </w:r>
      <w:r w:rsidR="00AB454B" w:rsidRPr="006E7692">
        <w:t>ly</w:t>
      </w:r>
      <w:r w:rsidRPr="006E7692">
        <w:t xml:space="preserve">, the Swiss authorities found that </w:t>
      </w:r>
      <w:r w:rsidR="00AB454B" w:rsidRPr="006E7692">
        <w:t xml:space="preserve">Mr. Khademi and Shahin Qadery, </w:t>
      </w:r>
      <w:r w:rsidRPr="006E7692">
        <w:t>the first and second complainants</w:t>
      </w:r>
      <w:r w:rsidR="00AB454B" w:rsidRPr="006E7692">
        <w:t>,</w:t>
      </w:r>
      <w:r w:rsidRPr="006E7692">
        <w:t xml:space="preserve"> </w:t>
      </w:r>
      <w:r w:rsidR="00AB454B" w:rsidRPr="006E7692">
        <w:t>did</w:t>
      </w:r>
      <w:r w:rsidRPr="006E7692">
        <w:t xml:space="preserve"> not need to make false allegations that </w:t>
      </w:r>
      <w:r w:rsidR="00AB454B" w:rsidRPr="006E7692">
        <w:t>Mr Khademi</w:t>
      </w:r>
      <w:r w:rsidRPr="006E7692">
        <w:t xml:space="preserve"> </w:t>
      </w:r>
      <w:r w:rsidR="00AB454B" w:rsidRPr="006E7692">
        <w:t>had been</w:t>
      </w:r>
      <w:r w:rsidRPr="006E7692">
        <w:t xml:space="preserve"> attacked at knife point in Iraq in 2005 and was being sought by the </w:t>
      </w:r>
      <w:r w:rsidR="00962065" w:rsidRPr="006E7692">
        <w:t>ETELAAT</w:t>
      </w:r>
      <w:r w:rsidRPr="006E7692">
        <w:t xml:space="preserve"> a little before leaving Iraq. Th</w:t>
      </w:r>
      <w:r w:rsidR="00AB454B" w:rsidRPr="006E7692">
        <w:t>o</w:t>
      </w:r>
      <w:r w:rsidRPr="006E7692">
        <w:t xml:space="preserve">se claims do not conform to </w:t>
      </w:r>
      <w:r w:rsidR="00AB454B" w:rsidRPr="006E7692">
        <w:t xml:space="preserve">the </w:t>
      </w:r>
      <w:r w:rsidRPr="006E7692">
        <w:t>reality</w:t>
      </w:r>
      <w:r w:rsidR="00AB454B" w:rsidRPr="006E7692">
        <w:t>,</w:t>
      </w:r>
      <w:r w:rsidRPr="006E7692">
        <w:t xml:space="preserve"> as the family was already in Greece at the time. Third</w:t>
      </w:r>
      <w:r w:rsidR="00AB454B" w:rsidRPr="006E7692">
        <w:t>ly</w:t>
      </w:r>
      <w:r w:rsidRPr="006E7692">
        <w:t xml:space="preserve">, the Swiss authorities put forward that the audio files of the announcement of the death of </w:t>
      </w:r>
      <w:r w:rsidR="00777CC8" w:rsidRPr="006E7692">
        <w:t>Mr. Khademi</w:t>
      </w:r>
      <w:r w:rsidRPr="006E7692">
        <w:t>’s father on Voice of Kurdistan</w:t>
      </w:r>
      <w:r w:rsidR="00777CC8" w:rsidRPr="006E7692">
        <w:t xml:space="preserve"> radio</w:t>
      </w:r>
      <w:r w:rsidRPr="006E7692">
        <w:t xml:space="preserve"> could have been manipulated. Fourth</w:t>
      </w:r>
      <w:r w:rsidR="00777CC8" w:rsidRPr="006E7692">
        <w:t>ly</w:t>
      </w:r>
      <w:r w:rsidRPr="006E7692">
        <w:t xml:space="preserve">, the </w:t>
      </w:r>
      <w:r w:rsidR="00777CC8" w:rsidRPr="006E7692">
        <w:t xml:space="preserve">accounts of Ramyar Khademi, the </w:t>
      </w:r>
      <w:r w:rsidRPr="006E7692">
        <w:t>third complainant were conflicting as</w:t>
      </w:r>
      <w:r w:rsidR="00777CC8" w:rsidRPr="006E7692">
        <w:t>,</w:t>
      </w:r>
      <w:r w:rsidRPr="006E7692">
        <w:t xml:space="preserve"> in his first </w:t>
      </w:r>
      <w:r w:rsidR="00777CC8" w:rsidRPr="006E7692">
        <w:t xml:space="preserve">asylum </w:t>
      </w:r>
      <w:r w:rsidRPr="006E7692">
        <w:t>interview</w:t>
      </w:r>
      <w:r w:rsidR="00777CC8" w:rsidRPr="006E7692">
        <w:t>,</w:t>
      </w:r>
      <w:r w:rsidRPr="006E7692">
        <w:t xml:space="preserve"> </w:t>
      </w:r>
      <w:r w:rsidR="00777CC8" w:rsidRPr="006E7692">
        <w:t xml:space="preserve">he made </w:t>
      </w:r>
      <w:r w:rsidRPr="006E7692">
        <w:t xml:space="preserve">no mention of having been detained for two days, an allegation which was </w:t>
      </w:r>
      <w:r w:rsidR="00777CC8" w:rsidRPr="006E7692">
        <w:t xml:space="preserve">only </w:t>
      </w:r>
      <w:r w:rsidRPr="006E7692">
        <w:t>made</w:t>
      </w:r>
      <w:r w:rsidR="00777CC8" w:rsidRPr="006E7692">
        <w:t xml:space="preserve"> </w:t>
      </w:r>
      <w:r w:rsidRPr="006E7692">
        <w:t xml:space="preserve">in </w:t>
      </w:r>
      <w:r w:rsidR="00777CC8" w:rsidRPr="006E7692">
        <w:t xml:space="preserve">the </w:t>
      </w:r>
      <w:r w:rsidRPr="006E7692">
        <w:t>second interview. Fifth</w:t>
      </w:r>
      <w:r w:rsidR="00777CC8" w:rsidRPr="006E7692">
        <w:t>ly</w:t>
      </w:r>
      <w:r w:rsidRPr="006E7692">
        <w:t xml:space="preserve">, the </w:t>
      </w:r>
      <w:r w:rsidR="00777CC8" w:rsidRPr="006E7692">
        <w:t>asylum</w:t>
      </w:r>
      <w:r w:rsidRPr="006E7692">
        <w:t xml:space="preserve"> authorities contended that </w:t>
      </w:r>
      <w:r w:rsidR="00777CC8" w:rsidRPr="006E7692">
        <w:t xml:space="preserve">Ramyar Khademi’s </w:t>
      </w:r>
      <w:r w:rsidRPr="006E7692">
        <w:t xml:space="preserve">allegation that he was interrupted </w:t>
      </w:r>
      <w:r w:rsidRPr="006E7692">
        <w:lastRenderedPageBreak/>
        <w:t xml:space="preserve">during the first </w:t>
      </w:r>
      <w:r w:rsidR="00777CC8" w:rsidRPr="006E7692">
        <w:t xml:space="preserve">asylum </w:t>
      </w:r>
      <w:r w:rsidRPr="006E7692">
        <w:t>interview</w:t>
      </w:r>
      <w:r w:rsidR="00777CC8" w:rsidRPr="006E7692">
        <w:t>,</w:t>
      </w:r>
      <w:r w:rsidRPr="006E7692">
        <w:t xml:space="preserve"> before he</w:t>
      </w:r>
      <w:r w:rsidR="008B20A5" w:rsidRPr="006E7692">
        <w:t xml:space="preserve"> could go into any details</w:t>
      </w:r>
      <w:r w:rsidR="00777CC8" w:rsidRPr="006E7692">
        <w:t>,</w:t>
      </w:r>
      <w:r w:rsidR="008B20A5" w:rsidRPr="006E7692">
        <w:t xml:space="preserve"> is contrary to the reading of the interview, which indicates that he</w:t>
      </w:r>
      <w:r w:rsidR="00206DD7" w:rsidRPr="006E7692">
        <w:t xml:space="preserve"> was permitted to speak freely.</w:t>
      </w:r>
    </w:p>
    <w:p w:rsidR="008B20A5" w:rsidRPr="006E7692" w:rsidRDefault="008B20A5" w:rsidP="00832EEC">
      <w:pPr>
        <w:pStyle w:val="SingleTxtG"/>
      </w:pPr>
      <w:r w:rsidRPr="006E7692">
        <w:t>4.15</w:t>
      </w:r>
      <w:r w:rsidRPr="006E7692">
        <w:tab/>
        <w:t>In respect of the complaint itself</w:t>
      </w:r>
      <w:r w:rsidR="00E12F68" w:rsidRPr="006E7692">
        <w:t xml:space="preserve"> to the Committee</w:t>
      </w:r>
      <w:r w:rsidRPr="006E7692">
        <w:t xml:space="preserve">, the State party submits that the complainants only partially present the arguments of the competent Swiss authorities and that the arguments </w:t>
      </w:r>
      <w:r w:rsidR="00832EEC" w:rsidRPr="006E7692">
        <w:t>presented</w:t>
      </w:r>
      <w:r w:rsidRPr="006E7692">
        <w:t xml:space="preserve"> </w:t>
      </w:r>
      <w:r w:rsidR="00832EEC" w:rsidRPr="006E7692">
        <w:t>have not been</w:t>
      </w:r>
      <w:r w:rsidRPr="006E7692">
        <w:t xml:space="preserve"> sufficiently discussed or counter-argued. Rather, the complainants merely claim that the allegations which were not considered by the competent Swiss authorities to be credible are, in reality, true. In addition, the State party notes that the complainants did not adequately demonstrate in their complaint that the</w:t>
      </w:r>
      <w:r w:rsidR="00832EEC" w:rsidRPr="006E7692">
        <w:t xml:space="preserve"> findings of the</w:t>
      </w:r>
      <w:r w:rsidRPr="006E7692">
        <w:t xml:space="preserve"> Swiss authorities were ill-founded with regard to the lack of pertinence of the evidence submitted in proving the authenticity of their allegations. It further notes that the complainants did not explain in a plausible manner why they could not produce relevant evidence to support the allegation that </w:t>
      </w:r>
      <w:r w:rsidR="003E313E" w:rsidRPr="006E7692">
        <w:t>Mr. Khademi</w:t>
      </w:r>
      <w:r w:rsidRPr="006E7692">
        <w:t xml:space="preserve"> was sentenced to death by the Revolutionary Tribunal. The complainants’ argument that the verdict cannot be found online because it occurred during the 1990s</w:t>
      </w:r>
      <w:r w:rsidR="00832EEC" w:rsidRPr="006E7692">
        <w:t>,</w:t>
      </w:r>
      <w:r w:rsidRPr="006E7692">
        <w:t xml:space="preserve"> when there was little </w:t>
      </w:r>
      <w:r w:rsidR="00832EEC" w:rsidRPr="006E7692">
        <w:t>I</w:t>
      </w:r>
      <w:r w:rsidRPr="006E7692">
        <w:t>nternet or modern forms of communication</w:t>
      </w:r>
      <w:r w:rsidR="00832EEC" w:rsidRPr="006E7692">
        <w:t>,</w:t>
      </w:r>
      <w:r w:rsidRPr="006E7692">
        <w:t xml:space="preserve"> is also not plausible, nor is their claim that they were unable to obtain copies of the judgement. Moreover, the State party underlines that the Swiss authorities did not find the documents submitted by the complainants regarding the Facebook campaign or the letter from a Swedish witness relating to th</w:t>
      </w:r>
      <w:r w:rsidR="00832EEC" w:rsidRPr="006E7692">
        <w:t>at</w:t>
      </w:r>
      <w:r w:rsidRPr="006E7692">
        <w:t xml:space="preserve"> campaign to be compelling evidence. Lastly, the Swiss authorities did not find it necessary to deliberate on the issue of </w:t>
      </w:r>
      <w:r w:rsidR="003E313E" w:rsidRPr="006E7692">
        <w:t>Mr. Khademi</w:t>
      </w:r>
      <w:r w:rsidRPr="006E7692">
        <w:t>’s alleged prosecution based on the alleged activities of his father</w:t>
      </w:r>
      <w:r w:rsidR="00832EEC" w:rsidRPr="006E7692">
        <w:t>,</w:t>
      </w:r>
      <w:r w:rsidRPr="006E7692">
        <w:t xml:space="preserve"> as no pertinent documentary evidence was produced, nor was there an explanation as to why such</w:t>
      </w:r>
      <w:r w:rsidR="00832EEC" w:rsidRPr="006E7692">
        <w:t xml:space="preserve"> </w:t>
      </w:r>
      <w:r w:rsidRPr="006E7692">
        <w:t xml:space="preserve"> evidence</w:t>
      </w:r>
      <w:r w:rsidR="00832EEC" w:rsidRPr="006E7692">
        <w:t xml:space="preserve"> was not provided</w:t>
      </w:r>
      <w:r w:rsidRPr="006E7692">
        <w:t xml:space="preserve">. </w:t>
      </w:r>
    </w:p>
    <w:p w:rsidR="008B20A5" w:rsidRPr="006E7692" w:rsidRDefault="008B20A5" w:rsidP="00832EEC">
      <w:pPr>
        <w:pStyle w:val="SingleTxtG"/>
      </w:pPr>
      <w:r w:rsidRPr="006E7692">
        <w:t>4.16</w:t>
      </w:r>
      <w:r w:rsidRPr="006E7692">
        <w:tab/>
        <w:t xml:space="preserve">The State party submits that, in </w:t>
      </w:r>
      <w:r w:rsidR="00832EEC" w:rsidRPr="006E7692">
        <w:t xml:space="preserve">the </w:t>
      </w:r>
      <w:r w:rsidRPr="006E7692">
        <w:t xml:space="preserve">light of the foregoing, there are no substantial grounds to fear that the complainants would be concretely and personally exposed to torture if returned to the </w:t>
      </w:r>
      <w:r w:rsidR="00832EEC" w:rsidRPr="006E7692">
        <w:t xml:space="preserve">Islamic </w:t>
      </w:r>
      <w:r w:rsidRPr="006E7692">
        <w:t xml:space="preserve">Republic of Iran. Their allegations and </w:t>
      </w:r>
      <w:r w:rsidR="00832EEC" w:rsidRPr="006E7692">
        <w:t xml:space="preserve">the </w:t>
      </w:r>
      <w:r w:rsidRPr="006E7692">
        <w:t>evidence provided do not lead to the con</w:t>
      </w:r>
      <w:r w:rsidR="00832EEC" w:rsidRPr="006E7692">
        <w:t>clusion</w:t>
      </w:r>
      <w:r w:rsidRPr="006E7692">
        <w:t xml:space="preserve"> that their return would expose them to a foreseeable, real and personal risk of torture. The State party, therefore, invites the Committee to find that the return of the complainants to the </w:t>
      </w:r>
      <w:r w:rsidR="00832EEC" w:rsidRPr="006E7692">
        <w:t xml:space="preserve">Islamic </w:t>
      </w:r>
      <w:r w:rsidRPr="006E7692">
        <w:t xml:space="preserve">Republic of Iran would not constitute a violation of the international obligations of Switzerland under </w:t>
      </w:r>
      <w:r w:rsidR="006F5F8C" w:rsidRPr="006E7692">
        <w:t>article </w:t>
      </w:r>
      <w:r w:rsidRPr="006E7692">
        <w:t>3 of the Convention.</w:t>
      </w:r>
    </w:p>
    <w:p w:rsidR="008B20A5" w:rsidRPr="006E7692" w:rsidRDefault="00206DD7" w:rsidP="00515224">
      <w:pPr>
        <w:pStyle w:val="H23G"/>
      </w:pPr>
      <w:r w:rsidRPr="006E7692">
        <w:tab/>
      </w:r>
      <w:r w:rsidRPr="006E7692">
        <w:tab/>
      </w:r>
      <w:r w:rsidR="008B20A5" w:rsidRPr="006E7692">
        <w:t>Complainants’ comments on State party’s observations</w:t>
      </w:r>
    </w:p>
    <w:p w:rsidR="008B20A5" w:rsidRPr="006E7692" w:rsidRDefault="008B20A5" w:rsidP="00515224">
      <w:pPr>
        <w:pStyle w:val="SingleTxtG"/>
      </w:pPr>
      <w:r w:rsidRPr="006E7692">
        <w:t>5.1</w:t>
      </w:r>
      <w:r w:rsidRPr="006E7692">
        <w:tab/>
        <w:t xml:space="preserve">On 23 April 2012, the complainants commented on the State party’s observations. The complainants maintain that, as the State party itself submits, the human rights situation in Iran is worrying in several respects. The complainants argue that there clearly exists a real and imminent risk that they would be subjected to torture or other inhuman and degrading treatment if returned. They further argue that the State party’s finding that there </w:t>
      </w:r>
      <w:r w:rsidR="00515224" w:rsidRPr="006E7692">
        <w:t>is</w:t>
      </w:r>
      <w:r w:rsidRPr="006E7692">
        <w:t xml:space="preserve"> no causal link between the ill-treatment of </w:t>
      </w:r>
      <w:r w:rsidR="003E313E" w:rsidRPr="006E7692">
        <w:t>Mr. Khademi</w:t>
      </w:r>
      <w:r w:rsidRPr="006E7692">
        <w:t xml:space="preserve"> during his detention and his post-traumatic stress disorder and several fractures is unfounded</w:t>
      </w:r>
      <w:r w:rsidR="00515224" w:rsidRPr="006E7692">
        <w:t xml:space="preserve">; </w:t>
      </w:r>
      <w:r w:rsidR="003E313E" w:rsidRPr="006E7692">
        <w:t>Mr. Khademi</w:t>
      </w:r>
      <w:r w:rsidR="00515224" w:rsidRPr="006E7692">
        <w:t>’s health</w:t>
      </w:r>
      <w:r w:rsidRPr="006E7692">
        <w:t xml:space="preserve"> was not carefully examined by Swiss authorities.</w:t>
      </w:r>
      <w:r w:rsidR="004A2CAE" w:rsidRPr="006E7692">
        <w:rPr>
          <w:rStyle w:val="FootnoteReference"/>
        </w:rPr>
        <w:footnoteReference w:id="11"/>
      </w:r>
      <w:r w:rsidRPr="006E7692">
        <w:t xml:space="preserve"> If such an examination had </w:t>
      </w:r>
      <w:r w:rsidR="00515224" w:rsidRPr="006E7692">
        <w:t>been conducted</w:t>
      </w:r>
      <w:r w:rsidRPr="006E7692">
        <w:t xml:space="preserve">, it would have concluded that it was highly probable that torture and ill-treatment were the cause of </w:t>
      </w:r>
      <w:r w:rsidR="003E313E" w:rsidRPr="006E7692">
        <w:t>Mr. Khademi</w:t>
      </w:r>
      <w:r w:rsidRPr="006E7692">
        <w:t xml:space="preserve">’s fractures and </w:t>
      </w:r>
      <w:r w:rsidR="00515224" w:rsidRPr="006E7692">
        <w:t>post-traumatic stress disorder,</w:t>
      </w:r>
      <w:r w:rsidRPr="006E7692">
        <w:t xml:space="preserve"> as there are no other reasonable causes for th</w:t>
      </w:r>
      <w:r w:rsidR="00515224" w:rsidRPr="006E7692">
        <w:t>ose conditions</w:t>
      </w:r>
      <w:r w:rsidRPr="006E7692">
        <w:t xml:space="preserve">. </w:t>
      </w:r>
    </w:p>
    <w:p w:rsidR="008B20A5" w:rsidRPr="006E7692" w:rsidRDefault="008B20A5" w:rsidP="007A5C28">
      <w:pPr>
        <w:pStyle w:val="SingleTxtG"/>
      </w:pPr>
      <w:r w:rsidRPr="006E7692">
        <w:t>5.2</w:t>
      </w:r>
      <w:r w:rsidRPr="006E7692">
        <w:tab/>
        <w:t xml:space="preserve">The complainants challenge the State party’s argument that </w:t>
      </w:r>
      <w:r w:rsidR="003E313E" w:rsidRPr="006E7692">
        <w:t>Mr. Khademi</w:t>
      </w:r>
      <w:r w:rsidRPr="006E7692">
        <w:t xml:space="preserve"> was not politically active in his country of origin. They reiterate that he joined the KDPI Peshmerga at the age of 18 or 20</w:t>
      </w:r>
      <w:r w:rsidR="00515224" w:rsidRPr="006E7692">
        <w:t xml:space="preserve"> years</w:t>
      </w:r>
      <w:r w:rsidRPr="006E7692">
        <w:t xml:space="preserve">. As a former politically active Kurd, he was suspected of spying for the KDPI and was seen </w:t>
      </w:r>
      <w:r w:rsidR="00515224" w:rsidRPr="006E7692">
        <w:t xml:space="preserve">as </w:t>
      </w:r>
      <w:r w:rsidRPr="006E7692">
        <w:t>participating in a mass demonstration on the</w:t>
      </w:r>
      <w:r w:rsidR="00067CFC" w:rsidRPr="006E7692">
        <w:t xml:space="preserve"> </w:t>
      </w:r>
      <w:r w:rsidRPr="006E7692">
        <w:t>occasion of N</w:t>
      </w:r>
      <w:r w:rsidR="00515224" w:rsidRPr="006E7692">
        <w:t>owruz</w:t>
      </w:r>
      <w:r w:rsidRPr="006E7692">
        <w:t xml:space="preserve"> in March 2001. Regardless of how high</w:t>
      </w:r>
      <w:r w:rsidR="00515224" w:rsidRPr="006E7692">
        <w:t xml:space="preserve"> </w:t>
      </w:r>
      <w:r w:rsidRPr="006E7692">
        <w:t xml:space="preserve">profile his political activities were, the </w:t>
      </w:r>
      <w:r w:rsidR="00962065" w:rsidRPr="006E7692">
        <w:lastRenderedPageBreak/>
        <w:t>ETELAAT</w:t>
      </w:r>
      <w:r w:rsidRPr="006E7692">
        <w:t xml:space="preserve"> viewed him as a politically dangerous person who threatened national security and consequently imprisoned, tortured, prosecuted and punished him based on th</w:t>
      </w:r>
      <w:r w:rsidR="00515224" w:rsidRPr="006E7692">
        <w:t>at</w:t>
      </w:r>
      <w:r w:rsidRPr="006E7692">
        <w:t xml:space="preserve"> belief. As regards the</w:t>
      </w:r>
      <w:r w:rsidR="00515224" w:rsidRPr="006E7692">
        <w:t>ir</w:t>
      </w:r>
      <w:r w:rsidRPr="006E7692">
        <w:t xml:space="preserve"> political activities in Switzerland, the</w:t>
      </w:r>
      <w:r w:rsidR="00515224" w:rsidRPr="006E7692">
        <w:t xml:space="preserve"> complainants</w:t>
      </w:r>
      <w:r w:rsidRPr="006E7692">
        <w:t xml:space="preserve"> dispute the State party’s argument that they are “too low profile” to attract the attention of the Iranian authorities. They submit that </w:t>
      </w:r>
      <w:r w:rsidR="003E313E" w:rsidRPr="006E7692">
        <w:t>Mr. Khademi</w:t>
      </w:r>
      <w:r w:rsidRPr="006E7692">
        <w:t xml:space="preserve"> was persecuted in the Islamic Republic of Iran for his political activities and was an active member</w:t>
      </w:r>
      <w:r w:rsidR="00515224" w:rsidRPr="006E7692">
        <w:t xml:space="preserve"> of the KDPI</w:t>
      </w:r>
      <w:r w:rsidRPr="006E7692">
        <w:t xml:space="preserve">, </w:t>
      </w:r>
      <w:r w:rsidR="007A5C28" w:rsidRPr="006E7692">
        <w:t xml:space="preserve">which </w:t>
      </w:r>
      <w:r w:rsidRPr="006E7692">
        <w:t>automatically mak</w:t>
      </w:r>
      <w:r w:rsidR="007A5C28" w:rsidRPr="006E7692">
        <w:t>es</w:t>
      </w:r>
      <w:r w:rsidRPr="006E7692">
        <w:t xml:space="preserve"> him a high</w:t>
      </w:r>
      <w:r w:rsidR="007A5C28" w:rsidRPr="006E7692">
        <w:t>-</w:t>
      </w:r>
      <w:r w:rsidRPr="006E7692">
        <w:t xml:space="preserve">profile figure in exile. </w:t>
      </w:r>
      <w:r w:rsidR="007A5C28" w:rsidRPr="006E7692">
        <w:t>Mr. Khademi, Shahin Qadery and Ramyar Khademi, t</w:t>
      </w:r>
      <w:r w:rsidRPr="006E7692">
        <w:t>he first, second and third complainants</w:t>
      </w:r>
      <w:r w:rsidR="007A5C28" w:rsidRPr="006E7692">
        <w:t>,</w:t>
      </w:r>
      <w:r w:rsidRPr="006E7692">
        <w:t xml:space="preserve"> are also very active members of </w:t>
      </w:r>
      <w:r w:rsidR="007A5C28" w:rsidRPr="006E7692">
        <w:t xml:space="preserve">the </w:t>
      </w:r>
      <w:r w:rsidRPr="006E7692">
        <w:t>Swiss section</w:t>
      </w:r>
      <w:r w:rsidR="007A5C28" w:rsidRPr="006E7692">
        <w:t xml:space="preserve"> of the KDPI;</w:t>
      </w:r>
      <w:r w:rsidRPr="006E7692">
        <w:t xml:space="preserve"> the name</w:t>
      </w:r>
      <w:r w:rsidR="007A5C28" w:rsidRPr="006E7692">
        <w:t xml:space="preserve"> Ramyar Khademi</w:t>
      </w:r>
      <w:r w:rsidRPr="006E7692">
        <w:t xml:space="preserve"> appear</w:t>
      </w:r>
      <w:r w:rsidR="007A5C28" w:rsidRPr="006E7692">
        <w:t>s</w:t>
      </w:r>
      <w:r w:rsidRPr="006E7692">
        <w:t xml:space="preserve"> in many official documents and </w:t>
      </w:r>
      <w:r w:rsidR="007A5C28" w:rsidRPr="006E7692">
        <w:t xml:space="preserve">photos of </w:t>
      </w:r>
      <w:r w:rsidRPr="006E7692">
        <w:t>all three</w:t>
      </w:r>
      <w:r w:rsidR="007A5C28" w:rsidRPr="006E7692">
        <w:t xml:space="preserve"> are</w:t>
      </w:r>
      <w:r w:rsidRPr="006E7692">
        <w:t xml:space="preserve"> on the </w:t>
      </w:r>
      <w:r w:rsidR="007A5C28" w:rsidRPr="006E7692">
        <w:t>I</w:t>
      </w:r>
      <w:r w:rsidRPr="006E7692">
        <w:t xml:space="preserve">nternet. The complainants argue that, even if their political activities were considered </w:t>
      </w:r>
      <w:r w:rsidR="007A5C28" w:rsidRPr="006E7692">
        <w:t>as</w:t>
      </w:r>
      <w:r w:rsidRPr="006E7692">
        <w:t xml:space="preserve"> low profile, they would still risk ill-treatment on return to the Islamic Republic of Iran. </w:t>
      </w:r>
    </w:p>
    <w:p w:rsidR="008B20A5" w:rsidRPr="006E7692" w:rsidRDefault="008B20A5" w:rsidP="00525B4C">
      <w:pPr>
        <w:pStyle w:val="SingleTxtG"/>
      </w:pPr>
      <w:r w:rsidRPr="006E7692">
        <w:t>5.3</w:t>
      </w:r>
      <w:r w:rsidRPr="006E7692">
        <w:tab/>
        <w:t xml:space="preserve">With regard to the State party’s argument concerning the lack of credibility of the complainants’ accounts, the complainants submit that the State party </w:t>
      </w:r>
      <w:r w:rsidR="007A5C28" w:rsidRPr="006E7692">
        <w:t>arrived at</w:t>
      </w:r>
      <w:r w:rsidRPr="006E7692">
        <w:t xml:space="preserve"> th</w:t>
      </w:r>
      <w:r w:rsidR="007A5C28" w:rsidRPr="006E7692">
        <w:t>at</w:t>
      </w:r>
      <w:r w:rsidRPr="006E7692">
        <w:t xml:space="preserve"> conclusion without finding any major contradictions in their stories and by generally denying all </w:t>
      </w:r>
      <w:r w:rsidR="00525B4C" w:rsidRPr="006E7692">
        <w:t xml:space="preserve">the </w:t>
      </w:r>
      <w:r w:rsidRPr="006E7692">
        <w:t xml:space="preserve">evidence </w:t>
      </w:r>
      <w:r w:rsidR="00525B4C" w:rsidRPr="006E7692">
        <w:t xml:space="preserve">that they </w:t>
      </w:r>
      <w:r w:rsidRPr="006E7692">
        <w:t>provided to substantiate their claims. The complainants state that they are able to provide additional letters of testimony from other exiled persons who were found to be credible by official asylum bodies of other countries in Europe. Th</w:t>
      </w:r>
      <w:r w:rsidR="00525B4C" w:rsidRPr="006E7692">
        <w:t>o</w:t>
      </w:r>
      <w:r w:rsidRPr="006E7692">
        <w:t xml:space="preserve">se letters confirm that </w:t>
      </w:r>
      <w:r w:rsidR="003E313E" w:rsidRPr="006E7692">
        <w:t>Mr. Khademi</w:t>
      </w:r>
      <w:r w:rsidRPr="006E7692">
        <w:t xml:space="preserve"> was an active member of </w:t>
      </w:r>
      <w:r w:rsidR="00525B4C" w:rsidRPr="006E7692">
        <w:t xml:space="preserve">the </w:t>
      </w:r>
      <w:r w:rsidRPr="006E7692">
        <w:t xml:space="preserve">KDPI between 1979 and 1983 and that he was in prison </w:t>
      </w:r>
      <w:r w:rsidR="00525B4C" w:rsidRPr="006E7692">
        <w:t xml:space="preserve">in Kurdistan Province </w:t>
      </w:r>
      <w:r w:rsidRPr="006E7692">
        <w:t xml:space="preserve">between 1991 and 1993, and later exiled. The complainants state that they are unable to maintain contacts with anyone in the Islamic Republic of Iran to secure additional evidence of </w:t>
      </w:r>
      <w:r w:rsidR="003E313E" w:rsidRPr="006E7692">
        <w:t>Mr. Khademi</w:t>
      </w:r>
      <w:r w:rsidRPr="006E7692">
        <w:t>’s imprisonment. Furthermore, the complainants argue that the minor contradictions mentioned by the State party were already explained in detail during the national procedure and in the complaint itself</w:t>
      </w:r>
      <w:r w:rsidR="00525B4C" w:rsidRPr="006E7692">
        <w:t xml:space="preserve"> to the Committee</w:t>
      </w:r>
      <w:r w:rsidRPr="006E7692">
        <w:t xml:space="preserve">. </w:t>
      </w:r>
    </w:p>
    <w:p w:rsidR="008B20A5" w:rsidRPr="006E7692" w:rsidRDefault="008B20A5" w:rsidP="00525B4C">
      <w:pPr>
        <w:pStyle w:val="SingleTxtG"/>
      </w:pPr>
      <w:r w:rsidRPr="006E7692">
        <w:t>5.4</w:t>
      </w:r>
      <w:r w:rsidRPr="006E7692">
        <w:tab/>
        <w:t xml:space="preserve">The complainants put forward that, considering their past and current political activities, </w:t>
      </w:r>
      <w:r w:rsidR="003E313E" w:rsidRPr="006E7692">
        <w:t>Mr. Khademi</w:t>
      </w:r>
      <w:r w:rsidRPr="006E7692">
        <w:t xml:space="preserve">’s conviction in the </w:t>
      </w:r>
      <w:r w:rsidR="00525B4C" w:rsidRPr="006E7692">
        <w:t xml:space="preserve">Islamic </w:t>
      </w:r>
      <w:r w:rsidRPr="006E7692">
        <w:t>Republic of Iran, their illegal departure from th</w:t>
      </w:r>
      <w:r w:rsidR="00525B4C" w:rsidRPr="006E7692">
        <w:t>at country</w:t>
      </w:r>
      <w:r w:rsidRPr="006E7692">
        <w:t xml:space="preserve"> and their </w:t>
      </w:r>
      <w:r w:rsidR="00525B4C" w:rsidRPr="006E7692">
        <w:t>application</w:t>
      </w:r>
      <w:r w:rsidRPr="006E7692">
        <w:t xml:space="preserve"> for asylum in Switzerland, there is a real and imminent risk that they would be subjected to torture or other inhuman and degrading treatment should they be returned to the Islamic Republic of Iran. In </w:t>
      </w:r>
      <w:r w:rsidR="00525B4C" w:rsidRPr="006E7692">
        <w:t xml:space="preserve">the </w:t>
      </w:r>
      <w:r w:rsidRPr="006E7692">
        <w:t xml:space="preserve">light of the ill-treatment already suffered by </w:t>
      </w:r>
      <w:r w:rsidR="003E313E" w:rsidRPr="006E7692">
        <w:t>Mr. Khademi</w:t>
      </w:r>
      <w:r w:rsidRPr="006E7692">
        <w:t xml:space="preserve"> and the credible reports about the frequent use of torture by Iranian security officials, the complainants fear that they would be apprehended and detained upon return, </w:t>
      </w:r>
      <w:r w:rsidR="00525B4C" w:rsidRPr="006E7692">
        <w:t xml:space="preserve">and that </w:t>
      </w:r>
      <w:r w:rsidRPr="006E7692">
        <w:t xml:space="preserve">they would suffer ill-treatment in prison. </w:t>
      </w:r>
    </w:p>
    <w:p w:rsidR="008B20A5" w:rsidRPr="006E7692" w:rsidRDefault="008B20A5" w:rsidP="008B20A5">
      <w:pPr>
        <w:pStyle w:val="H23G"/>
        <w:contextualSpacing/>
      </w:pPr>
      <w:r w:rsidRPr="006E7692">
        <w:tab/>
      </w:r>
      <w:r w:rsidRPr="006E7692">
        <w:tab/>
        <w:t>Issues and proceedings before the Committee</w:t>
      </w:r>
    </w:p>
    <w:p w:rsidR="008B20A5" w:rsidRPr="006E7692" w:rsidRDefault="008B20A5" w:rsidP="008B20A5">
      <w:pPr>
        <w:pStyle w:val="H4G"/>
        <w:spacing w:before="0"/>
        <w:contextualSpacing/>
      </w:pPr>
      <w:r w:rsidRPr="006E7692">
        <w:tab/>
      </w:r>
      <w:r w:rsidRPr="006E7692">
        <w:tab/>
        <w:t>Consideration of admissibility</w:t>
      </w:r>
    </w:p>
    <w:p w:rsidR="008B20A5" w:rsidRPr="006E7692" w:rsidRDefault="008B20A5" w:rsidP="00206DD7">
      <w:pPr>
        <w:pStyle w:val="SingleTxtG"/>
      </w:pPr>
      <w:r w:rsidRPr="006E7692">
        <w:t>6.1</w:t>
      </w:r>
      <w:r w:rsidRPr="006E7692">
        <w:tab/>
        <w:t xml:space="preserve">Before considering a claim contained in a communication, the Committee must decide whether it is admissible under </w:t>
      </w:r>
      <w:r w:rsidR="006F5F8C" w:rsidRPr="006E7692">
        <w:t>article </w:t>
      </w:r>
      <w:r w:rsidRPr="006E7692">
        <w:t xml:space="preserve">22 of the Convention. The Committee has ascertained, as it is required to do under </w:t>
      </w:r>
      <w:r w:rsidR="006F5F8C" w:rsidRPr="006E7692">
        <w:t>article </w:t>
      </w:r>
      <w:r w:rsidRPr="006E7692">
        <w:t xml:space="preserve">22, </w:t>
      </w:r>
      <w:r w:rsidR="006F5F8C" w:rsidRPr="006E7692">
        <w:t>paragraph </w:t>
      </w:r>
      <w:r w:rsidRPr="006E7692">
        <w:t>5</w:t>
      </w:r>
      <w:r w:rsidR="00206DD7" w:rsidRPr="006E7692">
        <w:t> </w:t>
      </w:r>
      <w:r w:rsidRPr="006E7692">
        <w:t>(a), of the Convention, that the same matter has not been and is not being examined under another procedure of international investigation or settlement.</w:t>
      </w:r>
    </w:p>
    <w:p w:rsidR="008B20A5" w:rsidRPr="006E7692" w:rsidRDefault="008B20A5" w:rsidP="00FD610D">
      <w:pPr>
        <w:pStyle w:val="SingleTxtG"/>
      </w:pPr>
      <w:r w:rsidRPr="006E7692">
        <w:t>6.2</w:t>
      </w:r>
      <w:r w:rsidRPr="006E7692">
        <w:tab/>
        <w:t xml:space="preserve">The Committee recalls that, in accordance with </w:t>
      </w:r>
      <w:r w:rsidR="006F5F8C" w:rsidRPr="006E7692">
        <w:t>article </w:t>
      </w:r>
      <w:r w:rsidRPr="006E7692">
        <w:t xml:space="preserve">22, </w:t>
      </w:r>
      <w:r w:rsidR="006F5F8C" w:rsidRPr="006E7692">
        <w:t>paragraph </w:t>
      </w:r>
      <w:r w:rsidR="00206DD7" w:rsidRPr="006E7692">
        <w:t>5 </w:t>
      </w:r>
      <w:r w:rsidRPr="006E7692">
        <w:t>(b), of the Convention, it shall not consider any communication from an individual unless it has ascertained that the individual has exhausted all available domestic remedies. The Committee notes that in the instant case</w:t>
      </w:r>
      <w:r w:rsidR="00FD610D" w:rsidRPr="006E7692">
        <w:t>,</w:t>
      </w:r>
      <w:r w:rsidRPr="006E7692">
        <w:t xml:space="preserve"> the State party has recognized that the complainant</w:t>
      </w:r>
      <w:r w:rsidR="00FD610D" w:rsidRPr="006E7692">
        <w:t>s</w:t>
      </w:r>
      <w:r w:rsidRPr="006E7692">
        <w:t xml:space="preserve"> ha</w:t>
      </w:r>
      <w:r w:rsidR="00FD610D" w:rsidRPr="006E7692">
        <w:t>ve</w:t>
      </w:r>
      <w:r w:rsidRPr="006E7692">
        <w:t xml:space="preserve"> exhausted all available domestic remedies. As the Committee finds no further obstacles to admissibility, it declares the communication admissible</w:t>
      </w:r>
      <w:r w:rsidR="00FD610D" w:rsidRPr="006E7692">
        <w:t xml:space="preserve"> and proceeds with the consideration of the merits</w:t>
      </w:r>
      <w:r w:rsidRPr="006E7692">
        <w:t>.</w:t>
      </w:r>
    </w:p>
    <w:p w:rsidR="008B20A5" w:rsidRPr="006E7692" w:rsidRDefault="008B20A5" w:rsidP="008B20A5">
      <w:pPr>
        <w:pStyle w:val="H4G"/>
        <w:contextualSpacing/>
      </w:pPr>
      <w:r w:rsidRPr="006E7692">
        <w:tab/>
      </w:r>
      <w:r w:rsidRPr="006E7692">
        <w:tab/>
        <w:t>Consideration of the merits</w:t>
      </w:r>
    </w:p>
    <w:p w:rsidR="008B20A5" w:rsidRPr="006E7692" w:rsidRDefault="008B20A5" w:rsidP="008B20A5">
      <w:pPr>
        <w:pStyle w:val="SingleTxtG"/>
      </w:pPr>
      <w:r w:rsidRPr="006E7692">
        <w:t>7.1</w:t>
      </w:r>
      <w:r w:rsidRPr="006E7692">
        <w:tab/>
        <w:t xml:space="preserve">In accordance with </w:t>
      </w:r>
      <w:r w:rsidR="006F5F8C" w:rsidRPr="006E7692">
        <w:t>article </w:t>
      </w:r>
      <w:r w:rsidRPr="006E7692">
        <w:t xml:space="preserve">22, </w:t>
      </w:r>
      <w:r w:rsidR="006F5F8C" w:rsidRPr="006E7692">
        <w:t>paragraph </w:t>
      </w:r>
      <w:r w:rsidRPr="006E7692">
        <w:t>4, of the Convention, the Committee has considered the present communication in the light of all information made available to it by the parties concerned.</w:t>
      </w:r>
    </w:p>
    <w:p w:rsidR="008B20A5" w:rsidRPr="006E7692" w:rsidRDefault="008B20A5" w:rsidP="00FD610D">
      <w:pPr>
        <w:pStyle w:val="SingleTxtG"/>
      </w:pPr>
      <w:r w:rsidRPr="006E7692">
        <w:t>7.2</w:t>
      </w:r>
      <w:r w:rsidRPr="006E7692">
        <w:tab/>
        <w:t xml:space="preserve">The issue before the Committee is whether the removal of the complainants to the </w:t>
      </w:r>
      <w:r w:rsidR="00FD610D" w:rsidRPr="006E7692">
        <w:t xml:space="preserve">Islamic </w:t>
      </w:r>
      <w:r w:rsidRPr="006E7692">
        <w:t xml:space="preserve">Republic of Iran would violate the State party’s obligation under </w:t>
      </w:r>
      <w:r w:rsidR="006F5F8C" w:rsidRPr="006E7692">
        <w:t>article </w:t>
      </w:r>
      <w:r w:rsidRPr="006E7692">
        <w:t>3 of the Convention not to expel or to return (</w:t>
      </w:r>
      <w:r w:rsidRPr="006E7692">
        <w:rPr>
          <w:i/>
          <w:iCs/>
        </w:rPr>
        <w:t>refouler</w:t>
      </w:r>
      <w:r w:rsidRPr="006E7692">
        <w:t>) a person to another State where there are substantial grounds for believing that he or she would be in danger of being subjected to torture. The Committee must evaluate whether there are substantial grounds for believing that the complainant would be personally in danger of being subjected to torture upon return to the Islamic Republic of Iran. In assessing th</w:t>
      </w:r>
      <w:r w:rsidR="00FD610D" w:rsidRPr="006E7692">
        <w:t>at</w:t>
      </w:r>
      <w:r w:rsidRPr="006E7692">
        <w:t xml:space="preserve"> risk, the Committee must take into account all relevant considerations, pursuant to </w:t>
      </w:r>
      <w:r w:rsidR="006F5F8C" w:rsidRPr="006E7692">
        <w:t>article </w:t>
      </w:r>
      <w:r w:rsidRPr="006E7692">
        <w:t xml:space="preserve">3, </w:t>
      </w:r>
      <w:r w:rsidR="006F5F8C" w:rsidRPr="006E7692">
        <w:t>paragraph </w:t>
      </w:r>
      <w:r w:rsidRPr="006E7692">
        <w:t>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w:t>
      </w:r>
      <w:r w:rsidR="00026C22" w:rsidRPr="006E7692">
        <w:t>o which he or she would return.</w:t>
      </w:r>
    </w:p>
    <w:p w:rsidR="008B20A5" w:rsidRPr="006E7692" w:rsidRDefault="008B20A5" w:rsidP="00FD610D">
      <w:pPr>
        <w:pStyle w:val="SingleTxtG"/>
      </w:pPr>
      <w:r w:rsidRPr="006E7692">
        <w:t>7.3</w:t>
      </w:r>
      <w:r w:rsidRPr="006E7692">
        <w:tab/>
        <w:t xml:space="preserve">The Committee recalls its general comment </w:t>
      </w:r>
      <w:r w:rsidR="006F5F8C" w:rsidRPr="006E7692">
        <w:t>No. </w:t>
      </w:r>
      <w:r w:rsidRPr="006E7692">
        <w:t>1</w:t>
      </w:r>
      <w:r w:rsidR="00FD610D" w:rsidRPr="006E7692">
        <w:t xml:space="preserve"> (1997) on the implementation of article 3 in the context of article 22</w:t>
      </w:r>
      <w:r w:rsidRPr="006E7692">
        <w:t>,</w:t>
      </w:r>
      <w:r w:rsidR="00FD610D" w:rsidRPr="006E7692">
        <w:t xml:space="preserve"> in which it states</w:t>
      </w:r>
      <w:r w:rsidRPr="006E7692">
        <w:t xml:space="preserve"> that “the risk of torture must be assessed on grounds that go beyond mere theory or suspicion. However, the risk does not have to meet the test of being highly probable” (</w:t>
      </w:r>
      <w:r w:rsidR="006F5F8C" w:rsidRPr="006E7692">
        <w:t>para. </w:t>
      </w:r>
      <w:r w:rsidRPr="006E7692">
        <w:t>6), but it must be personal and present. In th</w:t>
      </w:r>
      <w:r w:rsidR="00FD610D" w:rsidRPr="006E7692">
        <w:t>at</w:t>
      </w:r>
      <w:r w:rsidRPr="006E7692">
        <w:t xml:space="preserve"> regard, in previous decisions, the Committee determined that the risk of torture must be foreseeable, real and personal.</w:t>
      </w:r>
      <w:r w:rsidR="00C36F64" w:rsidRPr="006E7692">
        <w:rPr>
          <w:rStyle w:val="FootnoteReference"/>
        </w:rPr>
        <w:footnoteReference w:id="12"/>
      </w:r>
      <w:r w:rsidRPr="006E7692">
        <w:t xml:space="preserve"> The Committee recalls that under the terms of its general comment </w:t>
      </w:r>
      <w:r w:rsidR="006F5F8C" w:rsidRPr="006E7692">
        <w:t>No. </w:t>
      </w:r>
      <w:r w:rsidRPr="006E7692">
        <w:t xml:space="preserve">1, it gives considerable weight to findings of fact that are made by organs of the State party concerned, while at the same time it is not bound by such findings and instead has the power, provided </w:t>
      </w:r>
      <w:r w:rsidR="00FD610D" w:rsidRPr="006E7692">
        <w:t xml:space="preserve">for </w:t>
      </w:r>
      <w:r w:rsidRPr="006E7692">
        <w:t xml:space="preserve">by </w:t>
      </w:r>
      <w:r w:rsidR="006F5F8C" w:rsidRPr="006E7692">
        <w:t>article </w:t>
      </w:r>
      <w:r w:rsidRPr="006E7692">
        <w:t xml:space="preserve">22, </w:t>
      </w:r>
      <w:r w:rsidR="006F5F8C" w:rsidRPr="006E7692">
        <w:t>paragraph </w:t>
      </w:r>
      <w:r w:rsidRPr="006E7692">
        <w:t>4, of the Convention, of free assessment of the facts based upon the full set of circumstances in every case.</w:t>
      </w:r>
    </w:p>
    <w:p w:rsidR="008B20A5" w:rsidRPr="006E7692" w:rsidRDefault="00026C22" w:rsidP="000A70DC">
      <w:pPr>
        <w:pStyle w:val="SingleTxtG"/>
      </w:pPr>
      <w:r w:rsidRPr="006E7692">
        <w:t>7.4</w:t>
      </w:r>
      <w:r w:rsidR="008B20A5" w:rsidRPr="006E7692">
        <w:tab/>
        <w:t>The Committee notes that the State party itself recognize</w:t>
      </w:r>
      <w:r w:rsidR="00FD610D" w:rsidRPr="006E7692">
        <w:t>s</w:t>
      </w:r>
      <w:r w:rsidR="008B20A5" w:rsidRPr="006E7692">
        <w:t xml:space="preserve"> that the human rights situation in the Islamic Republic of Iran is concerning and that prominent political opponents of the regime are at risk of torture. The Committee further recalls its own findings regarding the extremely worrisome human rights situation in the Islamic Republic of Iran, particularly for individuals of Kurdish ethnicity</w:t>
      </w:r>
      <w:r w:rsidR="00FD610D" w:rsidRPr="006E7692">
        <w:t>,</w:t>
      </w:r>
      <w:r w:rsidR="008B20A5" w:rsidRPr="006E7692">
        <w:t xml:space="preserve"> since the elections held in the country in June 2009.</w:t>
      </w:r>
      <w:r w:rsidR="00C36F64" w:rsidRPr="006E7692">
        <w:rPr>
          <w:rStyle w:val="FootnoteReference"/>
        </w:rPr>
        <w:footnoteReference w:id="13"/>
      </w:r>
      <w:r w:rsidRPr="006E7692">
        <w:t xml:space="preserve"> </w:t>
      </w:r>
      <w:r w:rsidR="008B20A5" w:rsidRPr="006E7692">
        <w:t xml:space="preserve">The Committee also notes that the State party </w:t>
      </w:r>
      <w:r w:rsidR="000A70DC" w:rsidRPr="006E7692">
        <w:t>does</w:t>
      </w:r>
      <w:r w:rsidR="008B20A5" w:rsidRPr="006E7692">
        <w:t xml:space="preserve"> not disput</w:t>
      </w:r>
      <w:r w:rsidR="000A70DC" w:rsidRPr="006E7692">
        <w:t>e</w:t>
      </w:r>
      <w:r w:rsidR="008B20A5" w:rsidRPr="006E7692">
        <w:t xml:space="preserve"> that </w:t>
      </w:r>
      <w:r w:rsidR="003E313E" w:rsidRPr="006E7692">
        <w:t>Mr. Khademi</w:t>
      </w:r>
      <w:r w:rsidR="008B20A5" w:rsidRPr="006E7692">
        <w:t xml:space="preserve"> </w:t>
      </w:r>
      <w:r w:rsidR="000A70DC" w:rsidRPr="006E7692">
        <w:t>w</w:t>
      </w:r>
      <w:r w:rsidR="008B20A5" w:rsidRPr="006E7692">
        <w:t>as active in the KDPI Peshmerga, a Kurdish dissident movement in the late 1980s</w:t>
      </w:r>
      <w:r w:rsidR="000A70DC" w:rsidRPr="006E7692">
        <w:t>,</w:t>
      </w:r>
      <w:r w:rsidR="008B20A5" w:rsidRPr="006E7692">
        <w:t xml:space="preserve"> and that he </w:t>
      </w:r>
      <w:r w:rsidR="000A70DC" w:rsidRPr="006E7692">
        <w:t>was</w:t>
      </w:r>
      <w:r w:rsidR="008B20A5" w:rsidRPr="006E7692">
        <w:t xml:space="preserve"> imprisoned </w:t>
      </w:r>
      <w:r w:rsidR="000A70DC" w:rsidRPr="006E7692">
        <w:t xml:space="preserve">from </w:t>
      </w:r>
      <w:r w:rsidR="008B20A5" w:rsidRPr="006E7692">
        <w:t>1991</w:t>
      </w:r>
      <w:r w:rsidR="000A70DC" w:rsidRPr="006E7692">
        <w:t xml:space="preserve"> to </w:t>
      </w:r>
      <w:r w:rsidR="008B20A5" w:rsidRPr="006E7692">
        <w:t>1993. The Committee further notes that the State party does not dispute that the complainants were granted refugee status in Iraq by UNHCR based on th</w:t>
      </w:r>
      <w:r w:rsidR="000A70DC" w:rsidRPr="006E7692">
        <w:t>o</w:t>
      </w:r>
      <w:r w:rsidR="008B20A5" w:rsidRPr="006E7692">
        <w:t xml:space="preserve">se very claims. </w:t>
      </w:r>
    </w:p>
    <w:p w:rsidR="008B20A5" w:rsidRPr="006E7692" w:rsidRDefault="008B20A5" w:rsidP="000A70DC">
      <w:pPr>
        <w:pStyle w:val="SingleTxtG"/>
      </w:pPr>
      <w:r w:rsidRPr="006E7692">
        <w:t>7.5</w:t>
      </w:r>
      <w:r w:rsidRPr="006E7692">
        <w:tab/>
        <w:t>The Committee takes note of the State party’s submissions that the complainants’ political activities in Switzerland were “too low profile” to attract the attention of the Iranian authorities.</w:t>
      </w:r>
      <w:r w:rsidR="006F5F8C" w:rsidRPr="006E7692">
        <w:t xml:space="preserve"> </w:t>
      </w:r>
      <w:r w:rsidRPr="006E7692">
        <w:t>The Committee, however, observes that</w:t>
      </w:r>
      <w:r w:rsidR="000A70DC" w:rsidRPr="006E7692">
        <w:t xml:space="preserve"> since</w:t>
      </w:r>
      <w:r w:rsidRPr="006E7692">
        <w:t xml:space="preserve"> </w:t>
      </w:r>
      <w:r w:rsidR="003E313E" w:rsidRPr="006E7692">
        <w:t>Mr. Khademi</w:t>
      </w:r>
      <w:r w:rsidR="000A70DC" w:rsidRPr="006E7692">
        <w:t xml:space="preserve"> had</w:t>
      </w:r>
      <w:r w:rsidRPr="006E7692">
        <w:t xml:space="preserve"> been previously imprisoned for his political activities, </w:t>
      </w:r>
      <w:r w:rsidR="000A70DC" w:rsidRPr="006E7692">
        <w:t xml:space="preserve">it </w:t>
      </w:r>
      <w:r w:rsidRPr="006E7692">
        <w:t xml:space="preserve">is likely </w:t>
      </w:r>
      <w:r w:rsidR="000A70DC" w:rsidRPr="006E7692">
        <w:t>that he is</w:t>
      </w:r>
      <w:r w:rsidRPr="006E7692">
        <w:t xml:space="preserve"> on the watch list of the Iranian authorities for further activities abroad. The Committee also takes note of the State party’s submission that the</w:t>
      </w:r>
      <w:r w:rsidR="000A70DC" w:rsidRPr="006E7692">
        <w:t xml:space="preserve"> asylum authorities</w:t>
      </w:r>
      <w:r w:rsidRPr="006E7692">
        <w:t xml:space="preserve"> examined the medical certificate presented by </w:t>
      </w:r>
      <w:r w:rsidR="003E313E" w:rsidRPr="006E7692">
        <w:t>Mr. Khademi</w:t>
      </w:r>
      <w:r w:rsidRPr="006E7692">
        <w:t>, and found that no causal link between the complainant’s injuries and the alleged ill-treatment suffered in the Islamic Republic of Iran had been</w:t>
      </w:r>
      <w:r w:rsidR="00067CFC" w:rsidRPr="006E7692">
        <w:t xml:space="preserve"> </w:t>
      </w:r>
      <w:r w:rsidRPr="006E7692">
        <w:t xml:space="preserve">established. The Committee, however, observes that the medical certificate states that </w:t>
      </w:r>
      <w:r w:rsidR="003E313E" w:rsidRPr="006E7692">
        <w:t>Mr. Khademi</w:t>
      </w:r>
      <w:r w:rsidRPr="006E7692">
        <w:t xml:space="preserve">’s medical condition “fits the description of the ill-treatment described.” </w:t>
      </w:r>
    </w:p>
    <w:p w:rsidR="008B20A5" w:rsidRPr="006E7692" w:rsidRDefault="008B20A5" w:rsidP="000A70DC">
      <w:pPr>
        <w:pStyle w:val="SingleTxtG"/>
      </w:pPr>
      <w:r w:rsidRPr="006E7692">
        <w:t>7.6</w:t>
      </w:r>
      <w:r w:rsidRPr="006E7692">
        <w:tab/>
        <w:t xml:space="preserve">Consequently, and in the light of the general human rights situation in the Islamic Republic of Iran that particularly affects members of the opposition, and in view of </w:t>
      </w:r>
      <w:r w:rsidR="003E313E" w:rsidRPr="006E7692">
        <w:t>Mr. Khademi</w:t>
      </w:r>
      <w:r w:rsidRPr="006E7692">
        <w:t xml:space="preserve">’s political opposition activities in both the Islamic Republic of Iran and Switzerland, his previous imprisonment and history of torture, the Committee considers that there are substantial grounds for believing that </w:t>
      </w:r>
      <w:r w:rsidR="000A70DC" w:rsidRPr="006E7692">
        <w:t xml:space="preserve">Mr. Khademi, </w:t>
      </w:r>
      <w:r w:rsidRPr="006E7692">
        <w:t>the first complainant</w:t>
      </w:r>
      <w:r w:rsidR="000A70DC" w:rsidRPr="006E7692">
        <w:t>,</w:t>
      </w:r>
      <w:r w:rsidRPr="006E7692">
        <w:t xml:space="preserve"> risks being subjected to torture if returned to the Islamic Republic of Iran. </w:t>
      </w:r>
    </w:p>
    <w:p w:rsidR="008B20A5" w:rsidRPr="006E7692" w:rsidRDefault="008B20A5" w:rsidP="007C5303">
      <w:pPr>
        <w:pStyle w:val="SingleTxtG"/>
      </w:pPr>
      <w:r w:rsidRPr="006E7692">
        <w:t>7.7</w:t>
      </w:r>
      <w:r w:rsidRPr="006E7692">
        <w:tab/>
        <w:t xml:space="preserve">As </w:t>
      </w:r>
      <w:r w:rsidR="000A70DC" w:rsidRPr="006E7692">
        <w:t>for</w:t>
      </w:r>
      <w:r w:rsidRPr="006E7692">
        <w:t xml:space="preserve"> the cases of </w:t>
      </w:r>
      <w:r w:rsidR="000A70DC" w:rsidRPr="006E7692">
        <w:t>Shahin Qadery, Mr. Khademi’s wife and the second complainant, and of Zanyar Khademi, Mazyar Khademi and Kamyar Khademi, Mr. Khademi’s children and the fourth, fifth and sixth complainants</w:t>
      </w:r>
      <w:r w:rsidRPr="006E7692">
        <w:t xml:space="preserve">, which are dependent upon </w:t>
      </w:r>
      <w:r w:rsidR="000A70DC" w:rsidRPr="006E7692">
        <w:t>his</w:t>
      </w:r>
      <w:r w:rsidRPr="006E7692">
        <w:t xml:space="preserve"> case, the Committee does not find it necessary to consider th</w:t>
      </w:r>
      <w:r w:rsidR="000A70DC" w:rsidRPr="006E7692">
        <w:t>em</w:t>
      </w:r>
      <w:r w:rsidRPr="006E7692">
        <w:t xml:space="preserve"> separately. As regards </w:t>
      </w:r>
      <w:r w:rsidR="000A70DC" w:rsidRPr="006E7692">
        <w:t xml:space="preserve">Ramyar Khademi, </w:t>
      </w:r>
      <w:r w:rsidRPr="006E7692">
        <w:t xml:space="preserve">the third complainant, who was not a minor at the time the family lodged their first asylum </w:t>
      </w:r>
      <w:r w:rsidR="000A70DC" w:rsidRPr="006E7692">
        <w:t>applications</w:t>
      </w:r>
      <w:r w:rsidRPr="006E7692">
        <w:t xml:space="preserve"> in Switzerland and whose case was initially assessed separately by the </w:t>
      </w:r>
      <w:r w:rsidR="000A70DC" w:rsidRPr="006E7692">
        <w:t>Swiss asylum</w:t>
      </w:r>
      <w:r w:rsidRPr="006E7692">
        <w:t xml:space="preserve"> authorities, the Committee notes that the Federal Administrative Tribunal merged his asylum </w:t>
      </w:r>
      <w:r w:rsidR="000A70DC" w:rsidRPr="006E7692">
        <w:t>application</w:t>
      </w:r>
      <w:r w:rsidRPr="006E7692">
        <w:t xml:space="preserve"> with that of his family upon appeal. The Committee, like the State party, thus considered his case </w:t>
      </w:r>
      <w:r w:rsidR="000A70DC" w:rsidRPr="006E7692">
        <w:t xml:space="preserve">jointly </w:t>
      </w:r>
      <w:r w:rsidRPr="006E7692">
        <w:t xml:space="preserve">with that of </w:t>
      </w:r>
      <w:r w:rsidR="007C5303" w:rsidRPr="006E7692">
        <w:t xml:space="preserve">the </w:t>
      </w:r>
      <w:r w:rsidR="003E313E" w:rsidRPr="006E7692">
        <w:t>Khademi</w:t>
      </w:r>
      <w:r w:rsidR="007C5303" w:rsidRPr="006E7692">
        <w:t xml:space="preserve"> family,</w:t>
      </w:r>
      <w:r w:rsidRPr="006E7692">
        <w:t xml:space="preserve"> based on the facts presented by </w:t>
      </w:r>
      <w:r w:rsidR="007C5303" w:rsidRPr="006E7692">
        <w:t>Mr. Khademi</w:t>
      </w:r>
      <w:r w:rsidRPr="006E7692">
        <w:t>.</w:t>
      </w:r>
    </w:p>
    <w:p w:rsidR="008B20A5" w:rsidRPr="006E7692" w:rsidRDefault="008B20A5" w:rsidP="007C5303">
      <w:pPr>
        <w:pStyle w:val="SingleTxtG"/>
      </w:pPr>
      <w:r w:rsidRPr="006E7692">
        <w:t>8</w:t>
      </w:r>
      <w:r w:rsidRPr="006E7692">
        <w:tab/>
        <w:t xml:space="preserve">The Committee against Torture, acting under </w:t>
      </w:r>
      <w:r w:rsidR="006F5F8C" w:rsidRPr="006E7692">
        <w:t>article </w:t>
      </w:r>
      <w:r w:rsidRPr="006E7692">
        <w:t xml:space="preserve">22, </w:t>
      </w:r>
      <w:r w:rsidR="006F5F8C" w:rsidRPr="006E7692">
        <w:t>paragraph </w:t>
      </w:r>
      <w:r w:rsidRPr="006E7692">
        <w:t xml:space="preserve">7, of the Convention against Torture and Other Cruel, Inhuman or Degrading Treatment or Punishment, concludes that there are substantial grounds for believing that </w:t>
      </w:r>
      <w:r w:rsidR="007C5303" w:rsidRPr="006E7692">
        <w:t>Hussein</w:t>
      </w:r>
      <w:r w:rsidR="003E313E" w:rsidRPr="006E7692">
        <w:t xml:space="preserve"> Khademi</w:t>
      </w:r>
      <w:r w:rsidRPr="006E7692">
        <w:t xml:space="preserve"> would face a foreseeable, real and personal risk of being subjected to torture by </w:t>
      </w:r>
      <w:r w:rsidR="007C5303" w:rsidRPr="006E7692">
        <w:t>g</w:t>
      </w:r>
      <w:r w:rsidRPr="006E7692">
        <w:t xml:space="preserve">overnment officials if returned to the Islamic Republic of Iran. The Committee therefore concludes that the deportation of the complainants to the Islamic Republic of Iran would amount to a breach of </w:t>
      </w:r>
      <w:r w:rsidR="006F5F8C" w:rsidRPr="006E7692">
        <w:t>article </w:t>
      </w:r>
      <w:r w:rsidRPr="006E7692">
        <w:t xml:space="preserve">3 of the Convention. </w:t>
      </w:r>
    </w:p>
    <w:p w:rsidR="008B20A5" w:rsidRPr="006E7692" w:rsidRDefault="008B20A5" w:rsidP="007C5303">
      <w:pPr>
        <w:pStyle w:val="SingleTxtG"/>
      </w:pPr>
      <w:r w:rsidRPr="006E7692">
        <w:t>9.</w:t>
      </w:r>
      <w:r w:rsidRPr="006E7692">
        <w:tab/>
        <w:t>The Committee is of the view that the State party has an obligation to refrain from forcibly returning the complainants to the Islamic Republic of Iran or to any other country where they run a real risk of being expelled or returned to the Islamic Rep</w:t>
      </w:r>
      <w:r w:rsidR="00026C22" w:rsidRPr="006E7692">
        <w:t>ublic of Iran. Pursuant to rule </w:t>
      </w:r>
      <w:r w:rsidRPr="006E7692">
        <w:t xml:space="preserve">118, </w:t>
      </w:r>
      <w:r w:rsidR="006F5F8C" w:rsidRPr="006E7692">
        <w:t>paragraph </w:t>
      </w:r>
      <w:r w:rsidRPr="006E7692">
        <w:t>5, of its rules of procedure, the Committee invites the State party to inform it, within 90</w:t>
      </w:r>
      <w:r w:rsidR="00026C22" w:rsidRPr="006E7692">
        <w:t> </w:t>
      </w:r>
      <w:r w:rsidRPr="006E7692">
        <w:t>days from the date of the transmittal of this decision</w:t>
      </w:r>
      <w:r w:rsidR="007C5303" w:rsidRPr="006E7692">
        <w:t>,</w:t>
      </w:r>
      <w:r w:rsidRPr="006E7692">
        <w:t xml:space="preserve"> of the steps taken </w:t>
      </w:r>
      <w:r w:rsidR="007C5303" w:rsidRPr="006E7692">
        <w:t xml:space="preserve">in </w:t>
      </w:r>
      <w:r w:rsidRPr="006E7692">
        <w:t>response to the present decision.</w:t>
      </w:r>
    </w:p>
    <w:p w:rsidR="00D5275A" w:rsidRPr="006E7692" w:rsidRDefault="008B20A5" w:rsidP="00026C22">
      <w:pPr>
        <w:spacing w:before="240"/>
        <w:contextualSpacing/>
        <w:jc w:val="center"/>
      </w:pPr>
      <w:r w:rsidRPr="006E7692">
        <w:rPr>
          <w:u w:val="single"/>
        </w:rPr>
        <w:tab/>
      </w:r>
      <w:r w:rsidRPr="006E7692">
        <w:rPr>
          <w:u w:val="single"/>
        </w:rPr>
        <w:tab/>
      </w:r>
      <w:r w:rsidRPr="006E7692">
        <w:rPr>
          <w:u w:val="single"/>
        </w:rPr>
        <w:tab/>
      </w:r>
    </w:p>
    <w:sectPr w:rsidR="00D5275A" w:rsidRPr="006E7692" w:rsidSect="00D9757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1F" w:rsidRDefault="0027671F"/>
  </w:endnote>
  <w:endnote w:type="continuationSeparator" w:id="0">
    <w:p w:rsidR="0027671F" w:rsidRDefault="0027671F"/>
  </w:endnote>
  <w:endnote w:type="continuationNotice" w:id="1">
    <w:p w:rsidR="0027671F" w:rsidRDefault="00276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28" w:rsidRPr="00D9757E" w:rsidRDefault="007A5C28" w:rsidP="00D9757E">
    <w:pPr>
      <w:pStyle w:val="Footer"/>
      <w:tabs>
        <w:tab w:val="right" w:pos="9638"/>
      </w:tabs>
    </w:pPr>
    <w:r w:rsidRPr="00D9757E">
      <w:rPr>
        <w:b/>
        <w:sz w:val="18"/>
      </w:rPr>
      <w:fldChar w:fldCharType="begin"/>
    </w:r>
    <w:r w:rsidRPr="00D9757E">
      <w:rPr>
        <w:b/>
        <w:sz w:val="18"/>
      </w:rPr>
      <w:instrText xml:space="preserve"> PAGE  \* MERGEFORMAT </w:instrText>
    </w:r>
    <w:r w:rsidRPr="00D9757E">
      <w:rPr>
        <w:b/>
        <w:sz w:val="18"/>
      </w:rPr>
      <w:fldChar w:fldCharType="separate"/>
    </w:r>
    <w:r w:rsidR="000240A6">
      <w:rPr>
        <w:b/>
        <w:noProof/>
        <w:sz w:val="18"/>
      </w:rPr>
      <w:t>2</w:t>
    </w:r>
    <w:r w:rsidRPr="00D9757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28" w:rsidRPr="00D9757E" w:rsidRDefault="007A5C28" w:rsidP="00D9757E">
    <w:pPr>
      <w:pStyle w:val="Footer"/>
      <w:tabs>
        <w:tab w:val="right" w:pos="9638"/>
      </w:tabs>
      <w:rPr>
        <w:b/>
        <w:sz w:val="18"/>
      </w:rPr>
    </w:pPr>
    <w:r>
      <w:tab/>
    </w:r>
    <w:r w:rsidRPr="00D9757E">
      <w:rPr>
        <w:b/>
        <w:sz w:val="18"/>
      </w:rPr>
      <w:fldChar w:fldCharType="begin"/>
    </w:r>
    <w:r w:rsidRPr="00D9757E">
      <w:rPr>
        <w:b/>
        <w:sz w:val="18"/>
      </w:rPr>
      <w:instrText xml:space="preserve"> PAGE  \* MERGEFORMAT </w:instrText>
    </w:r>
    <w:r w:rsidRPr="00D9757E">
      <w:rPr>
        <w:b/>
        <w:sz w:val="18"/>
      </w:rPr>
      <w:fldChar w:fldCharType="separate"/>
    </w:r>
    <w:r w:rsidR="000240A6">
      <w:rPr>
        <w:b/>
        <w:noProof/>
        <w:sz w:val="18"/>
      </w:rPr>
      <w:t>3</w:t>
    </w:r>
    <w:r w:rsidRPr="00D9757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28" w:rsidRPr="00D9757E" w:rsidRDefault="0027671F" w:rsidP="00B239B8">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45pt;margin-top:647.3pt;width:73.25pt;height:18.15pt;z-index:1;mso-position-horizontal-relative:margin;mso-position-vertical-relative:margin">
          <v:imagedata r:id="rId1" o:title="recycle_English"/>
          <w10:wrap anchorx="margin" anchory="margin"/>
        </v:shape>
      </w:pict>
    </w:r>
    <w:r w:rsidR="0067665D">
      <w:t>GE.15</w:t>
    </w:r>
    <w:r w:rsidR="007A5C28">
      <w:t>-</w:t>
    </w:r>
    <w:r w:rsidR="00BD34DA">
      <w:t>00709</w:t>
    </w:r>
    <w:r w:rsidR="00325922">
      <w:t xml:space="preserve">  (E)</w:t>
    </w:r>
    <w:r w:rsidR="00325922">
      <w:br/>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r w:rsidR="00325922" w:rsidRPr="00325922">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1F" w:rsidRPr="000B175B" w:rsidRDefault="0027671F" w:rsidP="000B175B">
      <w:pPr>
        <w:tabs>
          <w:tab w:val="right" w:pos="2155"/>
        </w:tabs>
        <w:spacing w:after="80"/>
        <w:ind w:left="680"/>
        <w:rPr>
          <w:u w:val="single"/>
        </w:rPr>
      </w:pPr>
      <w:r>
        <w:rPr>
          <w:u w:val="single"/>
        </w:rPr>
        <w:tab/>
      </w:r>
    </w:p>
  </w:footnote>
  <w:footnote w:type="continuationSeparator" w:id="0">
    <w:p w:rsidR="0027671F" w:rsidRPr="00FC68B7" w:rsidRDefault="0027671F" w:rsidP="00FC68B7">
      <w:pPr>
        <w:tabs>
          <w:tab w:val="left" w:pos="2155"/>
        </w:tabs>
        <w:spacing w:after="80"/>
        <w:ind w:left="680"/>
        <w:rPr>
          <w:u w:val="single"/>
        </w:rPr>
      </w:pPr>
      <w:r>
        <w:rPr>
          <w:u w:val="single"/>
        </w:rPr>
        <w:tab/>
      </w:r>
    </w:p>
  </w:footnote>
  <w:footnote w:type="continuationNotice" w:id="1">
    <w:p w:rsidR="0027671F" w:rsidRDefault="0027671F"/>
  </w:footnote>
  <w:footnote w:id="2">
    <w:p w:rsidR="007A5C28" w:rsidRPr="006F5F8C" w:rsidRDefault="007A5C28" w:rsidP="00ED356F">
      <w:pPr>
        <w:pStyle w:val="FootnoteText"/>
        <w:widowControl w:val="0"/>
        <w:tabs>
          <w:tab w:val="clear" w:pos="1021"/>
          <w:tab w:val="right" w:pos="1020"/>
        </w:tabs>
      </w:pPr>
      <w:r>
        <w:tab/>
      </w:r>
      <w:r>
        <w:rPr>
          <w:rStyle w:val="FootnoteReference"/>
        </w:rPr>
        <w:footnoteRef/>
      </w:r>
      <w:r>
        <w:tab/>
        <w:t>Persian New Year.</w:t>
      </w:r>
    </w:p>
  </w:footnote>
  <w:footnote w:id="3">
    <w:p w:rsidR="007A5C28" w:rsidRPr="005C522E" w:rsidRDefault="007A5C28" w:rsidP="00904C9E">
      <w:pPr>
        <w:pStyle w:val="FootnoteText"/>
        <w:widowControl w:val="0"/>
        <w:tabs>
          <w:tab w:val="clear" w:pos="1021"/>
          <w:tab w:val="right" w:pos="1020"/>
        </w:tabs>
        <w:rPr>
          <w:lang w:val="en-US"/>
        </w:rPr>
      </w:pPr>
      <w:r>
        <w:tab/>
      </w:r>
      <w:r>
        <w:rPr>
          <w:rStyle w:val="FootnoteReference"/>
        </w:rPr>
        <w:footnoteRef/>
      </w:r>
      <w:r>
        <w:tab/>
        <w:t xml:space="preserve">The complainants refer to European Court of Human Rights, </w:t>
      </w:r>
      <w:r w:rsidRPr="00201E0E">
        <w:rPr>
          <w:i/>
          <w:iCs/>
        </w:rPr>
        <w:t>R.C.</w:t>
      </w:r>
      <w:r>
        <w:t xml:space="preserve"> v. </w:t>
      </w:r>
      <w:r w:rsidRPr="00201E0E">
        <w:rPr>
          <w:i/>
          <w:iCs/>
        </w:rPr>
        <w:t>Sweden</w:t>
      </w:r>
      <w:r>
        <w:t xml:space="preserve">, Application no. 41827/07, judgment of 9 March 2010, para. 53. </w:t>
      </w:r>
    </w:p>
  </w:footnote>
  <w:footnote w:id="4">
    <w:p w:rsidR="007A5C28" w:rsidRPr="005C522E" w:rsidRDefault="007A5C28" w:rsidP="00F96CE8">
      <w:pPr>
        <w:pStyle w:val="FootnoteText"/>
        <w:widowControl w:val="0"/>
        <w:tabs>
          <w:tab w:val="clear" w:pos="1021"/>
          <w:tab w:val="right" w:pos="1020"/>
        </w:tabs>
        <w:rPr>
          <w:lang w:val="en-US"/>
        </w:rPr>
      </w:pPr>
      <w:r>
        <w:tab/>
      </w:r>
      <w:r>
        <w:rPr>
          <w:rStyle w:val="FootnoteReference"/>
        </w:rPr>
        <w:footnoteRef/>
      </w:r>
      <w:r>
        <w:tab/>
        <w:t xml:space="preserve">The complainant refers to United Kingdom: Home Office, </w:t>
      </w:r>
      <w:r w:rsidRPr="00201E0E">
        <w:rPr>
          <w:i/>
          <w:iCs/>
        </w:rPr>
        <w:t>Operational Guidance Note – Iran</w:t>
      </w:r>
      <w:r>
        <w:t xml:space="preserve">, 15 March 2011, v6, paras. 3.12.9 ff. </w:t>
      </w:r>
    </w:p>
  </w:footnote>
  <w:footnote w:id="5">
    <w:p w:rsidR="007A5C28" w:rsidRPr="005C522E" w:rsidRDefault="007A5C28" w:rsidP="00F96CE8">
      <w:pPr>
        <w:pStyle w:val="FootnoteText"/>
        <w:widowControl w:val="0"/>
        <w:tabs>
          <w:tab w:val="clear" w:pos="1021"/>
          <w:tab w:val="right" w:pos="1020"/>
        </w:tabs>
        <w:rPr>
          <w:lang w:val="en-US"/>
        </w:rPr>
      </w:pPr>
      <w:r>
        <w:tab/>
      </w:r>
      <w:r>
        <w:rPr>
          <w:rStyle w:val="FootnoteReference"/>
        </w:rPr>
        <w:footnoteRef/>
      </w:r>
      <w:r>
        <w:tab/>
        <w:t xml:space="preserve">The complainant refers to </w:t>
      </w:r>
      <w:r w:rsidRPr="00201E0E">
        <w:rPr>
          <w:i/>
          <w:iCs/>
        </w:rPr>
        <w:t>BA (Demonstrators in Britain – risk on return) Iran</w:t>
      </w:r>
      <w:r>
        <w:t xml:space="preserve"> v. </w:t>
      </w:r>
      <w:r w:rsidRPr="00201E0E">
        <w:rPr>
          <w:i/>
          <w:iCs/>
        </w:rPr>
        <w:t>Secretary of State for the Home Department</w:t>
      </w:r>
      <w:r>
        <w:t xml:space="preserve">, CG [2011] UKUT 36(IAC), </w:t>
      </w:r>
      <w:smartTag w:uri="urn:schemas-microsoft-com:office:smarttags" w:element="country-region">
        <w:smartTag w:uri="urn:schemas-microsoft-com:office:smarttags" w:element="place">
          <w:r>
            <w:t>United Kingdom</w:t>
          </w:r>
        </w:smartTag>
      </w:smartTag>
      <w:r>
        <w:t xml:space="preserve">: Upper Tribunal (Immigration and Asylum Chamber), 1 February 2011. </w:t>
      </w:r>
    </w:p>
  </w:footnote>
  <w:footnote w:id="6">
    <w:p w:rsidR="007A5C28" w:rsidRPr="005C522E" w:rsidRDefault="007A5C28" w:rsidP="007E6FC6">
      <w:pPr>
        <w:pStyle w:val="FootnoteText"/>
        <w:widowControl w:val="0"/>
        <w:tabs>
          <w:tab w:val="clear" w:pos="1021"/>
          <w:tab w:val="right" w:pos="1020"/>
        </w:tabs>
        <w:rPr>
          <w:lang w:val="en-US"/>
        </w:rPr>
      </w:pPr>
      <w:r>
        <w:tab/>
      </w:r>
      <w:r>
        <w:rPr>
          <w:rStyle w:val="FootnoteReference"/>
        </w:rPr>
        <w:footnoteRef/>
      </w:r>
      <w:r>
        <w:tab/>
        <w:t xml:space="preserve">The complainant refers to Human Rights Watch, “World Report 2011 – Iran”, 24 January 2011; and International Federation for Human Rights, “Prosecutor says hundreds to be executed in Iranian capital Tehran”, 8 June 2011. </w:t>
      </w:r>
    </w:p>
  </w:footnote>
  <w:footnote w:id="7">
    <w:p w:rsidR="007A5C28" w:rsidRPr="005C522E" w:rsidRDefault="007A5C28" w:rsidP="00273789">
      <w:pPr>
        <w:pStyle w:val="FootnoteText"/>
        <w:widowControl w:val="0"/>
        <w:tabs>
          <w:tab w:val="clear" w:pos="1021"/>
          <w:tab w:val="right" w:pos="1020"/>
        </w:tabs>
        <w:rPr>
          <w:lang w:val="en-US"/>
        </w:rPr>
      </w:pPr>
      <w:r>
        <w:tab/>
      </w:r>
      <w:r>
        <w:rPr>
          <w:rStyle w:val="FootnoteReference"/>
        </w:rPr>
        <w:footnoteRef/>
      </w:r>
      <w:r>
        <w:tab/>
        <w:t xml:space="preserve">See communication </w:t>
      </w:r>
      <w:r w:rsidRPr="00C30C1A">
        <w:rPr>
          <w:rStyle w:val="FollowedHyperlink"/>
        </w:rPr>
        <w:t>No. </w:t>
      </w:r>
      <w:r w:rsidRPr="000722FC">
        <w:rPr>
          <w:color w:val="000000"/>
          <w:szCs w:val="18"/>
        </w:rPr>
        <w:t>94/1997</w:t>
      </w:r>
      <w:r>
        <w:rPr>
          <w:color w:val="000000"/>
          <w:szCs w:val="18"/>
        </w:rPr>
        <w:t xml:space="preserve">, </w:t>
      </w:r>
      <w:r w:rsidRPr="000722FC">
        <w:rPr>
          <w:i/>
          <w:color w:val="000000"/>
          <w:szCs w:val="18"/>
        </w:rPr>
        <w:t xml:space="preserve">K.N. </w:t>
      </w:r>
      <w:r w:rsidRPr="00201E0E">
        <w:rPr>
          <w:iCs/>
          <w:color w:val="000000"/>
          <w:szCs w:val="18"/>
        </w:rPr>
        <w:t>v.</w:t>
      </w:r>
      <w:r w:rsidRPr="000722FC">
        <w:rPr>
          <w:i/>
          <w:color w:val="000000"/>
          <w:szCs w:val="18"/>
        </w:rPr>
        <w:t xml:space="preserve"> </w:t>
      </w:r>
      <w:smartTag w:uri="urn:schemas-microsoft-com:office:smarttags" w:element="place">
        <w:smartTag w:uri="urn:schemas-microsoft-com:office:smarttags" w:element="country-region">
          <w:r w:rsidRPr="000722FC">
            <w:rPr>
              <w:i/>
              <w:color w:val="000000"/>
              <w:szCs w:val="18"/>
            </w:rPr>
            <w:t>Switzerland</w:t>
          </w:r>
        </w:smartTag>
      </w:smartTag>
      <w:r w:rsidRPr="000722FC">
        <w:rPr>
          <w:color w:val="000000"/>
          <w:szCs w:val="18"/>
        </w:rPr>
        <w:t xml:space="preserve">, </w:t>
      </w:r>
      <w:r>
        <w:rPr>
          <w:color w:val="000000"/>
          <w:szCs w:val="18"/>
        </w:rPr>
        <w:t>decision adopted on 19 May 1998, para. </w:t>
      </w:r>
      <w:r w:rsidRPr="000722FC">
        <w:rPr>
          <w:color w:val="000000"/>
          <w:szCs w:val="18"/>
        </w:rPr>
        <w:t>10.2</w:t>
      </w:r>
      <w:r>
        <w:rPr>
          <w:color w:val="000000"/>
          <w:szCs w:val="18"/>
        </w:rPr>
        <w:t>.</w:t>
      </w:r>
      <w:r>
        <w:t xml:space="preserve"> </w:t>
      </w:r>
    </w:p>
  </w:footnote>
  <w:footnote w:id="8">
    <w:p w:rsidR="007A5C28" w:rsidRPr="005C522E" w:rsidRDefault="007A5C28" w:rsidP="00273789">
      <w:pPr>
        <w:pStyle w:val="FootnoteText"/>
        <w:widowControl w:val="0"/>
        <w:tabs>
          <w:tab w:val="clear" w:pos="1021"/>
          <w:tab w:val="right" w:pos="1020"/>
        </w:tabs>
        <w:rPr>
          <w:lang w:val="en-US"/>
        </w:rPr>
      </w:pPr>
      <w:r>
        <w:tab/>
      </w:r>
      <w:r>
        <w:rPr>
          <w:rStyle w:val="FootnoteReference"/>
        </w:rPr>
        <w:footnoteRef/>
      </w:r>
      <w:r>
        <w:tab/>
        <w:t xml:space="preserve">Ibid., para. 10.5; and communication </w:t>
      </w:r>
      <w:r w:rsidRPr="00C30C1A">
        <w:rPr>
          <w:rStyle w:val="FollowedHyperlink"/>
        </w:rPr>
        <w:t>No. </w:t>
      </w:r>
      <w:r w:rsidRPr="00997429">
        <w:t xml:space="preserve">100/1997, </w:t>
      </w:r>
      <w:r w:rsidRPr="00997429">
        <w:rPr>
          <w:i/>
        </w:rPr>
        <w:t xml:space="preserve">J.U.A. </w:t>
      </w:r>
      <w:r w:rsidRPr="00201E0E">
        <w:rPr>
          <w:iCs/>
        </w:rPr>
        <w:t>v.</w:t>
      </w:r>
      <w:r w:rsidRPr="00997429">
        <w:rPr>
          <w:i/>
        </w:rPr>
        <w:t xml:space="preserve"> </w:t>
      </w:r>
      <w:smartTag w:uri="urn:schemas-microsoft-com:office:smarttags" w:element="place">
        <w:smartTag w:uri="urn:schemas-microsoft-com:office:smarttags" w:element="country-region">
          <w:r w:rsidRPr="00997429">
            <w:rPr>
              <w:i/>
            </w:rPr>
            <w:t>Switzerland</w:t>
          </w:r>
        </w:smartTag>
      </w:smartTag>
      <w:r>
        <w:t>, decision</w:t>
      </w:r>
      <w:r w:rsidRPr="00997429">
        <w:t xml:space="preserve"> adopted on 10</w:t>
      </w:r>
      <w:r>
        <w:t xml:space="preserve"> </w:t>
      </w:r>
      <w:r w:rsidRPr="00997429">
        <w:t xml:space="preserve">November 1998, </w:t>
      </w:r>
      <w:r>
        <w:t>paras. </w:t>
      </w:r>
      <w:r w:rsidRPr="00997429">
        <w:t>6.3 and 6.5.</w:t>
      </w:r>
    </w:p>
  </w:footnote>
  <w:footnote w:id="9">
    <w:p w:rsidR="007A5C28" w:rsidRPr="005C522E" w:rsidRDefault="007A5C28" w:rsidP="00273789">
      <w:pPr>
        <w:pStyle w:val="FootnoteText"/>
        <w:widowControl w:val="0"/>
        <w:tabs>
          <w:tab w:val="clear" w:pos="1021"/>
          <w:tab w:val="right" w:pos="1020"/>
        </w:tabs>
        <w:rPr>
          <w:lang w:val="en-US"/>
        </w:rPr>
      </w:pPr>
      <w:r>
        <w:tab/>
      </w:r>
      <w:r>
        <w:rPr>
          <w:rStyle w:val="FootnoteReference"/>
        </w:rPr>
        <w:footnoteRef/>
      </w:r>
      <w:r>
        <w:tab/>
        <w:t>Committee against Torture, g</w:t>
      </w:r>
      <w:r>
        <w:rPr>
          <w:szCs w:val="18"/>
        </w:rPr>
        <w:t xml:space="preserve">eneral comment </w:t>
      </w:r>
      <w:r w:rsidRPr="00C30C1A">
        <w:rPr>
          <w:rStyle w:val="FollowedHyperlink"/>
        </w:rPr>
        <w:t>No. </w:t>
      </w:r>
      <w:r>
        <w:rPr>
          <w:szCs w:val="18"/>
        </w:rPr>
        <w:t>1 (1997), para. 6.</w:t>
      </w:r>
    </w:p>
  </w:footnote>
  <w:footnote w:id="10">
    <w:p w:rsidR="007A5C28" w:rsidRPr="00201E0E" w:rsidRDefault="007A5C28">
      <w:pPr>
        <w:pStyle w:val="FootnoteText"/>
        <w:rPr>
          <w:lang w:val="en-US"/>
        </w:rPr>
      </w:pPr>
      <w:r>
        <w:tab/>
      </w:r>
      <w:r>
        <w:rPr>
          <w:rStyle w:val="FootnoteReference"/>
        </w:rPr>
        <w:footnoteRef/>
      </w:r>
      <w:r>
        <w:tab/>
        <w:t xml:space="preserve">Committee against Torture, general comment No. 1 (1997), para. 8 (b). </w:t>
      </w:r>
    </w:p>
  </w:footnote>
  <w:footnote w:id="11">
    <w:p w:rsidR="007A5C28" w:rsidRPr="005C522E" w:rsidRDefault="007A5C28" w:rsidP="00515224">
      <w:pPr>
        <w:pStyle w:val="FootnoteText"/>
        <w:widowControl w:val="0"/>
        <w:tabs>
          <w:tab w:val="clear" w:pos="1021"/>
          <w:tab w:val="right" w:pos="1020"/>
        </w:tabs>
        <w:rPr>
          <w:lang w:val="en-US"/>
        </w:rPr>
      </w:pPr>
      <w:r>
        <w:tab/>
      </w:r>
      <w:r>
        <w:rPr>
          <w:rStyle w:val="FootnoteReference"/>
        </w:rPr>
        <w:footnoteRef/>
      </w:r>
      <w:r>
        <w:tab/>
        <w:t xml:space="preserve">The complainants refer to European Court of Human Rights, </w:t>
      </w:r>
      <w:r w:rsidRPr="00206DD7">
        <w:rPr>
          <w:i/>
          <w:iCs/>
        </w:rPr>
        <w:t>R.C</w:t>
      </w:r>
      <w:r>
        <w:rPr>
          <w:i/>
          <w:iCs/>
        </w:rPr>
        <w:t>.</w:t>
      </w:r>
      <w:r w:rsidRPr="00206DD7">
        <w:rPr>
          <w:i/>
          <w:iCs/>
        </w:rPr>
        <w:t xml:space="preserve"> </w:t>
      </w:r>
      <w:r w:rsidRPr="00201E0E">
        <w:t>v.</w:t>
      </w:r>
      <w:r w:rsidRPr="00206DD7">
        <w:rPr>
          <w:i/>
          <w:iCs/>
        </w:rPr>
        <w:t xml:space="preserve"> Sweden</w:t>
      </w:r>
      <w:r>
        <w:t xml:space="preserve">, Application No. 41827/07, judgment of 9 March 2010, para. 53. </w:t>
      </w:r>
    </w:p>
  </w:footnote>
  <w:footnote w:id="12">
    <w:p w:rsidR="007A5C28" w:rsidRPr="005C522E" w:rsidRDefault="007A5C28" w:rsidP="00FD610D">
      <w:pPr>
        <w:pStyle w:val="FootnoteText"/>
        <w:widowControl w:val="0"/>
        <w:tabs>
          <w:tab w:val="clear" w:pos="1021"/>
          <w:tab w:val="right" w:pos="1020"/>
        </w:tabs>
        <w:rPr>
          <w:lang w:val="en-US"/>
        </w:rPr>
      </w:pPr>
      <w:r>
        <w:tab/>
      </w:r>
      <w:r>
        <w:rPr>
          <w:rStyle w:val="FootnoteReference"/>
        </w:rPr>
        <w:footnoteRef/>
      </w:r>
      <w:r>
        <w:tab/>
      </w:r>
      <w:r w:rsidRPr="00C624BA">
        <w:t xml:space="preserve">See, </w:t>
      </w:r>
      <w:r w:rsidRPr="00E71EBD">
        <w:t>inter alia</w:t>
      </w:r>
      <w:r w:rsidRPr="00C624BA">
        <w:t xml:space="preserve">, </w:t>
      </w:r>
      <w:r>
        <w:t>c</w:t>
      </w:r>
      <w:r w:rsidRPr="00C624BA">
        <w:t>ommunication</w:t>
      </w:r>
      <w:r>
        <w:t>s</w:t>
      </w:r>
      <w:r w:rsidRPr="00C624BA">
        <w:t xml:space="preserve"> </w:t>
      </w:r>
      <w:r>
        <w:t>No. </w:t>
      </w:r>
      <w:r w:rsidRPr="00C624BA">
        <w:t xml:space="preserve">258/2004, </w:t>
      </w:r>
      <w:r w:rsidRPr="00C624BA">
        <w:rPr>
          <w:i/>
        </w:rPr>
        <w:t xml:space="preserve">Dadar </w:t>
      </w:r>
      <w:r w:rsidRPr="00201E0E">
        <w:rPr>
          <w:iCs/>
        </w:rPr>
        <w:t>v.</w:t>
      </w:r>
      <w:r w:rsidRPr="00C624BA">
        <w:rPr>
          <w:i/>
        </w:rPr>
        <w:t xml:space="preserve"> Canada</w:t>
      </w:r>
      <w:r>
        <w:t>, d</w:t>
      </w:r>
      <w:r w:rsidRPr="00C624BA">
        <w:t>ecision adopted on 23 November 2005</w:t>
      </w:r>
      <w:r w:rsidR="00FD610D">
        <w:t>;</w:t>
      </w:r>
      <w:r w:rsidRPr="00C624BA">
        <w:t xml:space="preserve"> and </w:t>
      </w:r>
      <w:r>
        <w:t>No. </w:t>
      </w:r>
      <w:r w:rsidRPr="00C624BA">
        <w:t xml:space="preserve">226/2003, </w:t>
      </w:r>
      <w:r w:rsidRPr="00C624BA">
        <w:rPr>
          <w:i/>
        </w:rPr>
        <w:t xml:space="preserve">T.A. </w:t>
      </w:r>
      <w:r w:rsidRPr="00201E0E">
        <w:rPr>
          <w:iCs/>
        </w:rPr>
        <w:t>v.</w:t>
      </w:r>
      <w:r w:rsidRPr="00C624BA">
        <w:rPr>
          <w:i/>
        </w:rPr>
        <w:t xml:space="preserve"> Sweden</w:t>
      </w:r>
      <w:r>
        <w:t>, d</w:t>
      </w:r>
      <w:r w:rsidRPr="00C624BA">
        <w:t>ecision adopted on 6 May 2005.</w:t>
      </w:r>
      <w:r>
        <w:t xml:space="preserve"> </w:t>
      </w:r>
    </w:p>
  </w:footnote>
  <w:footnote w:id="13">
    <w:p w:rsidR="007A5C28" w:rsidRPr="005C522E" w:rsidRDefault="007A5C28" w:rsidP="007C5303">
      <w:pPr>
        <w:pStyle w:val="FootnoteText"/>
        <w:widowControl w:val="0"/>
        <w:tabs>
          <w:tab w:val="clear" w:pos="1021"/>
          <w:tab w:val="right" w:pos="1020"/>
        </w:tabs>
        <w:rPr>
          <w:lang w:val="en-US"/>
        </w:rPr>
      </w:pPr>
      <w:r>
        <w:tab/>
      </w:r>
      <w:r>
        <w:rPr>
          <w:rStyle w:val="FootnoteReference"/>
        </w:rPr>
        <w:footnoteRef/>
      </w:r>
      <w:r>
        <w:tab/>
        <w:t xml:space="preserve">See </w:t>
      </w:r>
      <w:r w:rsidR="007C5303">
        <w:t>c</w:t>
      </w:r>
      <w:r>
        <w:t>ommunication</w:t>
      </w:r>
      <w:r w:rsidR="007C5303">
        <w:t>s</w:t>
      </w:r>
      <w:r>
        <w:t xml:space="preserve"> No. 357/2008, </w:t>
      </w:r>
      <w:r w:rsidRPr="00026C22">
        <w:rPr>
          <w:i/>
          <w:iCs/>
        </w:rPr>
        <w:t xml:space="preserve">Jahani </w:t>
      </w:r>
      <w:r w:rsidRPr="00201E0E">
        <w:t>v.</w:t>
      </w:r>
      <w:r w:rsidRPr="00026C22">
        <w:rPr>
          <w:i/>
          <w:iCs/>
        </w:rPr>
        <w:t xml:space="preserve"> Switzerland</w:t>
      </w:r>
      <w:r>
        <w:t>, decision adopted on 23 May 2011, para. 9.4, and No. </w:t>
      </w:r>
      <w:r w:rsidRPr="007C1E17">
        <w:t>381/2009</w:t>
      </w:r>
      <w:r>
        <w:t xml:space="preserve">, </w:t>
      </w:r>
      <w:r w:rsidRPr="00026C22">
        <w:rPr>
          <w:i/>
          <w:iCs/>
        </w:rPr>
        <w:t xml:space="preserve">Faragollah et al </w:t>
      </w:r>
      <w:r w:rsidRPr="00201E0E">
        <w:t>v.</w:t>
      </w:r>
      <w:r w:rsidRPr="00026C22">
        <w:rPr>
          <w:i/>
          <w:iCs/>
        </w:rPr>
        <w:t xml:space="preserve"> Switzerland</w:t>
      </w:r>
      <w:r>
        <w:t xml:space="preserve">, decision adopted on </w:t>
      </w:r>
      <w:r w:rsidRPr="007C1E17">
        <w:t>21 November 2011</w:t>
      </w:r>
      <w:r>
        <w:t xml:space="preserve">, para. 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28" w:rsidRPr="00D9757E" w:rsidRDefault="007A5C28">
    <w:pPr>
      <w:pStyle w:val="Header"/>
    </w:pPr>
    <w:r>
      <w:t>CAT/C/53/D/473/2011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28" w:rsidRPr="00D9757E" w:rsidRDefault="007A5C28" w:rsidP="00D9757E">
    <w:pPr>
      <w:pStyle w:val="Header"/>
      <w:jc w:val="right"/>
    </w:pPr>
    <w:r>
      <w:t>CAT/C/53/D/473/2011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57E"/>
    <w:rsid w:val="0000248A"/>
    <w:rsid w:val="000240A6"/>
    <w:rsid w:val="00026C22"/>
    <w:rsid w:val="00050F6B"/>
    <w:rsid w:val="00057E97"/>
    <w:rsid w:val="000674FC"/>
    <w:rsid w:val="00067CFC"/>
    <w:rsid w:val="00072C8C"/>
    <w:rsid w:val="000733B5"/>
    <w:rsid w:val="00081815"/>
    <w:rsid w:val="000931C0"/>
    <w:rsid w:val="00094B47"/>
    <w:rsid w:val="000A70DC"/>
    <w:rsid w:val="000B175B"/>
    <w:rsid w:val="000B3A0F"/>
    <w:rsid w:val="000B4EF7"/>
    <w:rsid w:val="000C2C03"/>
    <w:rsid w:val="000C2D2E"/>
    <w:rsid w:val="000E0415"/>
    <w:rsid w:val="000E2D00"/>
    <w:rsid w:val="001103AA"/>
    <w:rsid w:val="00134E74"/>
    <w:rsid w:val="001450BD"/>
    <w:rsid w:val="00153179"/>
    <w:rsid w:val="00164F45"/>
    <w:rsid w:val="00165F3A"/>
    <w:rsid w:val="00183227"/>
    <w:rsid w:val="00197B02"/>
    <w:rsid w:val="001A5EBC"/>
    <w:rsid w:val="001B1FE3"/>
    <w:rsid w:val="001B4B04"/>
    <w:rsid w:val="001C4F61"/>
    <w:rsid w:val="001C6663"/>
    <w:rsid w:val="001C7895"/>
    <w:rsid w:val="001D0C8C"/>
    <w:rsid w:val="001D1EB5"/>
    <w:rsid w:val="001D26DF"/>
    <w:rsid w:val="001D3A03"/>
    <w:rsid w:val="00201E0E"/>
    <w:rsid w:val="00202DA8"/>
    <w:rsid w:val="0020569F"/>
    <w:rsid w:val="00206DD7"/>
    <w:rsid w:val="00211E0B"/>
    <w:rsid w:val="00253DF1"/>
    <w:rsid w:val="00267CF0"/>
    <w:rsid w:val="00267F5F"/>
    <w:rsid w:val="00273789"/>
    <w:rsid w:val="0027671F"/>
    <w:rsid w:val="002834B6"/>
    <w:rsid w:val="00286B4D"/>
    <w:rsid w:val="00291271"/>
    <w:rsid w:val="002955D6"/>
    <w:rsid w:val="00297799"/>
    <w:rsid w:val="002A3202"/>
    <w:rsid w:val="002B3C39"/>
    <w:rsid w:val="002B466B"/>
    <w:rsid w:val="002F175C"/>
    <w:rsid w:val="002F1A00"/>
    <w:rsid w:val="002F4A6E"/>
    <w:rsid w:val="00316F96"/>
    <w:rsid w:val="003229D8"/>
    <w:rsid w:val="00325922"/>
    <w:rsid w:val="003413ED"/>
    <w:rsid w:val="00343EE1"/>
    <w:rsid w:val="0034710F"/>
    <w:rsid w:val="00352709"/>
    <w:rsid w:val="00371178"/>
    <w:rsid w:val="00396B16"/>
    <w:rsid w:val="003A6810"/>
    <w:rsid w:val="003C2CC4"/>
    <w:rsid w:val="003C6914"/>
    <w:rsid w:val="003D4B23"/>
    <w:rsid w:val="003E2E7B"/>
    <w:rsid w:val="003E313E"/>
    <w:rsid w:val="003E317A"/>
    <w:rsid w:val="00410C89"/>
    <w:rsid w:val="00416EAF"/>
    <w:rsid w:val="00426B9B"/>
    <w:rsid w:val="004325CB"/>
    <w:rsid w:val="00442A83"/>
    <w:rsid w:val="004437F2"/>
    <w:rsid w:val="00454847"/>
    <w:rsid w:val="0045495B"/>
    <w:rsid w:val="00475072"/>
    <w:rsid w:val="004A2CAE"/>
    <w:rsid w:val="004B4201"/>
    <w:rsid w:val="004B4C23"/>
    <w:rsid w:val="004B7802"/>
    <w:rsid w:val="004D0D0F"/>
    <w:rsid w:val="004E0A99"/>
    <w:rsid w:val="004F0326"/>
    <w:rsid w:val="005045AB"/>
    <w:rsid w:val="00515224"/>
    <w:rsid w:val="0052136D"/>
    <w:rsid w:val="00525B4C"/>
    <w:rsid w:val="0052775E"/>
    <w:rsid w:val="005420F2"/>
    <w:rsid w:val="00546A01"/>
    <w:rsid w:val="00550AEC"/>
    <w:rsid w:val="005542C9"/>
    <w:rsid w:val="005628B6"/>
    <w:rsid w:val="00570B27"/>
    <w:rsid w:val="005A58F9"/>
    <w:rsid w:val="005B341E"/>
    <w:rsid w:val="005B3DB3"/>
    <w:rsid w:val="005C4708"/>
    <w:rsid w:val="005C522E"/>
    <w:rsid w:val="005D0FDF"/>
    <w:rsid w:val="005E4DF2"/>
    <w:rsid w:val="005E7CAE"/>
    <w:rsid w:val="005F7B75"/>
    <w:rsid w:val="006001EE"/>
    <w:rsid w:val="00605042"/>
    <w:rsid w:val="00611FC4"/>
    <w:rsid w:val="006176FB"/>
    <w:rsid w:val="00626F01"/>
    <w:rsid w:val="00631A3F"/>
    <w:rsid w:val="00637549"/>
    <w:rsid w:val="00640B26"/>
    <w:rsid w:val="00646B0C"/>
    <w:rsid w:val="00652D0A"/>
    <w:rsid w:val="00662BB6"/>
    <w:rsid w:val="0067665D"/>
    <w:rsid w:val="00680D57"/>
    <w:rsid w:val="00684C21"/>
    <w:rsid w:val="0069211D"/>
    <w:rsid w:val="006A2297"/>
    <w:rsid w:val="006A6F4F"/>
    <w:rsid w:val="006B2B77"/>
    <w:rsid w:val="006C19AB"/>
    <w:rsid w:val="006D37AF"/>
    <w:rsid w:val="006D51D0"/>
    <w:rsid w:val="006E0DDE"/>
    <w:rsid w:val="006E564B"/>
    <w:rsid w:val="006E7191"/>
    <w:rsid w:val="006E7692"/>
    <w:rsid w:val="006F5689"/>
    <w:rsid w:val="006F5F8C"/>
    <w:rsid w:val="00703577"/>
    <w:rsid w:val="00713BA2"/>
    <w:rsid w:val="0072632A"/>
    <w:rsid w:val="007327D5"/>
    <w:rsid w:val="007527F2"/>
    <w:rsid w:val="007629C8"/>
    <w:rsid w:val="00777CC8"/>
    <w:rsid w:val="007A5C28"/>
    <w:rsid w:val="007B6BA5"/>
    <w:rsid w:val="007C3390"/>
    <w:rsid w:val="007C36FB"/>
    <w:rsid w:val="007C4F4B"/>
    <w:rsid w:val="007C5303"/>
    <w:rsid w:val="007D3D4B"/>
    <w:rsid w:val="007E1F44"/>
    <w:rsid w:val="007E6FC6"/>
    <w:rsid w:val="007E7B42"/>
    <w:rsid w:val="007F23CF"/>
    <w:rsid w:val="007F6611"/>
    <w:rsid w:val="00812A3B"/>
    <w:rsid w:val="00821E3C"/>
    <w:rsid w:val="008242D7"/>
    <w:rsid w:val="008257B1"/>
    <w:rsid w:val="00825BDE"/>
    <w:rsid w:val="00832EEC"/>
    <w:rsid w:val="00843086"/>
    <w:rsid w:val="00843767"/>
    <w:rsid w:val="008679D9"/>
    <w:rsid w:val="0089095E"/>
    <w:rsid w:val="008979B1"/>
    <w:rsid w:val="008A6B25"/>
    <w:rsid w:val="008A6C4F"/>
    <w:rsid w:val="008B20A5"/>
    <w:rsid w:val="008B2335"/>
    <w:rsid w:val="008D3588"/>
    <w:rsid w:val="008E0678"/>
    <w:rsid w:val="008E4285"/>
    <w:rsid w:val="00904C9E"/>
    <w:rsid w:val="009223CA"/>
    <w:rsid w:val="00940F93"/>
    <w:rsid w:val="00945D3C"/>
    <w:rsid w:val="009531E0"/>
    <w:rsid w:val="00962065"/>
    <w:rsid w:val="009760F3"/>
    <w:rsid w:val="00982CF6"/>
    <w:rsid w:val="009A0E8D"/>
    <w:rsid w:val="009B26E7"/>
    <w:rsid w:val="009F28F0"/>
    <w:rsid w:val="009F2D81"/>
    <w:rsid w:val="00A00A3F"/>
    <w:rsid w:val="00A01489"/>
    <w:rsid w:val="00A069A6"/>
    <w:rsid w:val="00A338F1"/>
    <w:rsid w:val="00A5214F"/>
    <w:rsid w:val="00A618E1"/>
    <w:rsid w:val="00A72F22"/>
    <w:rsid w:val="00A7360F"/>
    <w:rsid w:val="00A748A6"/>
    <w:rsid w:val="00A769F4"/>
    <w:rsid w:val="00A776B4"/>
    <w:rsid w:val="00A80B3D"/>
    <w:rsid w:val="00A94361"/>
    <w:rsid w:val="00A94975"/>
    <w:rsid w:val="00A97860"/>
    <w:rsid w:val="00AA293C"/>
    <w:rsid w:val="00AB454B"/>
    <w:rsid w:val="00AC72B5"/>
    <w:rsid w:val="00AE2555"/>
    <w:rsid w:val="00B15564"/>
    <w:rsid w:val="00B239B8"/>
    <w:rsid w:val="00B23BE1"/>
    <w:rsid w:val="00B30179"/>
    <w:rsid w:val="00B33B81"/>
    <w:rsid w:val="00B502F4"/>
    <w:rsid w:val="00B54F31"/>
    <w:rsid w:val="00B56E4A"/>
    <w:rsid w:val="00B56E9C"/>
    <w:rsid w:val="00B64B1F"/>
    <w:rsid w:val="00B6553F"/>
    <w:rsid w:val="00B65BD0"/>
    <w:rsid w:val="00B77D05"/>
    <w:rsid w:val="00B81206"/>
    <w:rsid w:val="00B81E12"/>
    <w:rsid w:val="00B8505B"/>
    <w:rsid w:val="00B92937"/>
    <w:rsid w:val="00B97EE2"/>
    <w:rsid w:val="00BA09EA"/>
    <w:rsid w:val="00BC5DD9"/>
    <w:rsid w:val="00BC74E9"/>
    <w:rsid w:val="00BD12B8"/>
    <w:rsid w:val="00BD34DA"/>
    <w:rsid w:val="00BE54FD"/>
    <w:rsid w:val="00BF68A8"/>
    <w:rsid w:val="00C11A03"/>
    <w:rsid w:val="00C30B91"/>
    <w:rsid w:val="00C36F64"/>
    <w:rsid w:val="00C42634"/>
    <w:rsid w:val="00C463DD"/>
    <w:rsid w:val="00C4724C"/>
    <w:rsid w:val="00C629A0"/>
    <w:rsid w:val="00C73A70"/>
    <w:rsid w:val="00C745C3"/>
    <w:rsid w:val="00C80AA2"/>
    <w:rsid w:val="00C87488"/>
    <w:rsid w:val="00CE4A8F"/>
    <w:rsid w:val="00D2031B"/>
    <w:rsid w:val="00D21697"/>
    <w:rsid w:val="00D25FE2"/>
    <w:rsid w:val="00D43252"/>
    <w:rsid w:val="00D47706"/>
    <w:rsid w:val="00D47EEA"/>
    <w:rsid w:val="00D5275A"/>
    <w:rsid w:val="00D56986"/>
    <w:rsid w:val="00D6319C"/>
    <w:rsid w:val="00D87115"/>
    <w:rsid w:val="00D93CC8"/>
    <w:rsid w:val="00D95303"/>
    <w:rsid w:val="00D9757E"/>
    <w:rsid w:val="00D978C6"/>
    <w:rsid w:val="00DA1265"/>
    <w:rsid w:val="00DA3C1C"/>
    <w:rsid w:val="00DB5AF8"/>
    <w:rsid w:val="00DC1764"/>
    <w:rsid w:val="00DC4F70"/>
    <w:rsid w:val="00DD4020"/>
    <w:rsid w:val="00DF16C8"/>
    <w:rsid w:val="00E04676"/>
    <w:rsid w:val="00E12F68"/>
    <w:rsid w:val="00E27346"/>
    <w:rsid w:val="00E32EFC"/>
    <w:rsid w:val="00E3695B"/>
    <w:rsid w:val="00E36D61"/>
    <w:rsid w:val="00E630FB"/>
    <w:rsid w:val="00E71BC8"/>
    <w:rsid w:val="00E7260F"/>
    <w:rsid w:val="00E96630"/>
    <w:rsid w:val="00EB02FF"/>
    <w:rsid w:val="00ED356F"/>
    <w:rsid w:val="00ED7A2A"/>
    <w:rsid w:val="00EF1D7F"/>
    <w:rsid w:val="00EF5E6B"/>
    <w:rsid w:val="00EF64F3"/>
    <w:rsid w:val="00F02F74"/>
    <w:rsid w:val="00F039C3"/>
    <w:rsid w:val="00F34539"/>
    <w:rsid w:val="00F35586"/>
    <w:rsid w:val="00F36883"/>
    <w:rsid w:val="00F36BED"/>
    <w:rsid w:val="00F46CFA"/>
    <w:rsid w:val="00F62F3D"/>
    <w:rsid w:val="00F93781"/>
    <w:rsid w:val="00F96CE8"/>
    <w:rsid w:val="00FA5869"/>
    <w:rsid w:val="00FB613B"/>
    <w:rsid w:val="00FC2B0A"/>
    <w:rsid w:val="00FC68B7"/>
    <w:rsid w:val="00FD610D"/>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7FD4E7BE-0D1A-4A40-A1F2-381F0695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1C4F61"/>
    <w:rPr>
      <w:sz w:val="18"/>
      <w:lang w:eastAsia="en-US"/>
    </w:rPr>
  </w:style>
  <w:style w:type="paragraph" w:styleId="BodyText">
    <w:name w:val="Body Text"/>
    <w:basedOn w:val="Normal"/>
    <w:next w:val="Normal"/>
    <w:link w:val="BodyTextChar"/>
    <w:rsid w:val="00C80AA2"/>
  </w:style>
  <w:style w:type="character" w:customStyle="1" w:styleId="BodyTextChar">
    <w:name w:val="Body Text Char"/>
    <w:link w:val="BodyText"/>
    <w:rsid w:val="00C80AA2"/>
    <w:rPr>
      <w:lang w:eastAsia="en-US"/>
    </w:rPr>
  </w:style>
  <w:style w:type="paragraph" w:styleId="BalloonText">
    <w:name w:val="Balloon Text"/>
    <w:basedOn w:val="Normal"/>
    <w:link w:val="BalloonTextChar"/>
    <w:rsid w:val="00EF64F3"/>
    <w:pPr>
      <w:spacing w:line="240" w:lineRule="auto"/>
    </w:pPr>
    <w:rPr>
      <w:rFonts w:ascii="Tahoma" w:hAnsi="Tahoma"/>
      <w:sz w:val="16"/>
      <w:szCs w:val="16"/>
    </w:rPr>
  </w:style>
  <w:style w:type="character" w:customStyle="1" w:styleId="BalloonTextChar">
    <w:name w:val="Balloon Text Char"/>
    <w:link w:val="BalloonText"/>
    <w:rsid w:val="00EF64F3"/>
    <w:rPr>
      <w:rFonts w:ascii="Tahoma" w:hAnsi="Tahoma" w:cs="Tahoma"/>
      <w:sz w:val="16"/>
      <w:szCs w:val="16"/>
      <w:lang w:eastAsia="en-US"/>
    </w:rPr>
  </w:style>
  <w:style w:type="character" w:styleId="CommentReference">
    <w:name w:val="annotation reference"/>
    <w:rsid w:val="00EB02FF"/>
    <w:rPr>
      <w:sz w:val="16"/>
      <w:szCs w:val="16"/>
    </w:rPr>
  </w:style>
  <w:style w:type="paragraph" w:styleId="CommentText">
    <w:name w:val="annotation text"/>
    <w:basedOn w:val="Normal"/>
    <w:link w:val="CommentTextChar"/>
    <w:rsid w:val="00EB02FF"/>
  </w:style>
  <w:style w:type="character" w:customStyle="1" w:styleId="CommentTextChar">
    <w:name w:val="Comment Text Char"/>
    <w:link w:val="CommentText"/>
    <w:rsid w:val="00EB02FF"/>
    <w:rPr>
      <w:lang w:val="en-GB" w:eastAsia="en-US"/>
    </w:rPr>
  </w:style>
  <w:style w:type="paragraph" w:styleId="CommentSubject">
    <w:name w:val="annotation subject"/>
    <w:basedOn w:val="CommentText"/>
    <w:next w:val="CommentText"/>
    <w:link w:val="CommentSubjectChar"/>
    <w:rsid w:val="00EB02FF"/>
    <w:rPr>
      <w:b/>
      <w:bCs/>
    </w:rPr>
  </w:style>
  <w:style w:type="character" w:customStyle="1" w:styleId="CommentSubjectChar">
    <w:name w:val="Comment Subject Char"/>
    <w:link w:val="CommentSubject"/>
    <w:rsid w:val="00EB02FF"/>
    <w:rPr>
      <w:b/>
      <w:bCs/>
      <w:lang w:val="en-GB" w:eastAsia="en-US"/>
    </w:rPr>
  </w:style>
  <w:style w:type="paragraph" w:styleId="Revision">
    <w:name w:val="Revision"/>
    <w:hidden/>
    <w:uiPriority w:val="99"/>
    <w:semiHidden/>
    <w:rsid w:val="00EB02F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11</Pages>
  <Words>6799</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2014-12-03T09:50:00Z</cp:lastPrinted>
  <dcterms:created xsi:type="dcterms:W3CDTF">2017-01-25T01:28:00Z</dcterms:created>
  <dcterms:modified xsi:type="dcterms:W3CDTF">2017-01-25T01:28:00Z</dcterms:modified>
</cp:coreProperties>
</file>