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FF0E38" w:rsidTr="009332D1">
        <w:trPr>
          <w:cantSplit/>
          <w:trHeight w:hRule="exact" w:val="851"/>
        </w:trPr>
        <w:tc>
          <w:tcPr>
            <w:tcW w:w="1276" w:type="dxa"/>
            <w:tcBorders>
              <w:bottom w:val="single" w:sz="4" w:space="0" w:color="auto"/>
            </w:tcBorders>
            <w:shd w:val="clear" w:color="auto" w:fill="auto"/>
            <w:vAlign w:val="bottom"/>
          </w:tcPr>
          <w:p w:rsidR="00B56E9C" w:rsidRDefault="00B56E9C" w:rsidP="009332D1">
            <w:pPr>
              <w:spacing w:after="80"/>
            </w:pPr>
            <w:bookmarkStart w:id="0" w:name="_GoBack"/>
            <w:bookmarkEnd w:id="0"/>
          </w:p>
        </w:tc>
        <w:tc>
          <w:tcPr>
            <w:tcW w:w="2268" w:type="dxa"/>
            <w:tcBorders>
              <w:bottom w:val="single" w:sz="4" w:space="0" w:color="auto"/>
            </w:tcBorders>
            <w:shd w:val="clear" w:color="auto" w:fill="auto"/>
            <w:vAlign w:val="bottom"/>
          </w:tcPr>
          <w:p w:rsidR="00B56E9C" w:rsidRPr="007806C6" w:rsidRDefault="00B56E9C" w:rsidP="009332D1">
            <w:pPr>
              <w:spacing w:after="80" w:line="300" w:lineRule="exact"/>
              <w:rPr>
                <w:b/>
                <w:sz w:val="24"/>
                <w:szCs w:val="24"/>
              </w:rPr>
            </w:pPr>
            <w:r w:rsidRPr="007806C6">
              <w:rPr>
                <w:sz w:val="28"/>
                <w:szCs w:val="28"/>
              </w:rPr>
              <w:t>United Nations</w:t>
            </w:r>
          </w:p>
        </w:tc>
        <w:tc>
          <w:tcPr>
            <w:tcW w:w="6095" w:type="dxa"/>
            <w:gridSpan w:val="2"/>
            <w:tcBorders>
              <w:bottom w:val="single" w:sz="4" w:space="0" w:color="auto"/>
            </w:tcBorders>
            <w:shd w:val="clear" w:color="auto" w:fill="auto"/>
            <w:vAlign w:val="bottom"/>
          </w:tcPr>
          <w:p w:rsidR="00B56E9C" w:rsidRPr="00FF0E38" w:rsidRDefault="00560821" w:rsidP="00464A36">
            <w:pPr>
              <w:suppressAutoHyphens w:val="0"/>
              <w:spacing w:after="20"/>
              <w:jc w:val="right"/>
            </w:pPr>
            <w:r w:rsidRPr="007806C6">
              <w:rPr>
                <w:sz w:val="40"/>
              </w:rPr>
              <w:t>CAT</w:t>
            </w:r>
            <w:r w:rsidRPr="007806C6">
              <w:t>/C/5</w:t>
            </w:r>
            <w:r w:rsidR="007C01BE" w:rsidRPr="007806C6">
              <w:t>3</w:t>
            </w:r>
            <w:r w:rsidRPr="007806C6">
              <w:t>/D</w:t>
            </w:r>
            <w:r w:rsidRPr="002E4F41">
              <w:t>/</w:t>
            </w:r>
            <w:r w:rsidR="000B6467" w:rsidRPr="002E4F41">
              <w:t>489</w:t>
            </w:r>
            <w:r w:rsidRPr="00FF0E38">
              <w:t>/20</w:t>
            </w:r>
            <w:r w:rsidR="000B6467" w:rsidRPr="00FF0E38">
              <w:t>12</w:t>
            </w:r>
          </w:p>
        </w:tc>
      </w:tr>
      <w:tr w:rsidR="00B56E9C" w:rsidRPr="00FF0E38" w:rsidTr="009332D1">
        <w:trPr>
          <w:cantSplit/>
          <w:trHeight w:hRule="exact" w:val="2835"/>
        </w:trPr>
        <w:tc>
          <w:tcPr>
            <w:tcW w:w="1276" w:type="dxa"/>
            <w:tcBorders>
              <w:top w:val="single" w:sz="4" w:space="0" w:color="auto"/>
              <w:bottom w:val="single" w:sz="12" w:space="0" w:color="auto"/>
            </w:tcBorders>
            <w:shd w:val="clear" w:color="auto" w:fill="auto"/>
          </w:tcPr>
          <w:p w:rsidR="00B56E9C" w:rsidRPr="002E4F41" w:rsidRDefault="00925F2F" w:rsidP="009332D1">
            <w:pPr>
              <w:spacing w:before="12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shd w:val="clear" w:color="auto" w:fill="auto"/>
          </w:tcPr>
          <w:p w:rsidR="00B56E9C" w:rsidRPr="00FF0E38" w:rsidRDefault="004D4CD5" w:rsidP="009332D1">
            <w:pPr>
              <w:spacing w:before="120" w:line="380" w:lineRule="exact"/>
            </w:pPr>
            <w:r w:rsidRPr="00FF0E38">
              <w:rPr>
                <w:b/>
                <w:sz w:val="34"/>
                <w:szCs w:val="40"/>
              </w:rPr>
              <w:t>Convention against Torture</w:t>
            </w:r>
            <w:r w:rsidRPr="00FF0E38">
              <w:rPr>
                <w:b/>
                <w:sz w:val="34"/>
                <w:szCs w:val="40"/>
              </w:rPr>
              <w:br/>
              <w:t>and Other Cruel, Inhuman</w:t>
            </w:r>
            <w:r w:rsidRPr="00FF0E38">
              <w:rPr>
                <w:b/>
                <w:sz w:val="34"/>
                <w:szCs w:val="40"/>
              </w:rPr>
              <w:br/>
              <w:t>or Degrading Treatment</w:t>
            </w:r>
            <w:r w:rsidRPr="00FF0E38">
              <w:rPr>
                <w:b/>
                <w:sz w:val="34"/>
                <w:szCs w:val="40"/>
              </w:rPr>
              <w:br/>
              <w:t>or Punishment</w:t>
            </w:r>
          </w:p>
        </w:tc>
        <w:tc>
          <w:tcPr>
            <w:tcW w:w="2835" w:type="dxa"/>
            <w:tcBorders>
              <w:top w:val="single" w:sz="4" w:space="0" w:color="auto"/>
              <w:bottom w:val="single" w:sz="12" w:space="0" w:color="auto"/>
            </w:tcBorders>
            <w:shd w:val="clear" w:color="auto" w:fill="auto"/>
          </w:tcPr>
          <w:p w:rsidR="00560821" w:rsidRPr="00FF0E38" w:rsidRDefault="00560821" w:rsidP="009332D1">
            <w:pPr>
              <w:suppressAutoHyphens w:val="0"/>
              <w:spacing w:before="240" w:line="240" w:lineRule="exact"/>
            </w:pPr>
            <w:r w:rsidRPr="00FF0E38">
              <w:t xml:space="preserve">Distr.: </w:t>
            </w:r>
            <w:r w:rsidR="000415CB" w:rsidRPr="00FF0E38">
              <w:t>General</w:t>
            </w:r>
          </w:p>
          <w:p w:rsidR="00560821" w:rsidRDefault="005132F2" w:rsidP="00C0768B">
            <w:pPr>
              <w:suppressAutoHyphens w:val="0"/>
            </w:pPr>
            <w:r>
              <w:t>20</w:t>
            </w:r>
            <w:r w:rsidR="005E05CD" w:rsidRPr="00FF0E38">
              <w:t xml:space="preserve"> January 2015</w:t>
            </w:r>
          </w:p>
          <w:p w:rsidR="005132F2" w:rsidRPr="00FF0E38" w:rsidRDefault="005132F2" w:rsidP="00C0768B">
            <w:pPr>
              <w:suppressAutoHyphens w:val="0"/>
            </w:pPr>
          </w:p>
          <w:p w:rsidR="00B56E9C" w:rsidRPr="00FF0E38" w:rsidRDefault="00560821" w:rsidP="000B6467">
            <w:pPr>
              <w:suppressAutoHyphens w:val="0"/>
            </w:pPr>
            <w:r w:rsidRPr="00FF0E38">
              <w:t xml:space="preserve">Original: </w:t>
            </w:r>
            <w:r w:rsidR="000B6467" w:rsidRPr="00FF0E38">
              <w:t>English</w:t>
            </w:r>
          </w:p>
        </w:tc>
      </w:tr>
    </w:tbl>
    <w:p w:rsidR="00B64B1F" w:rsidRPr="00FF0E38" w:rsidRDefault="005F162C" w:rsidP="005F162C">
      <w:pPr>
        <w:spacing w:before="120"/>
        <w:rPr>
          <w:b/>
          <w:sz w:val="24"/>
          <w:szCs w:val="24"/>
        </w:rPr>
      </w:pPr>
      <w:r w:rsidRPr="00FF0E38">
        <w:rPr>
          <w:b/>
          <w:sz w:val="24"/>
          <w:szCs w:val="24"/>
        </w:rPr>
        <w:t>Committee against Torture</w:t>
      </w:r>
    </w:p>
    <w:p w:rsidR="00A25068" w:rsidRPr="00FF0E38" w:rsidRDefault="00A0619C" w:rsidP="00AA1FFC">
      <w:pPr>
        <w:pStyle w:val="HChG"/>
      </w:pPr>
      <w:r w:rsidRPr="00FF0E38">
        <w:tab/>
      </w:r>
      <w:r w:rsidR="00925F2F">
        <w:rPr>
          <w:noProof/>
          <w:lang w:eastAsia="zh-CN"/>
        </w:rPr>
        <w:pict>
          <v:shape id="_x0000_s1026" type="#_x0000_t75" style="position:absolute;left:0;text-align:left;margin-left:432.25pt;margin-top:632.1pt;width:50.25pt;height:50.25pt;z-index:1;mso-position-horizontal-relative:margin;mso-position-vertical-relative:margin" o:allowoverlap="f">
            <v:imagedata r:id="rId8" o:title="2012&amp;Size=2 &amp;Lang=E"/>
            <w10:wrap anchorx="margin" anchory="margin"/>
          </v:shape>
        </w:pict>
      </w:r>
      <w:r w:rsidR="00AA1FFC" w:rsidRPr="00FF0E38">
        <w:tab/>
      </w:r>
      <w:r w:rsidR="00A25068" w:rsidRPr="00FF0E38">
        <w:t xml:space="preserve">Communication </w:t>
      </w:r>
      <w:r w:rsidR="00AA1FFC" w:rsidRPr="00FF0E38">
        <w:t>No</w:t>
      </w:r>
      <w:r w:rsidR="00A25068" w:rsidRPr="00FF0E38">
        <w:t xml:space="preserve">. </w:t>
      </w:r>
      <w:r w:rsidR="000B6467" w:rsidRPr="00FF0E38">
        <w:t>489</w:t>
      </w:r>
      <w:r w:rsidR="00A25068" w:rsidRPr="00FF0E38">
        <w:t>/20</w:t>
      </w:r>
      <w:r w:rsidR="000B6467" w:rsidRPr="00FF0E38">
        <w:t>12</w:t>
      </w:r>
    </w:p>
    <w:p w:rsidR="00A0619C" w:rsidRPr="00FF0E38" w:rsidRDefault="00A25068" w:rsidP="00222C5B">
      <w:pPr>
        <w:pStyle w:val="H1G"/>
      </w:pPr>
      <w:r w:rsidRPr="00FF0E38">
        <w:rPr>
          <w:rFonts w:eastAsia="SimSun"/>
        </w:rPr>
        <w:tab/>
      </w:r>
      <w:r w:rsidRPr="00FF0E38">
        <w:rPr>
          <w:rFonts w:eastAsia="SimSun"/>
        </w:rPr>
        <w:tab/>
      </w:r>
      <w:r w:rsidR="006C49B5" w:rsidRPr="00FF0E38">
        <w:rPr>
          <w:rFonts w:eastAsia="SimSun"/>
          <w:szCs w:val="24"/>
        </w:rPr>
        <w:t xml:space="preserve">Decision </w:t>
      </w:r>
      <w:r w:rsidR="006C49B5" w:rsidRPr="00FF0E38">
        <w:rPr>
          <w:szCs w:val="24"/>
        </w:rPr>
        <w:t xml:space="preserve">adopted by the Committee at its fifty-third session, </w:t>
      </w:r>
      <w:r w:rsidR="006C49B5" w:rsidRPr="00FF0E38">
        <w:rPr>
          <w:szCs w:val="24"/>
        </w:rPr>
        <w:br/>
        <w:t>3</w:t>
      </w:r>
      <w:r w:rsidR="00222C5B" w:rsidRPr="00FF0E38">
        <w:rPr>
          <w:szCs w:val="24"/>
        </w:rPr>
        <w:t>–</w:t>
      </w:r>
      <w:r w:rsidR="006C49B5" w:rsidRPr="00FF0E38">
        <w:rPr>
          <w:szCs w:val="24"/>
        </w:rPr>
        <w:t>28 November</w:t>
      </w:r>
      <w:r w:rsidR="006C49B5" w:rsidRPr="00FF0E38">
        <w:rPr>
          <w:i/>
          <w:kern w:val="3"/>
          <w:szCs w:val="24"/>
          <w:lang w:eastAsia="zh-CN"/>
        </w:rPr>
        <w:t xml:space="preserve"> </w:t>
      </w:r>
      <w:r w:rsidR="006C49B5" w:rsidRPr="00FF0E38">
        <w:rPr>
          <w:kern w:val="3"/>
          <w:szCs w:val="24"/>
          <w:lang w:eastAsia="zh-CN"/>
        </w:rPr>
        <w:t>2014</w:t>
      </w:r>
    </w:p>
    <w:tbl>
      <w:tblPr>
        <w:tblpPr w:leftFromText="180" w:rightFromText="180" w:vertAnchor="text" w:tblpX="1134" w:tblpY="1"/>
        <w:tblOverlap w:val="never"/>
        <w:tblW w:w="0" w:type="auto"/>
        <w:tblLayout w:type="fixed"/>
        <w:tblCellMar>
          <w:left w:w="0" w:type="dxa"/>
          <w:right w:w="0" w:type="dxa"/>
        </w:tblCellMar>
        <w:tblLook w:val="01E0" w:firstRow="1" w:lastRow="1" w:firstColumn="1" w:lastColumn="1" w:noHBand="0" w:noVBand="0"/>
      </w:tblPr>
      <w:tblGrid>
        <w:gridCol w:w="3402"/>
        <w:gridCol w:w="3969"/>
      </w:tblGrid>
      <w:tr w:rsidR="00A0619C" w:rsidRPr="00FF0E38" w:rsidTr="00FF0E38">
        <w:tc>
          <w:tcPr>
            <w:tcW w:w="3402" w:type="dxa"/>
            <w:shd w:val="clear" w:color="auto" w:fill="auto"/>
          </w:tcPr>
          <w:p w:rsidR="00A0619C" w:rsidRPr="00FF0E38" w:rsidRDefault="00A0619C" w:rsidP="00FF0E38">
            <w:pPr>
              <w:pStyle w:val="SingleTxtG"/>
              <w:ind w:left="0" w:right="0"/>
              <w:jc w:val="left"/>
              <w:rPr>
                <w:i/>
              </w:rPr>
            </w:pPr>
            <w:r w:rsidRPr="00FF0E38">
              <w:rPr>
                <w:i/>
              </w:rPr>
              <w:t>Submitted by:</w:t>
            </w:r>
          </w:p>
        </w:tc>
        <w:tc>
          <w:tcPr>
            <w:tcW w:w="3969" w:type="dxa"/>
            <w:shd w:val="clear" w:color="auto" w:fill="auto"/>
          </w:tcPr>
          <w:p w:rsidR="00A0619C" w:rsidRPr="00FF0E38" w:rsidRDefault="000B6467" w:rsidP="00FF0E38">
            <w:pPr>
              <w:pStyle w:val="SingleTxtG"/>
              <w:ind w:left="0" w:right="0"/>
              <w:jc w:val="left"/>
            </w:pPr>
            <w:r w:rsidRPr="00FF0E38">
              <w:rPr>
                <w:rFonts w:eastAsia="SimSun"/>
              </w:rPr>
              <w:t>Asghar Tahmuresi</w:t>
            </w:r>
            <w:r w:rsidR="003557DD" w:rsidRPr="00FF0E38">
              <w:rPr>
                <w:rFonts w:eastAsia="SimSun"/>
              </w:rPr>
              <w:t xml:space="preserve">, represented by </w:t>
            </w:r>
            <w:r w:rsidR="007C01BE" w:rsidRPr="00FF0E38">
              <w:rPr>
                <w:rFonts w:eastAsia="SimSun"/>
              </w:rPr>
              <w:t xml:space="preserve">counsel </w:t>
            </w:r>
            <w:r w:rsidRPr="00FF0E38">
              <w:rPr>
                <w:rFonts w:eastAsia="SimSun"/>
              </w:rPr>
              <w:t>Urs Ebnöther</w:t>
            </w:r>
          </w:p>
        </w:tc>
      </w:tr>
      <w:tr w:rsidR="00A0619C" w:rsidRPr="00FF0E38" w:rsidTr="00FF0E38">
        <w:tc>
          <w:tcPr>
            <w:tcW w:w="3402" w:type="dxa"/>
            <w:shd w:val="clear" w:color="auto" w:fill="auto"/>
          </w:tcPr>
          <w:p w:rsidR="00A0619C" w:rsidRPr="002E4F41" w:rsidRDefault="00A0619C" w:rsidP="00FF0E38">
            <w:pPr>
              <w:pStyle w:val="SingleTxtG"/>
              <w:ind w:left="0" w:right="0"/>
              <w:jc w:val="left"/>
              <w:rPr>
                <w:i/>
              </w:rPr>
            </w:pPr>
            <w:r w:rsidRPr="002E4F41">
              <w:rPr>
                <w:i/>
              </w:rPr>
              <w:t>On behalf of:</w:t>
            </w:r>
          </w:p>
        </w:tc>
        <w:tc>
          <w:tcPr>
            <w:tcW w:w="3969" w:type="dxa"/>
            <w:shd w:val="clear" w:color="auto" w:fill="auto"/>
          </w:tcPr>
          <w:p w:rsidR="00A0619C" w:rsidRPr="00FF0E38" w:rsidRDefault="000B6467" w:rsidP="00FF0E38">
            <w:pPr>
              <w:pStyle w:val="SingleTxtG"/>
              <w:ind w:left="0" w:right="0"/>
              <w:jc w:val="left"/>
            </w:pPr>
            <w:r w:rsidRPr="00FF0E38">
              <w:rPr>
                <w:rFonts w:eastAsia="SimSun"/>
              </w:rPr>
              <w:t>Asghar Tahmuresi</w:t>
            </w:r>
          </w:p>
        </w:tc>
      </w:tr>
      <w:tr w:rsidR="00A0619C" w:rsidRPr="00FF0E38" w:rsidTr="00FF0E38">
        <w:tc>
          <w:tcPr>
            <w:tcW w:w="3402" w:type="dxa"/>
            <w:shd w:val="clear" w:color="auto" w:fill="auto"/>
          </w:tcPr>
          <w:p w:rsidR="00A0619C" w:rsidRPr="002E4F41" w:rsidRDefault="00A0619C" w:rsidP="00FF0E38">
            <w:pPr>
              <w:pStyle w:val="SingleTxtG"/>
              <w:ind w:left="0" w:right="0"/>
              <w:jc w:val="left"/>
              <w:rPr>
                <w:i/>
              </w:rPr>
            </w:pPr>
            <w:r w:rsidRPr="002E4F41">
              <w:rPr>
                <w:i/>
              </w:rPr>
              <w:t>State party:</w:t>
            </w:r>
          </w:p>
        </w:tc>
        <w:tc>
          <w:tcPr>
            <w:tcW w:w="3969" w:type="dxa"/>
            <w:shd w:val="clear" w:color="auto" w:fill="auto"/>
          </w:tcPr>
          <w:p w:rsidR="00A0619C" w:rsidRPr="00FF0E38" w:rsidRDefault="000B6467" w:rsidP="00FF0E38">
            <w:pPr>
              <w:pStyle w:val="SingleTxtG"/>
              <w:ind w:left="0" w:right="0"/>
              <w:jc w:val="left"/>
            </w:pPr>
            <w:r w:rsidRPr="00FF0E38">
              <w:rPr>
                <w:rFonts w:eastAsia="SimSun"/>
              </w:rPr>
              <w:t>Switzerland</w:t>
            </w:r>
          </w:p>
        </w:tc>
      </w:tr>
      <w:tr w:rsidR="00A0619C" w:rsidRPr="00FF0E38" w:rsidTr="00FF0E38">
        <w:tc>
          <w:tcPr>
            <w:tcW w:w="3402" w:type="dxa"/>
            <w:shd w:val="clear" w:color="auto" w:fill="auto"/>
          </w:tcPr>
          <w:p w:rsidR="00A0619C" w:rsidRPr="002E4F41" w:rsidRDefault="00A0619C" w:rsidP="00FF0E38">
            <w:pPr>
              <w:pStyle w:val="SingleTxtG"/>
              <w:ind w:left="0" w:right="0"/>
              <w:jc w:val="left"/>
              <w:rPr>
                <w:i/>
              </w:rPr>
            </w:pPr>
            <w:r w:rsidRPr="002E4F41">
              <w:rPr>
                <w:i/>
              </w:rPr>
              <w:t>Date of complaint:</w:t>
            </w:r>
          </w:p>
        </w:tc>
        <w:tc>
          <w:tcPr>
            <w:tcW w:w="3969" w:type="dxa"/>
            <w:shd w:val="clear" w:color="auto" w:fill="auto"/>
          </w:tcPr>
          <w:p w:rsidR="00A0619C" w:rsidRPr="00FF0E38" w:rsidRDefault="000B6467" w:rsidP="00FF0E38">
            <w:pPr>
              <w:pStyle w:val="SingleTxtG"/>
              <w:ind w:left="0" w:right="0"/>
              <w:jc w:val="left"/>
            </w:pPr>
            <w:r w:rsidRPr="00FF0E38">
              <w:rPr>
                <w:rFonts w:eastAsia="SimSun"/>
              </w:rPr>
              <w:t>20 January 2012</w:t>
            </w:r>
            <w:r w:rsidR="00B52B2B" w:rsidRPr="00FF0E38">
              <w:rPr>
                <w:rFonts w:eastAsia="SimSun"/>
              </w:rPr>
              <w:t xml:space="preserve"> (initial submission)</w:t>
            </w:r>
          </w:p>
        </w:tc>
      </w:tr>
      <w:tr w:rsidR="00A0619C" w:rsidRPr="00FF0E38" w:rsidTr="00FF0E38">
        <w:tc>
          <w:tcPr>
            <w:tcW w:w="3402" w:type="dxa"/>
            <w:shd w:val="clear" w:color="auto" w:fill="auto"/>
          </w:tcPr>
          <w:p w:rsidR="00A0619C" w:rsidRPr="002E4F41" w:rsidRDefault="00A0619C" w:rsidP="00FF0E38">
            <w:pPr>
              <w:pStyle w:val="SingleTxtG"/>
              <w:ind w:left="0" w:right="0"/>
              <w:jc w:val="left"/>
              <w:rPr>
                <w:i/>
                <w:iCs/>
              </w:rPr>
            </w:pPr>
            <w:r w:rsidRPr="002E4F41">
              <w:rPr>
                <w:i/>
                <w:iCs/>
              </w:rPr>
              <w:t>Date of present decision:</w:t>
            </w:r>
          </w:p>
        </w:tc>
        <w:tc>
          <w:tcPr>
            <w:tcW w:w="3969" w:type="dxa"/>
            <w:shd w:val="clear" w:color="auto" w:fill="auto"/>
          </w:tcPr>
          <w:p w:rsidR="00A0619C" w:rsidRPr="00FF0E38" w:rsidRDefault="006C49B5" w:rsidP="00FF0E38">
            <w:pPr>
              <w:pStyle w:val="SingleTxtG"/>
              <w:ind w:left="0" w:right="0"/>
              <w:jc w:val="left"/>
            </w:pPr>
            <w:r w:rsidRPr="00FF0E38">
              <w:rPr>
                <w:rFonts w:eastAsia="SimSun"/>
              </w:rPr>
              <w:t>26</w:t>
            </w:r>
            <w:r w:rsidR="0079190C" w:rsidRPr="00FF0E38">
              <w:rPr>
                <w:rFonts w:eastAsia="SimSun"/>
              </w:rPr>
              <w:t xml:space="preserve"> </w:t>
            </w:r>
            <w:r w:rsidR="007C43E0" w:rsidRPr="00FF0E38">
              <w:rPr>
                <w:rFonts w:eastAsia="SimSun"/>
              </w:rPr>
              <w:t>November</w:t>
            </w:r>
            <w:r w:rsidR="0079190C" w:rsidRPr="00FF0E38">
              <w:rPr>
                <w:rFonts w:eastAsia="SimSun"/>
              </w:rPr>
              <w:t xml:space="preserve"> 2014</w:t>
            </w:r>
          </w:p>
        </w:tc>
      </w:tr>
      <w:tr w:rsidR="00A0619C" w:rsidRPr="00FF0E38" w:rsidTr="00FF0E38">
        <w:tc>
          <w:tcPr>
            <w:tcW w:w="3402" w:type="dxa"/>
            <w:shd w:val="clear" w:color="auto" w:fill="auto"/>
          </w:tcPr>
          <w:p w:rsidR="00A0619C" w:rsidRPr="00FF0E38" w:rsidRDefault="00A0619C" w:rsidP="00FF0E38">
            <w:pPr>
              <w:pStyle w:val="SingleTxtG"/>
              <w:ind w:left="0" w:right="0"/>
              <w:jc w:val="left"/>
              <w:rPr>
                <w:i/>
              </w:rPr>
            </w:pPr>
            <w:r w:rsidRPr="002E4F41">
              <w:rPr>
                <w:i/>
                <w:iCs/>
              </w:rPr>
              <w:t>Subject matter:</w:t>
            </w:r>
          </w:p>
        </w:tc>
        <w:tc>
          <w:tcPr>
            <w:tcW w:w="3969" w:type="dxa"/>
            <w:shd w:val="clear" w:color="auto" w:fill="auto"/>
          </w:tcPr>
          <w:p w:rsidR="00A0619C" w:rsidRPr="00FF0E38" w:rsidRDefault="000B6467" w:rsidP="00FF0E38">
            <w:pPr>
              <w:pStyle w:val="SingleTxtG"/>
              <w:ind w:left="0" w:right="0"/>
              <w:jc w:val="left"/>
            </w:pPr>
            <w:r w:rsidRPr="00FF0E38">
              <w:rPr>
                <w:rFonts w:eastAsia="SimSun"/>
              </w:rPr>
              <w:t>Deportation to Iran</w:t>
            </w:r>
          </w:p>
        </w:tc>
      </w:tr>
      <w:tr w:rsidR="00A0619C" w:rsidRPr="00FF0E38" w:rsidTr="00FF0E38">
        <w:tc>
          <w:tcPr>
            <w:tcW w:w="3402" w:type="dxa"/>
            <w:shd w:val="clear" w:color="auto" w:fill="auto"/>
          </w:tcPr>
          <w:p w:rsidR="00A0619C" w:rsidRPr="00FF0E38" w:rsidRDefault="00A0619C" w:rsidP="005E05CD">
            <w:pPr>
              <w:pStyle w:val="SingleTxtG"/>
              <w:ind w:left="0" w:right="0"/>
              <w:jc w:val="left"/>
              <w:rPr>
                <w:i/>
                <w:iCs/>
              </w:rPr>
            </w:pPr>
            <w:r w:rsidRPr="00FF0E38">
              <w:rPr>
                <w:i/>
                <w:iCs/>
              </w:rPr>
              <w:t>Procedural issue</w:t>
            </w:r>
            <w:r w:rsidRPr="00FF0E38">
              <w:rPr>
                <w:i/>
              </w:rPr>
              <w:t>:</w:t>
            </w:r>
          </w:p>
        </w:tc>
        <w:tc>
          <w:tcPr>
            <w:tcW w:w="3969" w:type="dxa"/>
            <w:shd w:val="clear" w:color="auto" w:fill="auto"/>
          </w:tcPr>
          <w:p w:rsidR="00A0619C" w:rsidRPr="00FF0E38" w:rsidRDefault="000B6467" w:rsidP="005E05CD">
            <w:pPr>
              <w:pStyle w:val="SingleTxtG"/>
              <w:ind w:left="0" w:right="0"/>
              <w:jc w:val="left"/>
            </w:pPr>
            <w:r w:rsidRPr="00FF0E38">
              <w:rPr>
                <w:rFonts w:eastAsia="SimSun"/>
              </w:rPr>
              <w:t>-</w:t>
            </w:r>
          </w:p>
        </w:tc>
      </w:tr>
      <w:tr w:rsidR="00A0619C" w:rsidRPr="00FF0E38" w:rsidTr="00FF0E38">
        <w:tc>
          <w:tcPr>
            <w:tcW w:w="3402" w:type="dxa"/>
            <w:shd w:val="clear" w:color="auto" w:fill="auto"/>
          </w:tcPr>
          <w:p w:rsidR="00A0619C" w:rsidRPr="002E4F41" w:rsidRDefault="00A0619C" w:rsidP="00FF0E38">
            <w:pPr>
              <w:pStyle w:val="SingleTxtG"/>
              <w:ind w:left="0" w:right="0"/>
              <w:jc w:val="left"/>
              <w:rPr>
                <w:i/>
                <w:iCs/>
              </w:rPr>
            </w:pPr>
            <w:r w:rsidRPr="002E4F41">
              <w:rPr>
                <w:i/>
                <w:iCs/>
              </w:rPr>
              <w:t>Substantive issue:</w:t>
            </w:r>
          </w:p>
        </w:tc>
        <w:tc>
          <w:tcPr>
            <w:tcW w:w="3969" w:type="dxa"/>
            <w:shd w:val="clear" w:color="auto" w:fill="auto"/>
          </w:tcPr>
          <w:p w:rsidR="00A0619C" w:rsidRPr="00FF0E38" w:rsidRDefault="000B6467" w:rsidP="00FF0E38">
            <w:pPr>
              <w:pStyle w:val="SingleTxtG"/>
              <w:ind w:left="0" w:right="0"/>
              <w:jc w:val="left"/>
            </w:pPr>
            <w:r w:rsidRPr="00FF0E38">
              <w:rPr>
                <w:rFonts w:eastAsia="SimSun"/>
              </w:rPr>
              <w:t xml:space="preserve">Risk of torture upon </w:t>
            </w:r>
            <w:r w:rsidR="005165B1" w:rsidRPr="00FF0E38">
              <w:rPr>
                <w:rFonts w:eastAsia="SimSun"/>
              </w:rPr>
              <w:t>deportation</w:t>
            </w:r>
          </w:p>
        </w:tc>
      </w:tr>
      <w:tr w:rsidR="00A0619C" w:rsidRPr="00FF0E38" w:rsidTr="00FF0E38">
        <w:tc>
          <w:tcPr>
            <w:tcW w:w="3402" w:type="dxa"/>
            <w:shd w:val="clear" w:color="auto" w:fill="auto"/>
          </w:tcPr>
          <w:p w:rsidR="00A0619C" w:rsidRPr="00FF0E38" w:rsidRDefault="00A0619C" w:rsidP="00FF0E38">
            <w:pPr>
              <w:pStyle w:val="SingleTxtG"/>
              <w:ind w:left="0" w:right="0"/>
              <w:jc w:val="left"/>
              <w:rPr>
                <w:i/>
                <w:iCs/>
              </w:rPr>
            </w:pPr>
            <w:r w:rsidRPr="002E4F41">
              <w:rPr>
                <w:i/>
                <w:iCs/>
              </w:rPr>
              <w:t>Articl</w:t>
            </w:r>
            <w:r w:rsidRPr="00FF0E38">
              <w:rPr>
                <w:i/>
                <w:iCs/>
              </w:rPr>
              <w:t>e of the Convention</w:t>
            </w:r>
            <w:r w:rsidRPr="00FF0E38">
              <w:rPr>
                <w:i/>
              </w:rPr>
              <w:t>:</w:t>
            </w:r>
          </w:p>
        </w:tc>
        <w:tc>
          <w:tcPr>
            <w:tcW w:w="3969" w:type="dxa"/>
            <w:shd w:val="clear" w:color="auto" w:fill="auto"/>
          </w:tcPr>
          <w:p w:rsidR="00A0619C" w:rsidRPr="00FF0E38" w:rsidRDefault="000B6467" w:rsidP="00FF0E38">
            <w:pPr>
              <w:pStyle w:val="SingleTxtG"/>
              <w:ind w:left="0" w:right="0"/>
              <w:jc w:val="left"/>
            </w:pPr>
            <w:r w:rsidRPr="00FF0E38">
              <w:rPr>
                <w:rFonts w:eastAsia="MS Mincho"/>
              </w:rPr>
              <w:t>3</w:t>
            </w:r>
          </w:p>
        </w:tc>
      </w:tr>
      <w:tr w:rsidR="003C2C98" w:rsidRPr="00FF0E38" w:rsidTr="00FF0E38">
        <w:tc>
          <w:tcPr>
            <w:tcW w:w="3402" w:type="dxa"/>
            <w:shd w:val="clear" w:color="auto" w:fill="auto"/>
          </w:tcPr>
          <w:p w:rsidR="003C2C98" w:rsidRPr="002E4F41" w:rsidRDefault="003C2C98" w:rsidP="00FF0E38">
            <w:pPr>
              <w:pStyle w:val="SingleTxtG"/>
              <w:ind w:left="0" w:right="0"/>
              <w:jc w:val="left"/>
              <w:rPr>
                <w:i/>
                <w:iCs/>
              </w:rPr>
            </w:pPr>
          </w:p>
        </w:tc>
        <w:tc>
          <w:tcPr>
            <w:tcW w:w="3969" w:type="dxa"/>
            <w:shd w:val="clear" w:color="auto" w:fill="auto"/>
          </w:tcPr>
          <w:p w:rsidR="003C2C98" w:rsidRPr="00FF0E38" w:rsidRDefault="003C2C98" w:rsidP="00FF0E38">
            <w:pPr>
              <w:pStyle w:val="SingleTxtG"/>
              <w:ind w:left="0" w:right="0"/>
              <w:jc w:val="left"/>
              <w:rPr>
                <w:rFonts w:eastAsia="MS Mincho"/>
              </w:rPr>
            </w:pPr>
          </w:p>
        </w:tc>
      </w:tr>
    </w:tbl>
    <w:p w:rsidR="00031F75" w:rsidRPr="002E4F41" w:rsidRDefault="00BA24A2" w:rsidP="00551804">
      <w:pPr>
        <w:pStyle w:val="HChG"/>
      </w:pPr>
      <w:r w:rsidRPr="002E4F41">
        <w:br w:type="page"/>
      </w:r>
      <w:r w:rsidR="00031F75" w:rsidRPr="002E4F41">
        <w:lastRenderedPageBreak/>
        <w:t>Annex</w:t>
      </w:r>
    </w:p>
    <w:p w:rsidR="00031F75" w:rsidRPr="00FF0E38" w:rsidRDefault="00031F75" w:rsidP="00551804">
      <w:pPr>
        <w:pStyle w:val="HChG"/>
      </w:pPr>
      <w:r w:rsidRPr="00FF0E38">
        <w:tab/>
      </w:r>
      <w:r w:rsidRPr="00FF0E38">
        <w:tab/>
        <w:t xml:space="preserve">Decision of the Committee against Torture under </w:t>
      </w:r>
      <w:r w:rsidR="0039490E" w:rsidRPr="00FF0E38">
        <w:t>article </w:t>
      </w:r>
      <w:r w:rsidRPr="00FF0E38">
        <w:t>22 of</w:t>
      </w:r>
      <w:r w:rsidR="005E7CBA" w:rsidRPr="00FF0E38">
        <w:t> </w:t>
      </w:r>
      <w:r w:rsidRPr="00FF0E38">
        <w:t xml:space="preserve">the Convention against Torture and Other Cruel, Inhuman or Degrading Treatment or Punishment </w:t>
      </w:r>
      <w:r w:rsidR="005E7CBA" w:rsidRPr="00FF0E38">
        <w:br/>
      </w:r>
      <w:r w:rsidRPr="00FF0E38">
        <w:t>(fifty-</w:t>
      </w:r>
      <w:r w:rsidR="000B6467" w:rsidRPr="00FF0E38">
        <w:t>third</w:t>
      </w:r>
      <w:r w:rsidRPr="00FF0E38">
        <w:t xml:space="preserve"> session)</w:t>
      </w:r>
    </w:p>
    <w:p w:rsidR="00031F75" w:rsidRPr="00FF0E38" w:rsidRDefault="00031F75" w:rsidP="00551804">
      <w:pPr>
        <w:pStyle w:val="SingleTxtG"/>
      </w:pPr>
      <w:r w:rsidRPr="00FF0E38">
        <w:t>concerning</w:t>
      </w:r>
    </w:p>
    <w:p w:rsidR="00031F75" w:rsidRPr="00FF0E38" w:rsidRDefault="00031F75" w:rsidP="00551804">
      <w:pPr>
        <w:pStyle w:val="H1G"/>
      </w:pPr>
      <w:r w:rsidRPr="00FF0E38">
        <w:tab/>
      </w:r>
      <w:r w:rsidRPr="00FF0E38">
        <w:tab/>
        <w:t xml:space="preserve">Communication No. </w:t>
      </w:r>
      <w:r w:rsidR="000B6467" w:rsidRPr="00FF0E38">
        <w:t>489/2012</w:t>
      </w:r>
    </w:p>
    <w:tbl>
      <w:tblPr>
        <w:tblW w:w="0" w:type="auto"/>
        <w:tblInd w:w="1134" w:type="dxa"/>
        <w:tblLayout w:type="fixed"/>
        <w:tblCellMar>
          <w:left w:w="0" w:type="dxa"/>
          <w:right w:w="0" w:type="dxa"/>
        </w:tblCellMar>
        <w:tblLook w:val="01E0" w:firstRow="1" w:lastRow="1" w:firstColumn="1" w:lastColumn="1" w:noHBand="0" w:noVBand="0"/>
      </w:tblPr>
      <w:tblGrid>
        <w:gridCol w:w="3402"/>
        <w:gridCol w:w="3969"/>
      </w:tblGrid>
      <w:tr w:rsidR="00616E62" w:rsidRPr="00FF0E38" w:rsidTr="00FF0E38">
        <w:tc>
          <w:tcPr>
            <w:tcW w:w="3402" w:type="dxa"/>
            <w:shd w:val="clear" w:color="auto" w:fill="auto"/>
          </w:tcPr>
          <w:p w:rsidR="00616E62" w:rsidRPr="002E4F41" w:rsidRDefault="00616E62" w:rsidP="009332D1">
            <w:pPr>
              <w:pStyle w:val="SingleTxtG"/>
              <w:ind w:left="0" w:right="0"/>
              <w:jc w:val="left"/>
              <w:rPr>
                <w:i/>
              </w:rPr>
            </w:pPr>
            <w:r w:rsidRPr="002E4F41">
              <w:rPr>
                <w:i/>
              </w:rPr>
              <w:t>Submitted by:</w:t>
            </w:r>
          </w:p>
        </w:tc>
        <w:tc>
          <w:tcPr>
            <w:tcW w:w="3969" w:type="dxa"/>
            <w:shd w:val="clear" w:color="auto" w:fill="auto"/>
          </w:tcPr>
          <w:p w:rsidR="00616E62" w:rsidRPr="00FF0E38" w:rsidRDefault="000B6467" w:rsidP="007C01BE">
            <w:pPr>
              <w:pStyle w:val="SingleTxtG"/>
              <w:ind w:left="0" w:right="0"/>
              <w:jc w:val="left"/>
            </w:pPr>
            <w:r w:rsidRPr="00FF0E38">
              <w:rPr>
                <w:rFonts w:eastAsia="SimSun"/>
              </w:rPr>
              <w:t xml:space="preserve">Asghar Tahmuresi, represented by </w:t>
            </w:r>
            <w:r w:rsidR="007C01BE" w:rsidRPr="00FF0E38">
              <w:rPr>
                <w:rFonts w:eastAsia="SimSun"/>
              </w:rPr>
              <w:t xml:space="preserve">counsel </w:t>
            </w:r>
            <w:r w:rsidRPr="00FF0E38">
              <w:rPr>
                <w:rFonts w:eastAsia="SimSun"/>
              </w:rPr>
              <w:t>Urs Ebnöther</w:t>
            </w:r>
          </w:p>
        </w:tc>
      </w:tr>
      <w:tr w:rsidR="00616E62" w:rsidRPr="00FF0E38" w:rsidTr="00FF0E38">
        <w:tc>
          <w:tcPr>
            <w:tcW w:w="3402" w:type="dxa"/>
            <w:shd w:val="clear" w:color="auto" w:fill="auto"/>
          </w:tcPr>
          <w:p w:rsidR="00616E62" w:rsidRPr="00FF0E38" w:rsidRDefault="00616E62" w:rsidP="009332D1">
            <w:pPr>
              <w:pStyle w:val="SingleTxtG"/>
              <w:ind w:left="0" w:right="0"/>
              <w:jc w:val="left"/>
              <w:rPr>
                <w:i/>
              </w:rPr>
            </w:pPr>
            <w:r w:rsidRPr="00FF0E38">
              <w:rPr>
                <w:i/>
              </w:rPr>
              <w:t>On behalf of:</w:t>
            </w:r>
          </w:p>
        </w:tc>
        <w:tc>
          <w:tcPr>
            <w:tcW w:w="3969" w:type="dxa"/>
            <w:shd w:val="clear" w:color="auto" w:fill="auto"/>
          </w:tcPr>
          <w:p w:rsidR="00616E62" w:rsidRPr="00FF0E38" w:rsidRDefault="00CD26E9" w:rsidP="009332D1">
            <w:pPr>
              <w:pStyle w:val="SingleTxtG"/>
              <w:ind w:left="0" w:right="0"/>
              <w:jc w:val="left"/>
            </w:pPr>
            <w:r w:rsidRPr="00FF0E38">
              <w:rPr>
                <w:rFonts w:eastAsia="SimSun"/>
              </w:rPr>
              <w:t>Asghar Tahmuresi</w:t>
            </w:r>
          </w:p>
        </w:tc>
      </w:tr>
      <w:tr w:rsidR="00616E62" w:rsidRPr="00FF0E38" w:rsidTr="00FF0E38">
        <w:tc>
          <w:tcPr>
            <w:tcW w:w="3402" w:type="dxa"/>
            <w:shd w:val="clear" w:color="auto" w:fill="auto"/>
          </w:tcPr>
          <w:p w:rsidR="00616E62" w:rsidRPr="00FF0E38" w:rsidRDefault="00616E62" w:rsidP="009332D1">
            <w:pPr>
              <w:pStyle w:val="SingleTxtG"/>
              <w:ind w:left="0" w:right="0"/>
              <w:jc w:val="left"/>
              <w:rPr>
                <w:i/>
              </w:rPr>
            </w:pPr>
            <w:r w:rsidRPr="00FF0E38">
              <w:rPr>
                <w:i/>
              </w:rPr>
              <w:t>State party:</w:t>
            </w:r>
          </w:p>
        </w:tc>
        <w:tc>
          <w:tcPr>
            <w:tcW w:w="3969" w:type="dxa"/>
            <w:shd w:val="clear" w:color="auto" w:fill="auto"/>
          </w:tcPr>
          <w:p w:rsidR="00616E62" w:rsidRPr="00FF0E38" w:rsidRDefault="00CD26E9" w:rsidP="009332D1">
            <w:pPr>
              <w:pStyle w:val="SingleTxtG"/>
              <w:ind w:left="0" w:right="0"/>
              <w:jc w:val="left"/>
            </w:pPr>
            <w:r w:rsidRPr="00FF0E38">
              <w:rPr>
                <w:rFonts w:eastAsia="SimSun"/>
              </w:rPr>
              <w:t>Switzerland</w:t>
            </w:r>
          </w:p>
        </w:tc>
      </w:tr>
      <w:tr w:rsidR="00616E62" w:rsidRPr="00FF0E38" w:rsidTr="00FF0E38">
        <w:tc>
          <w:tcPr>
            <w:tcW w:w="3402" w:type="dxa"/>
            <w:shd w:val="clear" w:color="auto" w:fill="auto"/>
          </w:tcPr>
          <w:p w:rsidR="00616E62" w:rsidRPr="00FF0E38" w:rsidRDefault="00616E62" w:rsidP="009332D1">
            <w:pPr>
              <w:pStyle w:val="SingleTxtG"/>
              <w:ind w:left="0" w:right="0"/>
              <w:jc w:val="left"/>
              <w:rPr>
                <w:i/>
              </w:rPr>
            </w:pPr>
            <w:r w:rsidRPr="00FF0E38">
              <w:rPr>
                <w:i/>
              </w:rPr>
              <w:t>Date of complaint:</w:t>
            </w:r>
          </w:p>
        </w:tc>
        <w:tc>
          <w:tcPr>
            <w:tcW w:w="3969" w:type="dxa"/>
            <w:shd w:val="clear" w:color="auto" w:fill="auto"/>
          </w:tcPr>
          <w:p w:rsidR="00616E62" w:rsidRPr="00FF0E38" w:rsidRDefault="00CD26E9" w:rsidP="009332D1">
            <w:pPr>
              <w:pStyle w:val="SingleTxtG"/>
              <w:ind w:left="0" w:right="0"/>
              <w:jc w:val="left"/>
            </w:pPr>
            <w:r w:rsidRPr="00FF0E38">
              <w:rPr>
                <w:rFonts w:eastAsia="SimSun"/>
              </w:rPr>
              <w:t>20 January 2012 (initial submission)</w:t>
            </w:r>
          </w:p>
        </w:tc>
      </w:tr>
    </w:tbl>
    <w:p w:rsidR="00616E62" w:rsidRPr="00FF0E38" w:rsidRDefault="00AE353C" w:rsidP="00FF0E38">
      <w:pPr>
        <w:pStyle w:val="SingleTxtG"/>
        <w:spacing w:before="240"/>
      </w:pPr>
      <w:r w:rsidRPr="002E4F41">
        <w:rPr>
          <w:i/>
        </w:rPr>
        <w:tab/>
      </w:r>
      <w:r w:rsidRPr="00FF0E38">
        <w:rPr>
          <w:i/>
        </w:rPr>
        <w:t>The Committee against Torture</w:t>
      </w:r>
      <w:r w:rsidRPr="00FF0E38">
        <w:t xml:space="preserve">, established under </w:t>
      </w:r>
      <w:r w:rsidR="0039490E" w:rsidRPr="00FF0E38">
        <w:t>article </w:t>
      </w:r>
      <w:r w:rsidRPr="00FF0E38">
        <w:t>17 of the Convention against Torture and Other Cruel, Inhuman or Degrading Treatment or Punishment,</w:t>
      </w:r>
    </w:p>
    <w:p w:rsidR="00031F75" w:rsidRPr="00FF0E38" w:rsidRDefault="00031F75" w:rsidP="00031F75">
      <w:pPr>
        <w:pStyle w:val="SingleTxtG"/>
      </w:pPr>
      <w:r w:rsidRPr="00FF0E38">
        <w:tab/>
      </w:r>
      <w:r w:rsidRPr="00FF0E38">
        <w:rPr>
          <w:i/>
        </w:rPr>
        <w:t>Meeting</w:t>
      </w:r>
      <w:r w:rsidR="003A6805" w:rsidRPr="00FF0E38">
        <w:t xml:space="preserve"> on </w:t>
      </w:r>
      <w:r w:rsidR="00464A36" w:rsidRPr="00FF0E38">
        <w:t>2</w:t>
      </w:r>
      <w:r w:rsidR="006C49B5" w:rsidRPr="00FF0E38">
        <w:t>6</w:t>
      </w:r>
      <w:r w:rsidR="00464A36" w:rsidRPr="00FF0E38">
        <w:t xml:space="preserve"> November</w:t>
      </w:r>
      <w:r w:rsidRPr="00FF0E38">
        <w:t xml:space="preserve"> 2014,</w:t>
      </w:r>
    </w:p>
    <w:p w:rsidR="00031F75" w:rsidRPr="00FF0E38" w:rsidRDefault="00031F75" w:rsidP="00031F75">
      <w:pPr>
        <w:pStyle w:val="SingleTxtG"/>
      </w:pPr>
      <w:r w:rsidRPr="00FF0E38">
        <w:tab/>
      </w:r>
      <w:r w:rsidRPr="00FF0E38">
        <w:rPr>
          <w:i/>
        </w:rPr>
        <w:t>Having concluded</w:t>
      </w:r>
      <w:r w:rsidRPr="00FF0E38">
        <w:t xml:space="preserve"> its</w:t>
      </w:r>
      <w:r w:rsidR="0039490E" w:rsidRPr="00FF0E38">
        <w:t xml:space="preserve"> consideration of complaint No. </w:t>
      </w:r>
      <w:r w:rsidR="00CD26E9" w:rsidRPr="00FF0E38">
        <w:t>489</w:t>
      </w:r>
      <w:r w:rsidRPr="00FF0E38">
        <w:t>/20</w:t>
      </w:r>
      <w:r w:rsidR="00CD26E9" w:rsidRPr="00FF0E38">
        <w:t>12</w:t>
      </w:r>
      <w:r w:rsidRPr="00FF0E38">
        <w:t xml:space="preserve">, submitted on behalf of </w:t>
      </w:r>
      <w:r w:rsidR="00CD26E9" w:rsidRPr="00FF0E38">
        <w:rPr>
          <w:rFonts w:eastAsia="SimSun"/>
        </w:rPr>
        <w:t>Asghar Tahmuresi</w:t>
      </w:r>
      <w:r w:rsidR="00CD26E9" w:rsidRPr="00FF0E38">
        <w:t xml:space="preserve"> </w:t>
      </w:r>
      <w:r w:rsidRPr="00FF0E38">
        <w:t xml:space="preserve">under </w:t>
      </w:r>
      <w:r w:rsidR="0039490E" w:rsidRPr="00FF0E38">
        <w:t>article </w:t>
      </w:r>
      <w:r w:rsidRPr="00FF0E38">
        <w:t>22 of the Convention against Torture and Other Cruel, Inhuman or Degrading Treatment or Punishment,</w:t>
      </w:r>
    </w:p>
    <w:p w:rsidR="00031F75" w:rsidRPr="00FF0E38" w:rsidRDefault="00031F75" w:rsidP="00031F75">
      <w:pPr>
        <w:pStyle w:val="SingleTxtG"/>
      </w:pPr>
      <w:r w:rsidRPr="00FF0E38">
        <w:tab/>
      </w:r>
      <w:r w:rsidRPr="00FF0E38">
        <w:rPr>
          <w:i/>
        </w:rPr>
        <w:t>Having taken into account</w:t>
      </w:r>
      <w:r w:rsidRPr="00FF0E38">
        <w:t xml:space="preserve"> all information made available to it by the complainant, his counsel and the State party,</w:t>
      </w:r>
    </w:p>
    <w:p w:rsidR="00031F75" w:rsidRPr="00FF0E38" w:rsidRDefault="00031F75" w:rsidP="00031F75">
      <w:pPr>
        <w:pStyle w:val="SingleTxtG"/>
      </w:pPr>
      <w:r w:rsidRPr="00FF0E38">
        <w:rPr>
          <w:i/>
        </w:rPr>
        <w:tab/>
        <w:t>Adopts</w:t>
      </w:r>
      <w:r w:rsidRPr="00FF0E38">
        <w:t xml:space="preserve"> the following:</w:t>
      </w:r>
    </w:p>
    <w:p w:rsidR="00031F75" w:rsidRPr="00FF0E38" w:rsidRDefault="003A6805" w:rsidP="005F3830">
      <w:pPr>
        <w:pStyle w:val="H1G"/>
      </w:pPr>
      <w:r w:rsidRPr="00FF0E38">
        <w:tab/>
      </w:r>
      <w:r w:rsidRPr="00FF0E38">
        <w:tab/>
      </w:r>
      <w:r w:rsidR="00031F75" w:rsidRPr="00FF0E38">
        <w:t xml:space="preserve">Decision under </w:t>
      </w:r>
      <w:r w:rsidR="0039490E" w:rsidRPr="00FF0E38">
        <w:t>article </w:t>
      </w:r>
      <w:r w:rsidR="00031F75" w:rsidRPr="00FF0E38">
        <w:t>22, paragraph 7, of the Convention against Torture and Other Cruel, In</w:t>
      </w:r>
      <w:r w:rsidR="005F3830" w:rsidRPr="00FF0E38">
        <w:t>human or Degrading Treatment or </w:t>
      </w:r>
      <w:r w:rsidR="00031F75" w:rsidRPr="00FF0E38">
        <w:t>Punishment</w:t>
      </w:r>
    </w:p>
    <w:p w:rsidR="00CD26E9" w:rsidRPr="00FF0E38" w:rsidRDefault="00D036B5" w:rsidP="00CD26E9">
      <w:pPr>
        <w:pStyle w:val="SingleTxtG"/>
      </w:pPr>
      <w:r w:rsidRPr="00FF0E38">
        <w:t>1.</w:t>
      </w:r>
      <w:r w:rsidR="007F3FAA" w:rsidRPr="00FF0E38">
        <w:t>1</w:t>
      </w:r>
      <w:r w:rsidRPr="00FF0E38">
        <w:tab/>
        <w:t xml:space="preserve">The complainant is </w:t>
      </w:r>
      <w:r w:rsidR="00CD26E9" w:rsidRPr="00FF0E38">
        <w:rPr>
          <w:rFonts w:eastAsia="SimSun"/>
        </w:rPr>
        <w:t>Asghar Tahmuresi</w:t>
      </w:r>
      <w:r w:rsidRPr="00FF0E38">
        <w:t xml:space="preserve">, a </w:t>
      </w:r>
      <w:r w:rsidR="00CD26E9" w:rsidRPr="00FF0E38">
        <w:t>citizen of the Islamic Republic of Iran (hereinafter “Iran”)</w:t>
      </w:r>
      <w:r w:rsidR="00CD26E9" w:rsidRPr="002E4F41">
        <w:t>, born on 1 Marc</w:t>
      </w:r>
      <w:r w:rsidR="00CD26E9" w:rsidRPr="00FF0E38">
        <w:t xml:space="preserve">h 1976. He claims that his deportation to Iran would constitute a violation by Switzerland of </w:t>
      </w:r>
      <w:r w:rsidR="0039490E" w:rsidRPr="00FF0E38">
        <w:t>article </w:t>
      </w:r>
      <w:r w:rsidR="00CD26E9" w:rsidRPr="00FF0E38">
        <w:t xml:space="preserve">3 of the Convention against Torture and Other Cruel, Inhuman or Degrading Treatment or Punishment. The complainant is represented by counsel, </w:t>
      </w:r>
      <w:r w:rsidR="00CD26E9" w:rsidRPr="00FF0E38">
        <w:rPr>
          <w:rFonts w:eastAsia="SimSun"/>
        </w:rPr>
        <w:t>Urs Ebnöther</w:t>
      </w:r>
      <w:r w:rsidR="00CD26E9" w:rsidRPr="00FF0E38">
        <w:t>.</w:t>
      </w:r>
    </w:p>
    <w:p w:rsidR="007F3FAA" w:rsidRPr="00FF0E38" w:rsidRDefault="007F3FAA" w:rsidP="008A7D45">
      <w:pPr>
        <w:pStyle w:val="SingleTxtG"/>
      </w:pPr>
      <w:r w:rsidRPr="00FF0E38">
        <w:t>1.2</w:t>
      </w:r>
      <w:r w:rsidRPr="00FF0E38">
        <w:tab/>
        <w:t>On 26 January 2012, the Committee requested th</w:t>
      </w:r>
      <w:r w:rsidR="005C1CF1" w:rsidRPr="00FF0E38">
        <w:t>e State party, pursuant to rule </w:t>
      </w:r>
      <w:r w:rsidRPr="00FF0E38">
        <w:t xml:space="preserve">114, </w:t>
      </w:r>
      <w:r w:rsidR="0039490E" w:rsidRPr="00FF0E38">
        <w:t>paragraph </w:t>
      </w:r>
      <w:r w:rsidRPr="00FF0E38">
        <w:t xml:space="preserve">1, of its rules of procedure, not to deport the complainant to Iran while the complaint </w:t>
      </w:r>
      <w:r w:rsidR="008A7D45" w:rsidRPr="00FF0E38">
        <w:t xml:space="preserve">was </w:t>
      </w:r>
      <w:r w:rsidRPr="00FF0E38">
        <w:t>being considered.</w:t>
      </w:r>
    </w:p>
    <w:p w:rsidR="00D036B5" w:rsidRPr="00FF0E38" w:rsidRDefault="005F3830" w:rsidP="005F3830">
      <w:pPr>
        <w:pStyle w:val="H23G"/>
      </w:pPr>
      <w:r w:rsidRPr="00FF0E38">
        <w:tab/>
      </w:r>
      <w:r w:rsidRPr="00FF0E38">
        <w:tab/>
      </w:r>
      <w:r w:rsidR="00D036B5" w:rsidRPr="00FF0E38">
        <w:t>The facts as submitted by the complainant</w:t>
      </w:r>
    </w:p>
    <w:p w:rsidR="00E852C4" w:rsidRPr="00FF0E38" w:rsidRDefault="00AE663B" w:rsidP="00DB29FF">
      <w:pPr>
        <w:pStyle w:val="SingleTxtG"/>
      </w:pPr>
      <w:r w:rsidRPr="00FF0E38">
        <w:t>2.1</w:t>
      </w:r>
      <w:r w:rsidRPr="00FF0E38">
        <w:tab/>
      </w:r>
      <w:r w:rsidR="006F75A4" w:rsidRPr="00FF0E38">
        <w:t xml:space="preserve">The complainant is </w:t>
      </w:r>
      <w:r w:rsidR="00C92DCA" w:rsidRPr="00FF0E38">
        <w:t xml:space="preserve">an Iranian national from </w:t>
      </w:r>
      <w:r w:rsidR="006F75A4" w:rsidRPr="00FF0E38">
        <w:t>Karaj</w:t>
      </w:r>
      <w:r w:rsidR="00E852C4" w:rsidRPr="00FF0E38">
        <w:t>, Iran</w:t>
      </w:r>
      <w:r w:rsidR="006F75A4" w:rsidRPr="00FF0E38">
        <w:t>. He left his city after being caught having relations</w:t>
      </w:r>
      <w:r w:rsidR="006F75A4" w:rsidRPr="002E4F41">
        <w:t xml:space="preserve"> with </w:t>
      </w:r>
      <w:r w:rsidR="004A5C72" w:rsidRPr="00FF0E38">
        <w:t>the</w:t>
      </w:r>
      <w:r w:rsidR="006F75A4" w:rsidRPr="00FF0E38">
        <w:t xml:space="preserve"> w</w:t>
      </w:r>
      <w:r w:rsidR="008314DC" w:rsidRPr="00FF0E38">
        <w:t>ife of</w:t>
      </w:r>
      <w:r w:rsidR="006F75A4" w:rsidRPr="00FF0E38">
        <w:t xml:space="preserve"> a mullah. Fearing persecution </w:t>
      </w:r>
      <w:r w:rsidR="002054D0" w:rsidRPr="00FF0E38">
        <w:t xml:space="preserve">owing </w:t>
      </w:r>
      <w:r w:rsidR="006F75A4" w:rsidRPr="00FF0E38">
        <w:t xml:space="preserve">to the social </w:t>
      </w:r>
      <w:r w:rsidR="006F75A4" w:rsidRPr="00FF0E38">
        <w:lastRenderedPageBreak/>
        <w:t xml:space="preserve">standing of </w:t>
      </w:r>
      <w:r w:rsidR="008A7D45" w:rsidRPr="00FF0E38">
        <w:t>the woman</w:t>
      </w:r>
      <w:r w:rsidR="006F75A4" w:rsidRPr="00FF0E38">
        <w:t xml:space="preserve">’s husband and after his parents’ house was searched, he decided to leave Iran </w:t>
      </w:r>
      <w:r w:rsidR="008A7D45" w:rsidRPr="00FF0E38">
        <w:t xml:space="preserve">illegally </w:t>
      </w:r>
      <w:r w:rsidR="006F75A4" w:rsidRPr="00FF0E38">
        <w:t xml:space="preserve">on 3 April 2003 and enter Switzerland. </w:t>
      </w:r>
    </w:p>
    <w:p w:rsidR="00D036B5" w:rsidRPr="00FF0E38" w:rsidRDefault="00D06875" w:rsidP="00E461AA">
      <w:pPr>
        <w:pStyle w:val="SingleTxtG"/>
      </w:pPr>
      <w:r w:rsidRPr="00FF0E38">
        <w:t>2.2</w:t>
      </w:r>
      <w:r w:rsidRPr="00FF0E38">
        <w:tab/>
      </w:r>
      <w:r w:rsidR="006F75A4" w:rsidRPr="00FF0E38">
        <w:t xml:space="preserve">In Switzerland, the complainant became a member of the Democratic </w:t>
      </w:r>
      <w:r w:rsidR="00A732E2" w:rsidRPr="00FF0E38">
        <w:t>Association</w:t>
      </w:r>
      <w:r w:rsidR="006F75A4" w:rsidRPr="00FF0E38">
        <w:t xml:space="preserve"> for Refugees </w:t>
      </w:r>
      <w:r w:rsidR="002054D0" w:rsidRPr="00FF0E38">
        <w:t>(</w:t>
      </w:r>
      <w:r w:rsidR="00122EFB" w:rsidRPr="00FF0E38">
        <w:t>Association Démocratique pour les Refugi</w:t>
      </w:r>
      <w:r w:rsidR="00DC6C2C" w:rsidRPr="00FF0E38">
        <w:t>é</w:t>
      </w:r>
      <w:r w:rsidR="00122EFB" w:rsidRPr="00FF0E38">
        <w:t>s</w:t>
      </w:r>
      <w:r w:rsidR="002054D0" w:rsidRPr="00FF0E38">
        <w:t xml:space="preserve"> – </w:t>
      </w:r>
      <w:r w:rsidR="00122EFB" w:rsidRPr="00FF0E38">
        <w:t>ADR</w:t>
      </w:r>
      <w:r w:rsidR="006F75A4" w:rsidRPr="00FF0E38">
        <w:t>), a political association with the aim of “combating the Islamic Republic and protecting human rights”</w:t>
      </w:r>
      <w:r w:rsidR="001E0468" w:rsidRPr="00FF0E38">
        <w:t xml:space="preserve"> in Iran</w:t>
      </w:r>
      <w:r w:rsidR="006F75A4" w:rsidRPr="00FF0E38">
        <w:t xml:space="preserve">. He joined the </w:t>
      </w:r>
      <w:r w:rsidR="00E461AA" w:rsidRPr="00FF0E38">
        <w:t>a</w:t>
      </w:r>
      <w:r w:rsidR="002054D0" w:rsidRPr="00FF0E38">
        <w:t xml:space="preserve">ssociation </w:t>
      </w:r>
      <w:r w:rsidR="006F75A4" w:rsidRPr="00FF0E38">
        <w:t xml:space="preserve">in August 2006 and has </w:t>
      </w:r>
      <w:r w:rsidR="002054D0" w:rsidRPr="00FF0E38">
        <w:t>since</w:t>
      </w:r>
      <w:r w:rsidR="006F75A4" w:rsidRPr="00FF0E38">
        <w:t xml:space="preserve"> become the leader of the canton branch for the political activity of </w:t>
      </w:r>
      <w:r w:rsidR="00A732E2" w:rsidRPr="00FF0E38">
        <w:t>ADR</w:t>
      </w:r>
      <w:r w:rsidR="006F75A4" w:rsidRPr="00FF0E38">
        <w:t xml:space="preserve"> in the cantons of Lucerne and Schwyz. He </w:t>
      </w:r>
      <w:r w:rsidR="00604917" w:rsidRPr="00FF0E38">
        <w:t xml:space="preserve">has </w:t>
      </w:r>
      <w:r w:rsidR="006F75A4" w:rsidRPr="00FF0E38">
        <w:t>regularly take</w:t>
      </w:r>
      <w:r w:rsidR="00604917" w:rsidRPr="00FF0E38">
        <w:t>n</w:t>
      </w:r>
      <w:r w:rsidR="006F75A4" w:rsidRPr="00FF0E38">
        <w:t xml:space="preserve"> part in the meetings of the </w:t>
      </w:r>
      <w:r w:rsidR="001E0468" w:rsidRPr="00FF0E38">
        <w:t>association’s E</w:t>
      </w:r>
      <w:r w:rsidR="006F75A4" w:rsidRPr="00FF0E38">
        <w:t xml:space="preserve">xecutive </w:t>
      </w:r>
      <w:r w:rsidR="001E0468" w:rsidRPr="00FF0E38">
        <w:t>C</w:t>
      </w:r>
      <w:r w:rsidR="006F75A4" w:rsidRPr="00FF0E38">
        <w:t xml:space="preserve">ommittee. He has </w:t>
      </w:r>
      <w:r w:rsidR="00604917" w:rsidRPr="00FF0E38">
        <w:t>participated</w:t>
      </w:r>
      <w:r w:rsidR="006F75A4" w:rsidRPr="00FF0E38">
        <w:t xml:space="preserve"> in various demonstrations across Switzerland and distributed the monthly magazine </w:t>
      </w:r>
      <w:r w:rsidR="006F75A4" w:rsidRPr="00FF0E38">
        <w:rPr>
          <w:i/>
          <w:iCs/>
        </w:rPr>
        <w:t>Kanoun</w:t>
      </w:r>
      <w:r w:rsidR="006F75A4" w:rsidRPr="00FF0E38">
        <w:t>,</w:t>
      </w:r>
      <w:r w:rsidR="002054D0" w:rsidRPr="00FF0E38">
        <w:t xml:space="preserve"> which is</w:t>
      </w:r>
      <w:r w:rsidR="006F75A4" w:rsidRPr="00FF0E38">
        <w:t xml:space="preserve"> critical of the Iranian regime, </w:t>
      </w:r>
      <w:r w:rsidR="001E0468" w:rsidRPr="00FF0E38">
        <w:t xml:space="preserve">including </w:t>
      </w:r>
      <w:r w:rsidR="006F75A4" w:rsidRPr="00FF0E38">
        <w:t>to politicians in front of the parliament in Lucerne.</w:t>
      </w:r>
    </w:p>
    <w:p w:rsidR="00D036B5" w:rsidRPr="00FF0E38" w:rsidRDefault="00D036B5" w:rsidP="002054D0">
      <w:pPr>
        <w:pStyle w:val="SingleTxtG"/>
      </w:pPr>
      <w:r w:rsidRPr="00FF0E38">
        <w:t>2.3</w:t>
      </w:r>
      <w:r w:rsidRPr="00FF0E38">
        <w:tab/>
      </w:r>
      <w:r w:rsidR="007F3FAA" w:rsidRPr="00FF0E38">
        <w:t>On 15 April 2003, t</w:t>
      </w:r>
      <w:r w:rsidR="006F75A4" w:rsidRPr="00FF0E38">
        <w:t xml:space="preserve">he complainant </w:t>
      </w:r>
      <w:r w:rsidR="007F3FAA" w:rsidRPr="00FF0E38">
        <w:t>applied for</w:t>
      </w:r>
      <w:r w:rsidR="006F75A4" w:rsidRPr="00FF0E38">
        <w:t xml:space="preserve"> asylum in Switzerland. </w:t>
      </w:r>
      <w:r w:rsidR="00C92DCA" w:rsidRPr="00FF0E38">
        <w:t>On 21 June 2004, t</w:t>
      </w:r>
      <w:r w:rsidR="006F75A4" w:rsidRPr="00FF0E38">
        <w:t xml:space="preserve">he Swiss Federal Office for Refugees (now the Federal Office for Migration – FOM) rejected his asylum request. On 21 June 2004, the complainant lodged an appeal against </w:t>
      </w:r>
      <w:r w:rsidR="002054D0" w:rsidRPr="00FF0E38">
        <w:t xml:space="preserve">that </w:t>
      </w:r>
      <w:r w:rsidR="006F75A4" w:rsidRPr="00FF0E38">
        <w:t>decision with the Asylum Appeal Commission (now the Swiss Federal Administrative Tribunal – FAT), which was rejected on 14 July 2006.</w:t>
      </w:r>
    </w:p>
    <w:p w:rsidR="006F75A4" w:rsidRPr="00FF0E38" w:rsidRDefault="006F75A4" w:rsidP="002054D0">
      <w:pPr>
        <w:pStyle w:val="SingleTxtG"/>
      </w:pPr>
      <w:r w:rsidRPr="00FF0E38">
        <w:t>2.4</w:t>
      </w:r>
      <w:r w:rsidRPr="00FF0E38">
        <w:tab/>
        <w:t xml:space="preserve">On 24 May 2007, the complainant submitted </w:t>
      </w:r>
      <w:r w:rsidR="001E0468" w:rsidRPr="00FF0E38">
        <w:t>a</w:t>
      </w:r>
      <w:r w:rsidRPr="00FF0E38">
        <w:t xml:space="preserve"> second asylum request, </w:t>
      </w:r>
      <w:r w:rsidR="001E0468" w:rsidRPr="00FF0E38">
        <w:t xml:space="preserve">emphasizing his </w:t>
      </w:r>
      <w:r w:rsidRPr="00FF0E38">
        <w:t>political activ</w:t>
      </w:r>
      <w:r w:rsidR="001E0468" w:rsidRPr="00FF0E38">
        <w:t>ities</w:t>
      </w:r>
      <w:r w:rsidRPr="00FF0E38">
        <w:t xml:space="preserve"> in </w:t>
      </w:r>
      <w:r w:rsidR="001E0468" w:rsidRPr="00FF0E38">
        <w:t>Switzerland</w:t>
      </w:r>
      <w:r w:rsidRPr="00FF0E38">
        <w:t xml:space="preserve">. </w:t>
      </w:r>
      <w:r w:rsidR="00650BCA" w:rsidRPr="00FF0E38">
        <w:t xml:space="preserve">On 28 August 2007, </w:t>
      </w:r>
      <w:r w:rsidRPr="00FF0E38">
        <w:t xml:space="preserve">FOM rejected his second request for asylum. </w:t>
      </w:r>
      <w:r w:rsidR="00650BCA" w:rsidRPr="00FF0E38">
        <w:t>On 18 March 2010, FAT once again rejected the</w:t>
      </w:r>
      <w:r w:rsidRPr="00FF0E38">
        <w:t xml:space="preserve"> appeal against th</w:t>
      </w:r>
      <w:r w:rsidR="00650BCA" w:rsidRPr="00FF0E38">
        <w:t>e FOM</w:t>
      </w:r>
      <w:r w:rsidRPr="00FF0E38">
        <w:t xml:space="preserve"> decision.</w:t>
      </w:r>
    </w:p>
    <w:p w:rsidR="006F75A4" w:rsidRPr="00FF0E38" w:rsidRDefault="006F75A4" w:rsidP="00BA2303">
      <w:pPr>
        <w:pStyle w:val="SingleTxtG"/>
      </w:pPr>
      <w:r w:rsidRPr="00FF0E38">
        <w:t>2.5</w:t>
      </w:r>
      <w:r w:rsidRPr="00FF0E38">
        <w:tab/>
        <w:t>On 3 August 2010, the complainant requested asylum for a third time. He argued that he ha</w:t>
      </w:r>
      <w:r w:rsidR="00492AFA" w:rsidRPr="00FF0E38">
        <w:t>d</w:t>
      </w:r>
      <w:r w:rsidRPr="00FF0E38">
        <w:t xml:space="preserve"> </w:t>
      </w:r>
      <w:r w:rsidR="002054D0" w:rsidRPr="00FF0E38">
        <w:t xml:space="preserve">increased </w:t>
      </w:r>
      <w:r w:rsidRPr="00FF0E38">
        <w:t>his political activity in exile</w:t>
      </w:r>
      <w:r w:rsidR="00BA2303" w:rsidRPr="00FF0E38">
        <w:t>, which had</w:t>
      </w:r>
      <w:r w:rsidRPr="00FF0E38">
        <w:t xml:space="preserve"> exposed </w:t>
      </w:r>
      <w:r w:rsidRPr="002E4F41">
        <w:t>him</w:t>
      </w:r>
      <w:r w:rsidRPr="00FF0E38">
        <w:t xml:space="preserve"> much more than previously. He also claimed that</w:t>
      </w:r>
      <w:r w:rsidR="002054D0" w:rsidRPr="00FF0E38">
        <w:t>,</w:t>
      </w:r>
      <w:r w:rsidRPr="00FF0E38">
        <w:t xml:space="preserve"> since 1 January 2010, he ha</w:t>
      </w:r>
      <w:r w:rsidR="00DB29FF" w:rsidRPr="00FF0E38">
        <w:t>d</w:t>
      </w:r>
      <w:r w:rsidRPr="00FF0E38">
        <w:t xml:space="preserve"> been the head of </w:t>
      </w:r>
      <w:r w:rsidR="00A732E2" w:rsidRPr="00FF0E38">
        <w:t>ADR</w:t>
      </w:r>
      <w:r w:rsidRPr="00FF0E38">
        <w:t xml:space="preserve"> for the cantons of Lucerne and Schwyz. </w:t>
      </w:r>
      <w:r w:rsidR="00650BCA" w:rsidRPr="00FF0E38">
        <w:t>On</w:t>
      </w:r>
      <w:r w:rsidRPr="00FF0E38">
        <w:t xml:space="preserve"> 16 August 2010, FOM rejected the asylum request once again, </w:t>
      </w:r>
      <w:r w:rsidR="006D0FAF" w:rsidRPr="00FF0E38">
        <w:t>on the grounds</w:t>
      </w:r>
      <w:r w:rsidRPr="00FF0E38">
        <w:t xml:space="preserve"> that his increased political exposure and responsibilities </w:t>
      </w:r>
      <w:r w:rsidR="00DB29FF" w:rsidRPr="00FF0E38">
        <w:t xml:space="preserve">had </w:t>
      </w:r>
      <w:r w:rsidRPr="00FF0E38">
        <w:t>not change</w:t>
      </w:r>
      <w:r w:rsidR="00DB29FF" w:rsidRPr="00FF0E38">
        <w:t>d</w:t>
      </w:r>
      <w:r w:rsidRPr="00FF0E38">
        <w:t xml:space="preserve"> the legal situation for </w:t>
      </w:r>
      <w:r w:rsidR="0072200C" w:rsidRPr="00FF0E38">
        <w:t xml:space="preserve">the </w:t>
      </w:r>
      <w:r w:rsidR="001E0468" w:rsidRPr="00FF0E38">
        <w:t xml:space="preserve">purposes of granting him </w:t>
      </w:r>
      <w:r w:rsidRPr="00FF0E38">
        <w:t xml:space="preserve">asylum. On 24 August 2010, the complainant appealed against </w:t>
      </w:r>
      <w:r w:rsidR="00DB29FF" w:rsidRPr="00FF0E38">
        <w:t xml:space="preserve">the </w:t>
      </w:r>
      <w:r w:rsidRPr="00FF0E38">
        <w:t>decision</w:t>
      </w:r>
      <w:r w:rsidR="0072200C" w:rsidRPr="00FF0E38">
        <w:t>;</w:t>
      </w:r>
      <w:r w:rsidRPr="00FF0E38">
        <w:t xml:space="preserve"> however, </w:t>
      </w:r>
      <w:r w:rsidR="0072200C" w:rsidRPr="00FF0E38">
        <w:t xml:space="preserve">it was rejected by </w:t>
      </w:r>
      <w:r w:rsidRPr="00FF0E38">
        <w:t xml:space="preserve">FAT on 12 December 2011. </w:t>
      </w:r>
      <w:r w:rsidR="001E0468" w:rsidRPr="00FF0E38">
        <w:t>T</w:t>
      </w:r>
      <w:r w:rsidRPr="00FF0E38">
        <w:t xml:space="preserve">he decision </w:t>
      </w:r>
      <w:r w:rsidR="001E0468" w:rsidRPr="00FF0E38">
        <w:t xml:space="preserve">is </w:t>
      </w:r>
      <w:r w:rsidRPr="00FF0E38">
        <w:t>final.</w:t>
      </w:r>
    </w:p>
    <w:p w:rsidR="006F75A4" w:rsidRPr="00FF0E38" w:rsidRDefault="006F75A4" w:rsidP="00CA6EA7">
      <w:pPr>
        <w:pStyle w:val="SingleTxtG"/>
      </w:pPr>
      <w:r w:rsidRPr="00FF0E38">
        <w:t>2.6</w:t>
      </w:r>
      <w:r w:rsidRPr="00FF0E38">
        <w:tab/>
      </w:r>
      <w:r w:rsidR="00CA6EA7" w:rsidRPr="00FF0E38">
        <w:t xml:space="preserve">In </w:t>
      </w:r>
      <w:r w:rsidRPr="00FF0E38">
        <w:t xml:space="preserve">a letter of 19 December 2011 by the FOM and </w:t>
      </w:r>
      <w:r w:rsidR="00CA6EA7" w:rsidRPr="00FF0E38">
        <w:t xml:space="preserve">a </w:t>
      </w:r>
      <w:r w:rsidRPr="00FF0E38">
        <w:t xml:space="preserve">letter of 23 December 2011 from the Office for Migration and Asylum </w:t>
      </w:r>
      <w:r w:rsidR="00CA6EA7" w:rsidRPr="00FF0E38">
        <w:t xml:space="preserve">in </w:t>
      </w:r>
      <w:r w:rsidRPr="00FF0E38">
        <w:t xml:space="preserve">Lucerne, the complainant </w:t>
      </w:r>
      <w:r w:rsidR="00650BCA" w:rsidRPr="00FF0E38">
        <w:t>was</w:t>
      </w:r>
      <w:r w:rsidRPr="00FF0E38">
        <w:t xml:space="preserve"> ordered to leave the country by 3 January 2012. </w:t>
      </w:r>
    </w:p>
    <w:p w:rsidR="00D036B5" w:rsidRPr="00FF0E38" w:rsidRDefault="00D036B5" w:rsidP="00D036B5">
      <w:pPr>
        <w:pStyle w:val="H23G"/>
      </w:pPr>
      <w:r w:rsidRPr="00FF0E38">
        <w:tab/>
      </w:r>
      <w:r w:rsidRPr="00FF0E38">
        <w:tab/>
        <w:t>The complaint</w:t>
      </w:r>
    </w:p>
    <w:p w:rsidR="00367D03" w:rsidRPr="00FF0E38" w:rsidRDefault="00D036B5" w:rsidP="006F75A4">
      <w:pPr>
        <w:pStyle w:val="SingleTxtG"/>
      </w:pPr>
      <w:r w:rsidRPr="00FF0E38">
        <w:t>3.1</w:t>
      </w:r>
      <w:r w:rsidRPr="00FF0E38">
        <w:tab/>
      </w:r>
      <w:r w:rsidR="006F75A4" w:rsidRPr="00FF0E38">
        <w:t xml:space="preserve">The complainant claims that his forcible return to Iran would constitute a breach by Switzerland of </w:t>
      </w:r>
      <w:r w:rsidR="0039490E" w:rsidRPr="00FF0E38">
        <w:t>article </w:t>
      </w:r>
      <w:r w:rsidR="006F75A4" w:rsidRPr="00FF0E38">
        <w:t xml:space="preserve">3 of the Convention. </w:t>
      </w:r>
    </w:p>
    <w:p w:rsidR="006F75A4" w:rsidRPr="00FF0E38" w:rsidRDefault="006F75A4" w:rsidP="006F75A4">
      <w:pPr>
        <w:pStyle w:val="SingleTxtG"/>
      </w:pPr>
      <w:r w:rsidRPr="00FF0E38">
        <w:t>3.2</w:t>
      </w:r>
      <w:r w:rsidRPr="00FF0E38">
        <w:tab/>
      </w:r>
      <w:r w:rsidR="001E0468" w:rsidRPr="00FF0E38">
        <w:t xml:space="preserve">In substantiation, he claims </w:t>
      </w:r>
      <w:r w:rsidRPr="00FF0E38">
        <w:t xml:space="preserve">that </w:t>
      </w:r>
      <w:r w:rsidR="001E0468" w:rsidRPr="00FF0E38">
        <w:t xml:space="preserve">in Iran </w:t>
      </w:r>
      <w:r w:rsidRPr="00FF0E38">
        <w:t>he would face a real risk of being subjected to treatment contrary to the Convention if he were deported, for the following reasons:</w:t>
      </w:r>
    </w:p>
    <w:p w:rsidR="006F75A4" w:rsidRPr="00FF0E38" w:rsidRDefault="006F75A4" w:rsidP="00F93573">
      <w:pPr>
        <w:pStyle w:val="SingleTxtG"/>
        <w:ind w:firstLine="567"/>
      </w:pPr>
      <w:r w:rsidRPr="00FF0E38">
        <w:t>(a)</w:t>
      </w:r>
      <w:r w:rsidRPr="00FF0E38">
        <w:tab/>
        <w:t xml:space="preserve">The general human rights situation in Iran has </w:t>
      </w:r>
      <w:r w:rsidR="005D5E2A" w:rsidRPr="00FF0E38">
        <w:t>deteriorated</w:t>
      </w:r>
      <w:r w:rsidRPr="00FF0E38">
        <w:t xml:space="preserve"> since the presidential election in June 2009 and the </w:t>
      </w:r>
      <w:r w:rsidR="00BA2303" w:rsidRPr="00FF0E38">
        <w:t xml:space="preserve">large-scale </w:t>
      </w:r>
      <w:r w:rsidRPr="00FF0E38">
        <w:t xml:space="preserve">protests it </w:t>
      </w:r>
      <w:r w:rsidR="00441597" w:rsidRPr="00FF0E38">
        <w:t>engendered</w:t>
      </w:r>
      <w:r w:rsidRPr="00FF0E38">
        <w:t xml:space="preserve">. </w:t>
      </w:r>
      <w:r w:rsidR="005D5E2A" w:rsidRPr="00FF0E38">
        <w:t>R</w:t>
      </w:r>
      <w:r w:rsidRPr="00FF0E38">
        <w:t xml:space="preserve">espect for basic human rights in Iran has continued to deteriorate and the </w:t>
      </w:r>
      <w:r w:rsidR="005D5E2A" w:rsidRPr="00FF0E38">
        <w:t>G</w:t>
      </w:r>
      <w:r w:rsidRPr="00FF0E38">
        <w:t xml:space="preserve">overnment </w:t>
      </w:r>
      <w:r w:rsidR="005D5E2A" w:rsidRPr="00FF0E38">
        <w:t xml:space="preserve">has </w:t>
      </w:r>
      <w:r w:rsidRPr="00FF0E38">
        <w:t>show</w:t>
      </w:r>
      <w:r w:rsidR="005D5E2A" w:rsidRPr="00FF0E38">
        <w:t>n</w:t>
      </w:r>
      <w:r w:rsidRPr="00FF0E38">
        <w:t xml:space="preserve"> no tolerance for peaceful protests or gatherings, routinely detaining participants</w:t>
      </w:r>
      <w:r w:rsidR="005C1CF1" w:rsidRPr="00FF0E38">
        <w:t xml:space="preserve"> and subjecting them to torture;</w:t>
      </w:r>
    </w:p>
    <w:p w:rsidR="006F75A4" w:rsidRPr="00FF0E38" w:rsidRDefault="006F75A4" w:rsidP="00F93573">
      <w:pPr>
        <w:pStyle w:val="SingleTxtG"/>
        <w:ind w:firstLine="567"/>
      </w:pPr>
      <w:r w:rsidRPr="00FF0E38">
        <w:t>(b)</w:t>
      </w:r>
      <w:r w:rsidRPr="00FF0E38">
        <w:tab/>
        <w:t xml:space="preserve">Referring to the European Court of Human Rights judgment in </w:t>
      </w:r>
      <w:r w:rsidRPr="00FF0E38">
        <w:rPr>
          <w:i/>
        </w:rPr>
        <w:t xml:space="preserve">R.C. </w:t>
      </w:r>
      <w:r w:rsidRPr="00FF0E38">
        <w:rPr>
          <w:iCs/>
        </w:rPr>
        <w:t>v.</w:t>
      </w:r>
      <w:r w:rsidRPr="002E4F41">
        <w:rPr>
          <w:i/>
        </w:rPr>
        <w:t xml:space="preserve"> Sweden</w:t>
      </w:r>
      <w:r w:rsidR="00F93573" w:rsidRPr="00FF0E38">
        <w:rPr>
          <w:i/>
        </w:rPr>
        <w:t>,</w:t>
      </w:r>
      <w:r w:rsidR="00CD59D1" w:rsidRPr="002E4F41">
        <w:rPr>
          <w:rStyle w:val="FootnoteReference"/>
          <w:iCs/>
        </w:rPr>
        <w:footnoteReference w:id="2"/>
      </w:r>
      <w:r w:rsidR="005C1CF1" w:rsidRPr="002E4F41">
        <w:t xml:space="preserve"> </w:t>
      </w:r>
      <w:r w:rsidRPr="00FF0E38">
        <w:t xml:space="preserve">the complainant submits that </w:t>
      </w:r>
      <w:r w:rsidR="005D5E2A" w:rsidRPr="00FF0E38">
        <w:t xml:space="preserve">it is </w:t>
      </w:r>
      <w:r w:rsidRPr="00FF0E38">
        <w:t xml:space="preserve">not only political leaders </w:t>
      </w:r>
      <w:r w:rsidR="005D5E2A" w:rsidRPr="00FF0E38">
        <w:t xml:space="preserve">who </w:t>
      </w:r>
      <w:r w:rsidRPr="00FF0E38">
        <w:t xml:space="preserve">are facing persecution and the risk of arbitrary arrest, ill-treatment or torture, but also peaceful </w:t>
      </w:r>
      <w:r w:rsidRPr="00FF0E38">
        <w:lastRenderedPageBreak/>
        <w:t xml:space="preserve">participants </w:t>
      </w:r>
      <w:r w:rsidR="00441597" w:rsidRPr="00FF0E38">
        <w:t xml:space="preserve">in </w:t>
      </w:r>
      <w:r w:rsidRPr="00FF0E38">
        <w:t xml:space="preserve">demonstrations </w:t>
      </w:r>
      <w:r w:rsidR="00F93573" w:rsidRPr="00FF0E38">
        <w:t>and</w:t>
      </w:r>
      <w:r w:rsidRPr="00FF0E38">
        <w:t xml:space="preserve"> anyone who opposes the current regime. The fact that Iran carries out the second largest number of </w:t>
      </w:r>
      <w:r w:rsidR="00335D28" w:rsidRPr="00FF0E38">
        <w:t xml:space="preserve">death penalties </w:t>
      </w:r>
      <w:r w:rsidRPr="00FF0E38">
        <w:t>annually, often after unfair or politically motivated proceedi</w:t>
      </w:r>
      <w:r w:rsidR="005C1CF1" w:rsidRPr="00FF0E38">
        <w:t xml:space="preserve">ngs, </w:t>
      </w:r>
      <w:r w:rsidR="005D5E2A" w:rsidRPr="00FF0E38">
        <w:t xml:space="preserve">was </w:t>
      </w:r>
      <w:r w:rsidR="005C1CF1" w:rsidRPr="00FF0E38">
        <w:t>also underscored;</w:t>
      </w:r>
    </w:p>
    <w:p w:rsidR="005C1CF1" w:rsidRPr="00FF0E38" w:rsidRDefault="006F75A4" w:rsidP="005D5E2A">
      <w:pPr>
        <w:pStyle w:val="SingleTxtG"/>
        <w:ind w:firstLine="567"/>
      </w:pPr>
      <w:r w:rsidRPr="00FF0E38">
        <w:t>(c)</w:t>
      </w:r>
      <w:r w:rsidRPr="00FF0E38">
        <w:tab/>
      </w:r>
      <w:r w:rsidR="005D5E2A" w:rsidRPr="00FF0E38">
        <w:t xml:space="preserve">Owing </w:t>
      </w:r>
      <w:r w:rsidRPr="00FF0E38">
        <w:t>to the fact that the complainant left Iran illegally, there is an additional risk of h</w:t>
      </w:r>
      <w:r w:rsidR="005C1CF1" w:rsidRPr="00FF0E38">
        <w:t xml:space="preserve">is </w:t>
      </w:r>
      <w:r w:rsidR="005D5E2A" w:rsidRPr="00FF0E38">
        <w:t xml:space="preserve">being put under </w:t>
      </w:r>
      <w:r w:rsidR="005C1CF1" w:rsidRPr="00FF0E38">
        <w:t xml:space="preserve">scrutiny upon </w:t>
      </w:r>
      <w:r w:rsidR="005D5E2A" w:rsidRPr="00FF0E38">
        <w:t xml:space="preserve">his </w:t>
      </w:r>
      <w:r w:rsidR="005C1CF1" w:rsidRPr="00FF0E38">
        <w:t>return to Iran;</w:t>
      </w:r>
    </w:p>
    <w:p w:rsidR="006F75A4" w:rsidRPr="00FF0E38" w:rsidRDefault="006F75A4" w:rsidP="00F93573">
      <w:pPr>
        <w:pStyle w:val="SingleTxtG"/>
        <w:ind w:firstLine="567"/>
      </w:pPr>
      <w:r w:rsidRPr="00FF0E38">
        <w:t>(d)</w:t>
      </w:r>
      <w:r w:rsidRPr="00FF0E38">
        <w:tab/>
        <w:t xml:space="preserve">The complainant has been an active member of </w:t>
      </w:r>
      <w:r w:rsidR="00A732E2" w:rsidRPr="00FF0E38">
        <w:t>ADR</w:t>
      </w:r>
      <w:r w:rsidRPr="00FF0E38">
        <w:t xml:space="preserve"> for the cantons of Lucerne and Schwyz. By the time of the consideration </w:t>
      </w:r>
      <w:r w:rsidR="00D77230" w:rsidRPr="00FF0E38">
        <w:t xml:space="preserve">by FAT </w:t>
      </w:r>
      <w:r w:rsidRPr="00FF0E38">
        <w:t xml:space="preserve">of </w:t>
      </w:r>
      <w:r w:rsidR="00D77230" w:rsidRPr="00FF0E38">
        <w:t xml:space="preserve">his </w:t>
      </w:r>
      <w:r w:rsidRPr="00FF0E38">
        <w:t xml:space="preserve">third request for asylum </w:t>
      </w:r>
      <w:r w:rsidR="001E0468" w:rsidRPr="00FF0E38">
        <w:t xml:space="preserve">he </w:t>
      </w:r>
      <w:r w:rsidR="00F9096D" w:rsidRPr="00FF0E38">
        <w:t>was</w:t>
      </w:r>
      <w:r w:rsidRPr="00FF0E38">
        <w:t xml:space="preserve"> the head of </w:t>
      </w:r>
      <w:r w:rsidR="00A732E2" w:rsidRPr="00FF0E38">
        <w:t>ADR</w:t>
      </w:r>
      <w:r w:rsidRPr="00FF0E38">
        <w:t xml:space="preserve"> in </w:t>
      </w:r>
      <w:r w:rsidR="00F9096D" w:rsidRPr="00FF0E38">
        <w:t>both</w:t>
      </w:r>
      <w:r w:rsidRPr="00FF0E38">
        <w:t xml:space="preserve"> cantons. However, FAT held that the complainant</w:t>
      </w:r>
      <w:r w:rsidR="00F93573" w:rsidRPr="00FF0E38">
        <w:t>’s exposure</w:t>
      </w:r>
      <w:r w:rsidRPr="00FF0E38">
        <w:t xml:space="preserve"> still did not reach </w:t>
      </w:r>
      <w:r w:rsidR="00B57A9E" w:rsidRPr="00FF0E38">
        <w:t xml:space="preserve">“a level </w:t>
      </w:r>
      <w:r w:rsidR="00F93573" w:rsidRPr="00FF0E38">
        <w:t>…</w:t>
      </w:r>
      <w:r w:rsidR="00B57A9E" w:rsidRPr="00FF0E38">
        <w:t xml:space="preserve"> necessary to assume risk of persecution in Iran</w:t>
      </w:r>
      <w:r w:rsidR="00B57A9E" w:rsidRPr="002E4F41">
        <w:t>”</w:t>
      </w:r>
      <w:r w:rsidR="00B57A9E" w:rsidRPr="00FF0E38">
        <w:t>.</w:t>
      </w:r>
      <w:r w:rsidRPr="00FF0E38">
        <w:t xml:space="preserve"> </w:t>
      </w:r>
      <w:r w:rsidR="00F9096D" w:rsidRPr="00FF0E38">
        <w:t xml:space="preserve">That </w:t>
      </w:r>
      <w:r w:rsidRPr="00FF0E38">
        <w:t>was despite the fact that</w:t>
      </w:r>
      <w:r w:rsidR="00F9096D" w:rsidRPr="00FF0E38">
        <w:t>,</w:t>
      </w:r>
      <w:r w:rsidRPr="00FF0E38">
        <w:t xml:space="preserve"> in previous decisions, it had ruled that </w:t>
      </w:r>
      <w:r w:rsidR="00A732E2" w:rsidRPr="00FF0E38">
        <w:t>ADR</w:t>
      </w:r>
      <w:r w:rsidRPr="00FF0E38">
        <w:t xml:space="preserve"> members in high positions had a level of exposure sufficient </w:t>
      </w:r>
      <w:r w:rsidR="00AD22F3" w:rsidRPr="00FF0E38">
        <w:t>for</w:t>
      </w:r>
      <w:r w:rsidRPr="00FF0E38">
        <w:t xml:space="preserve"> a risk of persecution </w:t>
      </w:r>
      <w:r w:rsidR="00AD22F3" w:rsidRPr="00FF0E38">
        <w:t xml:space="preserve">to be assumed </w:t>
      </w:r>
      <w:r w:rsidRPr="00FF0E38">
        <w:t xml:space="preserve">in </w:t>
      </w:r>
      <w:r w:rsidR="00AD22F3" w:rsidRPr="00FF0E38">
        <w:t xml:space="preserve">the event </w:t>
      </w:r>
      <w:r w:rsidRPr="00FF0E38">
        <w:t xml:space="preserve">of </w:t>
      </w:r>
      <w:r w:rsidR="00D651D5" w:rsidRPr="00FF0E38">
        <w:t>their</w:t>
      </w:r>
      <w:r w:rsidR="00AD22F3" w:rsidRPr="00FF0E38">
        <w:t xml:space="preserve"> </w:t>
      </w:r>
      <w:r w:rsidRPr="00FF0E38">
        <w:t xml:space="preserve">forcible </w:t>
      </w:r>
      <w:r w:rsidR="00A732E2" w:rsidRPr="00FF0E38">
        <w:t>return</w:t>
      </w:r>
      <w:r w:rsidRPr="00FF0E38">
        <w:t xml:space="preserve"> to Iran.</w:t>
      </w:r>
    </w:p>
    <w:p w:rsidR="00D036B5" w:rsidRPr="00FF0E38" w:rsidRDefault="00D036B5" w:rsidP="00D036B5">
      <w:pPr>
        <w:pStyle w:val="H23G"/>
      </w:pPr>
      <w:r w:rsidRPr="00FF0E38">
        <w:tab/>
      </w:r>
      <w:r w:rsidRPr="00FF0E38">
        <w:tab/>
        <w:t>State party</w:t>
      </w:r>
      <w:r w:rsidR="00512C0A" w:rsidRPr="00FF0E38">
        <w:t>’</w:t>
      </w:r>
      <w:r w:rsidRPr="00FF0E38">
        <w:t>s observations on the merits</w:t>
      </w:r>
    </w:p>
    <w:p w:rsidR="00365C96" w:rsidRPr="00FF0E38" w:rsidRDefault="00D036B5" w:rsidP="00BF080A">
      <w:pPr>
        <w:pStyle w:val="SingleTxtG"/>
      </w:pPr>
      <w:r w:rsidRPr="00FF0E38">
        <w:t>4.1</w:t>
      </w:r>
      <w:r w:rsidRPr="00FF0E38">
        <w:tab/>
      </w:r>
      <w:r w:rsidR="0019563F" w:rsidRPr="00FF0E38">
        <w:t>On 13 June 2012, the State party submitted its observations on the merits of the complaint.</w:t>
      </w:r>
      <w:r w:rsidR="001E0468" w:rsidRPr="00FF0E38">
        <w:t xml:space="preserve"> It</w:t>
      </w:r>
      <w:r w:rsidR="00365C96" w:rsidRPr="00FF0E38">
        <w:t xml:space="preserve"> considers that</w:t>
      </w:r>
      <w:r w:rsidR="00073A18" w:rsidRPr="00FF0E38">
        <w:t>,</w:t>
      </w:r>
      <w:r w:rsidR="00365C96" w:rsidRPr="00FF0E38">
        <w:t xml:space="preserve"> although </w:t>
      </w:r>
      <w:r w:rsidR="001E0468" w:rsidRPr="00FF0E38">
        <w:t xml:space="preserve">the </w:t>
      </w:r>
      <w:r w:rsidR="00365C96" w:rsidRPr="00FF0E38">
        <w:t xml:space="preserve">human rights </w:t>
      </w:r>
      <w:r w:rsidR="001E0468" w:rsidRPr="00FF0E38">
        <w:t>situation</w:t>
      </w:r>
      <w:r w:rsidR="00365C96" w:rsidRPr="00FF0E38">
        <w:t xml:space="preserve"> in Iran </w:t>
      </w:r>
      <w:r w:rsidR="001E0468" w:rsidRPr="00FF0E38">
        <w:t>is</w:t>
      </w:r>
      <w:r w:rsidR="00365C96" w:rsidRPr="00FF0E38">
        <w:t xml:space="preserve"> </w:t>
      </w:r>
      <w:r w:rsidR="00073A18" w:rsidRPr="00FF0E38">
        <w:t xml:space="preserve">of concern </w:t>
      </w:r>
      <w:r w:rsidR="00365C96" w:rsidRPr="00FF0E38">
        <w:t xml:space="preserve">in several respects, Iran is not affected by generalized violence, and the complainant has not demonstrated </w:t>
      </w:r>
      <w:r w:rsidR="00073A18" w:rsidRPr="00FF0E38">
        <w:t xml:space="preserve">that </w:t>
      </w:r>
      <w:r w:rsidR="00365C96" w:rsidRPr="00FF0E38">
        <w:t xml:space="preserve">he </w:t>
      </w:r>
      <w:r w:rsidR="00F9096D" w:rsidRPr="00FF0E38">
        <w:t xml:space="preserve">runs </w:t>
      </w:r>
      <w:r w:rsidR="00365C96" w:rsidRPr="00FF0E38">
        <w:t xml:space="preserve">a foreseeable, personal and real risk </w:t>
      </w:r>
      <w:r w:rsidR="00F9096D" w:rsidRPr="00FF0E38">
        <w:t xml:space="preserve">of </w:t>
      </w:r>
      <w:r w:rsidR="00365C96" w:rsidRPr="00FF0E38">
        <w:t>be</w:t>
      </w:r>
      <w:r w:rsidR="00F9096D" w:rsidRPr="00FF0E38">
        <w:t>ing</w:t>
      </w:r>
      <w:r w:rsidR="00365C96" w:rsidRPr="00FF0E38">
        <w:t xml:space="preserve"> subjected to torture there.</w:t>
      </w:r>
    </w:p>
    <w:p w:rsidR="008314DC" w:rsidRPr="00FF0E38" w:rsidRDefault="00C87469" w:rsidP="00965FE5">
      <w:pPr>
        <w:pStyle w:val="SingleTxtG"/>
      </w:pPr>
      <w:r w:rsidRPr="00FF0E38">
        <w:t>4.</w:t>
      </w:r>
      <w:r w:rsidR="001E0468" w:rsidRPr="00FF0E38">
        <w:t>2</w:t>
      </w:r>
      <w:r w:rsidRPr="00FF0E38">
        <w:tab/>
      </w:r>
      <w:r w:rsidR="008314DC" w:rsidRPr="00FF0E38">
        <w:t xml:space="preserve">The State party observes that the complainant </w:t>
      </w:r>
      <w:r w:rsidR="005B63FE" w:rsidRPr="00FF0E38">
        <w:t>declared</w:t>
      </w:r>
      <w:r w:rsidR="008314DC" w:rsidRPr="00FF0E38">
        <w:t xml:space="preserve"> </w:t>
      </w:r>
      <w:r w:rsidR="00E852C4" w:rsidRPr="00FF0E38">
        <w:t xml:space="preserve">during </w:t>
      </w:r>
      <w:r w:rsidR="001E0468" w:rsidRPr="00FF0E38">
        <w:t>his</w:t>
      </w:r>
      <w:r w:rsidR="00346714" w:rsidRPr="00FF0E38">
        <w:t xml:space="preserve"> first</w:t>
      </w:r>
      <w:r w:rsidR="00E852C4" w:rsidRPr="00FF0E38">
        <w:t xml:space="preserve"> asylum procedure </w:t>
      </w:r>
      <w:r w:rsidR="008314DC" w:rsidRPr="00FF0E38">
        <w:t xml:space="preserve">that he had been hit by a police </w:t>
      </w:r>
      <w:r w:rsidR="00E852C4" w:rsidRPr="00FF0E38">
        <w:t xml:space="preserve">officer </w:t>
      </w:r>
      <w:r w:rsidR="008314DC" w:rsidRPr="00FF0E38">
        <w:t xml:space="preserve">in Iran. He </w:t>
      </w:r>
      <w:r w:rsidR="002E3FDD" w:rsidRPr="00FF0E38">
        <w:t xml:space="preserve">did </w:t>
      </w:r>
      <w:r w:rsidR="008314DC" w:rsidRPr="00FF0E38">
        <w:t xml:space="preserve">not, however, </w:t>
      </w:r>
      <w:r w:rsidR="00965FE5" w:rsidRPr="00FF0E38">
        <w:t>mention</w:t>
      </w:r>
      <w:r w:rsidR="008314DC" w:rsidRPr="00FF0E38">
        <w:t xml:space="preserve"> </w:t>
      </w:r>
      <w:r w:rsidR="00CB3F28" w:rsidRPr="00FF0E38">
        <w:t xml:space="preserve">that </w:t>
      </w:r>
      <w:r w:rsidR="008314DC" w:rsidRPr="00FF0E38">
        <w:t xml:space="preserve">incident in his complaint to the Committee, and </w:t>
      </w:r>
      <w:r w:rsidR="00965FE5" w:rsidRPr="00FF0E38">
        <w:t xml:space="preserve">it </w:t>
      </w:r>
      <w:r w:rsidR="008314DC" w:rsidRPr="00FF0E38">
        <w:t>therefore c</w:t>
      </w:r>
      <w:r w:rsidR="003F1BE4" w:rsidRPr="00FF0E38">
        <w:t>ould not</w:t>
      </w:r>
      <w:r w:rsidR="008314DC" w:rsidRPr="00FF0E38">
        <w:t xml:space="preserve"> be considered as</w:t>
      </w:r>
      <w:r w:rsidR="00E852C4" w:rsidRPr="00FF0E38">
        <w:t xml:space="preserve"> </w:t>
      </w:r>
      <w:r w:rsidR="002E3FDD" w:rsidRPr="00FF0E38">
        <w:t>a</w:t>
      </w:r>
      <w:r w:rsidR="00E852C4" w:rsidRPr="00FF0E38">
        <w:t xml:space="preserve"> </w:t>
      </w:r>
      <w:r w:rsidR="008314DC" w:rsidRPr="00FF0E38">
        <w:t xml:space="preserve">risk </w:t>
      </w:r>
      <w:r w:rsidR="002E3FDD" w:rsidRPr="00FF0E38">
        <w:t xml:space="preserve">factor relating to </w:t>
      </w:r>
      <w:r w:rsidR="008314DC" w:rsidRPr="00FF0E38">
        <w:t xml:space="preserve">his return to Iran. The State party </w:t>
      </w:r>
      <w:r w:rsidR="00073A18" w:rsidRPr="00FF0E38">
        <w:t xml:space="preserve">also </w:t>
      </w:r>
      <w:r w:rsidR="008314DC" w:rsidRPr="00FF0E38">
        <w:t xml:space="preserve">observes that the complainant was </w:t>
      </w:r>
      <w:r w:rsidR="001E0468" w:rsidRPr="00FF0E38">
        <w:t>never</w:t>
      </w:r>
      <w:r w:rsidR="008314DC" w:rsidRPr="00FF0E38">
        <w:t xml:space="preserve"> politically active in Iran. Furthermore, the State party’s authorities, while examining his asylum request, did not find his claim that he would be persecuted </w:t>
      </w:r>
      <w:r w:rsidR="002E3FDD" w:rsidRPr="00FF0E38">
        <w:t>on account of</w:t>
      </w:r>
      <w:r w:rsidR="008314DC" w:rsidRPr="00FF0E38">
        <w:t xml:space="preserve"> his alleged sexual relation</w:t>
      </w:r>
      <w:r w:rsidR="002E3FDD" w:rsidRPr="00FF0E38">
        <w:t>ship</w:t>
      </w:r>
      <w:r w:rsidR="008314DC" w:rsidRPr="00FF0E38">
        <w:t xml:space="preserve"> with </w:t>
      </w:r>
      <w:r w:rsidR="002E3FDD" w:rsidRPr="00FF0E38">
        <w:t xml:space="preserve">the </w:t>
      </w:r>
      <w:r w:rsidR="008314DC" w:rsidRPr="00FF0E38">
        <w:t xml:space="preserve">wife of </w:t>
      </w:r>
      <w:r w:rsidR="002E3FDD" w:rsidRPr="00FF0E38">
        <w:t>a m</w:t>
      </w:r>
      <w:r w:rsidR="008314DC" w:rsidRPr="00FF0E38">
        <w:t>ul</w:t>
      </w:r>
      <w:r w:rsidR="003F1BE4" w:rsidRPr="00FF0E38">
        <w:t>l</w:t>
      </w:r>
      <w:r w:rsidR="008314DC" w:rsidRPr="00FF0E38">
        <w:t xml:space="preserve">ah credible. </w:t>
      </w:r>
    </w:p>
    <w:p w:rsidR="00365C96" w:rsidRPr="00FF0E38" w:rsidRDefault="00C87469" w:rsidP="00DE01DF">
      <w:pPr>
        <w:pStyle w:val="SingleTxtG"/>
      </w:pPr>
      <w:r w:rsidRPr="00FF0E38">
        <w:t>4.</w:t>
      </w:r>
      <w:r w:rsidR="001E0468" w:rsidRPr="00FF0E38">
        <w:t>3</w:t>
      </w:r>
      <w:r w:rsidRPr="00FF0E38">
        <w:tab/>
      </w:r>
      <w:r w:rsidR="008314DC" w:rsidRPr="00FF0E38">
        <w:t xml:space="preserve">With respect to the complainant’s political activity in Switzerland, </w:t>
      </w:r>
      <w:r w:rsidRPr="00FF0E38">
        <w:t>t</w:t>
      </w:r>
      <w:r w:rsidR="00365C96" w:rsidRPr="00FF0E38">
        <w:t>he State party considers that</w:t>
      </w:r>
      <w:r w:rsidR="00DE33A1" w:rsidRPr="00FF0E38">
        <w:t>,</w:t>
      </w:r>
      <w:r w:rsidR="00365C96" w:rsidRPr="00FF0E38">
        <w:t xml:space="preserve"> although the Iranian Secret Service </w:t>
      </w:r>
      <w:r w:rsidR="00FA620C" w:rsidRPr="00FF0E38">
        <w:t xml:space="preserve">could </w:t>
      </w:r>
      <w:r w:rsidR="00FA620C" w:rsidRPr="002E4F41">
        <w:t>exer</w:t>
      </w:r>
      <w:r w:rsidR="00FA620C" w:rsidRPr="00FF0E38">
        <w:t xml:space="preserve">cise </w:t>
      </w:r>
      <w:r w:rsidR="00365C96" w:rsidRPr="00FF0E38">
        <w:t xml:space="preserve">surveillance of </w:t>
      </w:r>
      <w:r w:rsidR="00FA620C" w:rsidRPr="00FF0E38">
        <w:t>political activities against the Iranian regime conducted abroad</w:t>
      </w:r>
      <w:r w:rsidR="00365C96" w:rsidRPr="00FF0E38">
        <w:t xml:space="preserve">, </w:t>
      </w:r>
      <w:r w:rsidR="00FA620C" w:rsidRPr="00FF0E38">
        <w:t xml:space="preserve">the Iranian authorities target high-profile individuals acting </w:t>
      </w:r>
      <w:r w:rsidR="002470D4" w:rsidRPr="00FF0E38">
        <w:t>outside</w:t>
      </w:r>
      <w:r w:rsidR="00FA620C" w:rsidRPr="00FF0E38">
        <w:t xml:space="preserve"> mass opposition and </w:t>
      </w:r>
      <w:r w:rsidR="002470D4" w:rsidRPr="00FF0E38">
        <w:t xml:space="preserve">holding </w:t>
      </w:r>
      <w:r w:rsidR="00FA620C" w:rsidRPr="00FF0E38">
        <w:t xml:space="preserve">positions or deploying activities that could represent a concrete </w:t>
      </w:r>
      <w:r w:rsidR="009E4F57" w:rsidRPr="00FF0E38">
        <w:t>threat</w:t>
      </w:r>
      <w:r w:rsidR="00FA620C" w:rsidRPr="00FF0E38">
        <w:t xml:space="preserve"> to the regime.</w:t>
      </w:r>
      <w:r w:rsidR="00365C96" w:rsidRPr="00FF0E38">
        <w:t xml:space="preserve"> The State party asserts that the complainant does not </w:t>
      </w:r>
      <w:r w:rsidR="00965FE5" w:rsidRPr="00FF0E38">
        <w:t>have</w:t>
      </w:r>
      <w:r w:rsidR="00365C96" w:rsidRPr="00FF0E38">
        <w:t xml:space="preserve"> such a profile; the activities </w:t>
      </w:r>
      <w:r w:rsidR="002470D4" w:rsidRPr="00FF0E38">
        <w:t xml:space="preserve">in which </w:t>
      </w:r>
      <w:r w:rsidR="00365C96" w:rsidRPr="00FF0E38">
        <w:t>he allege</w:t>
      </w:r>
      <w:r w:rsidR="002C474A" w:rsidRPr="00FF0E38">
        <w:t>s</w:t>
      </w:r>
      <w:r w:rsidR="00365C96" w:rsidRPr="00FF0E38">
        <w:t xml:space="preserve"> </w:t>
      </w:r>
      <w:r w:rsidR="00BF080A" w:rsidRPr="00FF0E38">
        <w:t xml:space="preserve">he </w:t>
      </w:r>
      <w:r w:rsidR="00365C96" w:rsidRPr="00FF0E38">
        <w:t>participate</w:t>
      </w:r>
      <w:r w:rsidR="00BF080A" w:rsidRPr="00FF0E38">
        <w:t>s</w:t>
      </w:r>
      <w:r w:rsidR="00365C96" w:rsidRPr="00FF0E38">
        <w:t xml:space="preserve"> are typical activities for </w:t>
      </w:r>
      <w:r w:rsidR="009E4F57" w:rsidRPr="00FF0E38">
        <w:t xml:space="preserve">many </w:t>
      </w:r>
      <w:r w:rsidR="00365C96" w:rsidRPr="00FF0E38">
        <w:t xml:space="preserve">exiled Iranians and would not identify the complainant as potentially dangerous to the Iranian regime even if the Iranian authorities came to know of him. </w:t>
      </w:r>
    </w:p>
    <w:p w:rsidR="00C87469" w:rsidRPr="00FF0E38" w:rsidRDefault="00C87469" w:rsidP="00A64AB6">
      <w:pPr>
        <w:pStyle w:val="SingleTxtG"/>
      </w:pPr>
      <w:r w:rsidRPr="00FF0E38">
        <w:t>4.</w:t>
      </w:r>
      <w:r w:rsidR="001E0468" w:rsidRPr="00FF0E38">
        <w:t>4</w:t>
      </w:r>
      <w:r w:rsidRPr="00FF0E38">
        <w:tab/>
      </w:r>
      <w:r w:rsidR="00365C96" w:rsidRPr="00FF0E38">
        <w:t xml:space="preserve">The State party asserts that the Iranian authorities are likely </w:t>
      </w:r>
      <w:r w:rsidR="00FA620C" w:rsidRPr="00FF0E38">
        <w:t xml:space="preserve">to be </w:t>
      </w:r>
      <w:r w:rsidR="00365C96" w:rsidRPr="00FF0E38">
        <w:t>aware that many Iranians living abroad attempt to portray themselves as dissidents in order to obtain asylum</w:t>
      </w:r>
      <w:r w:rsidRPr="00FF0E38">
        <w:t xml:space="preserve">. The Iranian authorities </w:t>
      </w:r>
      <w:r w:rsidR="003F1BE4" w:rsidRPr="00FF0E38">
        <w:t xml:space="preserve">are likely to </w:t>
      </w:r>
      <w:r w:rsidRPr="00FF0E38">
        <w:t xml:space="preserve">distinguish between those </w:t>
      </w:r>
      <w:r w:rsidR="00DE33A1" w:rsidRPr="00FF0E38">
        <w:t xml:space="preserve">who are </w:t>
      </w:r>
      <w:r w:rsidRPr="00FF0E38">
        <w:t xml:space="preserve">genuinely politically active </w:t>
      </w:r>
      <w:r w:rsidR="00DE01DF" w:rsidRPr="00FF0E38">
        <w:t xml:space="preserve">and </w:t>
      </w:r>
      <w:r w:rsidRPr="00FF0E38">
        <w:t>who are potential</w:t>
      </w:r>
      <w:r w:rsidR="00DE33A1" w:rsidRPr="00FF0E38">
        <w:t>ly</w:t>
      </w:r>
      <w:r w:rsidRPr="00FF0E38">
        <w:t xml:space="preserve"> important political agitators</w:t>
      </w:r>
      <w:r w:rsidR="00DE01DF" w:rsidRPr="00FF0E38">
        <w:t>,</w:t>
      </w:r>
      <w:r w:rsidRPr="00FF0E38">
        <w:t xml:space="preserve"> and those active </w:t>
      </w:r>
      <w:r w:rsidR="00BE589F" w:rsidRPr="00FF0E38">
        <w:t xml:space="preserve">mainly </w:t>
      </w:r>
      <w:r w:rsidRPr="00FF0E38">
        <w:t xml:space="preserve">for the </w:t>
      </w:r>
      <w:r w:rsidR="00DE33A1" w:rsidRPr="00FF0E38">
        <w:t xml:space="preserve">ultimate </w:t>
      </w:r>
      <w:r w:rsidRPr="00FF0E38">
        <w:t>purpose of obtaining a residence permit abroad</w:t>
      </w:r>
      <w:r w:rsidR="00365C96" w:rsidRPr="00FF0E38">
        <w:t>.</w:t>
      </w:r>
      <w:r w:rsidRPr="00FF0E38">
        <w:t xml:space="preserve"> The </w:t>
      </w:r>
      <w:r w:rsidR="009E4F57" w:rsidRPr="00FF0E38">
        <w:t>complainant</w:t>
      </w:r>
      <w:r w:rsidRPr="00FF0E38">
        <w:t xml:space="preserve">’s activities, including </w:t>
      </w:r>
      <w:r w:rsidR="009E4F57" w:rsidRPr="00FF0E38">
        <w:t xml:space="preserve">his </w:t>
      </w:r>
      <w:r w:rsidRPr="00FF0E38">
        <w:t>participation in demonstration</w:t>
      </w:r>
      <w:r w:rsidR="00DE33A1" w:rsidRPr="00FF0E38">
        <w:t>s</w:t>
      </w:r>
      <w:r w:rsidRPr="00FF0E38">
        <w:t xml:space="preserve">, distribution of </w:t>
      </w:r>
      <w:r w:rsidR="00500A07" w:rsidRPr="00FF0E38">
        <w:t xml:space="preserve">a </w:t>
      </w:r>
      <w:r w:rsidRPr="00FF0E38">
        <w:t xml:space="preserve">magazine and </w:t>
      </w:r>
      <w:r w:rsidR="00DE33A1" w:rsidRPr="00FF0E38">
        <w:t xml:space="preserve">putting </w:t>
      </w:r>
      <w:r w:rsidRPr="00FF0E38">
        <w:t>his photo</w:t>
      </w:r>
      <w:r w:rsidR="00DE33A1" w:rsidRPr="00FF0E38">
        <w:t>graph</w:t>
      </w:r>
      <w:r w:rsidRPr="00FF0E38">
        <w:t xml:space="preserve">s on </w:t>
      </w:r>
      <w:r w:rsidR="00DE33A1" w:rsidRPr="00FF0E38">
        <w:t>the I</w:t>
      </w:r>
      <w:r w:rsidRPr="00FF0E38">
        <w:t>nternet would not</w:t>
      </w:r>
      <w:r w:rsidR="009E4F57" w:rsidRPr="00FF0E38">
        <w:t>,</w:t>
      </w:r>
      <w:r w:rsidRPr="00FF0E38">
        <w:t xml:space="preserve"> </w:t>
      </w:r>
      <w:r w:rsidR="00DE33A1" w:rsidRPr="00FF0E38">
        <w:t xml:space="preserve">in </w:t>
      </w:r>
      <w:r w:rsidRPr="00FF0E38">
        <w:t>themselves</w:t>
      </w:r>
      <w:r w:rsidR="009E4F57" w:rsidRPr="00FF0E38">
        <w:t>,</w:t>
      </w:r>
      <w:r w:rsidRPr="00FF0E38">
        <w:t xml:space="preserve"> draw the attention of the Iranian authorities</w:t>
      </w:r>
      <w:r w:rsidR="00DE33A1" w:rsidRPr="00FF0E38">
        <w:t xml:space="preserve"> to him</w:t>
      </w:r>
      <w:r w:rsidRPr="00FF0E38">
        <w:t xml:space="preserve">, since </w:t>
      </w:r>
      <w:r w:rsidR="00DE33A1" w:rsidRPr="00FF0E38">
        <w:t xml:space="preserve">they </w:t>
      </w:r>
      <w:r w:rsidRPr="00FF0E38">
        <w:t xml:space="preserve">are </w:t>
      </w:r>
      <w:r w:rsidR="00DE33A1" w:rsidRPr="00FF0E38">
        <w:t>no different from</w:t>
      </w:r>
      <w:r w:rsidRPr="00FF0E38">
        <w:t xml:space="preserve"> </w:t>
      </w:r>
      <w:r w:rsidR="00DE33A1" w:rsidRPr="00FF0E38">
        <w:t xml:space="preserve">the </w:t>
      </w:r>
      <w:r w:rsidRPr="00FF0E38">
        <w:t xml:space="preserve">activities of many Iranians in Switzerland. </w:t>
      </w:r>
      <w:r w:rsidR="00122EFB" w:rsidRPr="00FF0E38">
        <w:t xml:space="preserve">ADR is active mainly in Switzerland and its activities are not known abroad. The complainant’s family was not aware </w:t>
      </w:r>
      <w:r w:rsidR="00DE33A1" w:rsidRPr="00FF0E38">
        <w:t xml:space="preserve">of </w:t>
      </w:r>
      <w:r w:rsidR="00122EFB" w:rsidRPr="00FF0E38">
        <w:t xml:space="preserve">his political engagement and does not appear to have </w:t>
      </w:r>
      <w:r w:rsidR="00BE589F" w:rsidRPr="00FF0E38">
        <w:t xml:space="preserve">had </w:t>
      </w:r>
      <w:r w:rsidR="00122EFB" w:rsidRPr="00FF0E38">
        <w:t xml:space="preserve">any problems with the Iranian authorities </w:t>
      </w:r>
      <w:r w:rsidR="00344CD0" w:rsidRPr="00FF0E38">
        <w:t>on account of</w:t>
      </w:r>
      <w:r w:rsidR="00122EFB" w:rsidRPr="00FF0E38">
        <w:t xml:space="preserve"> his political activities.</w:t>
      </w:r>
    </w:p>
    <w:p w:rsidR="00063027" w:rsidRPr="00FF0E38" w:rsidRDefault="00122EFB" w:rsidP="00DE01DF">
      <w:pPr>
        <w:pStyle w:val="SingleTxtG"/>
      </w:pPr>
      <w:r w:rsidRPr="00FF0E38">
        <w:t>4.</w:t>
      </w:r>
      <w:r w:rsidR="001E0468" w:rsidRPr="00FF0E38">
        <w:t>5</w:t>
      </w:r>
      <w:r w:rsidRPr="00FF0E38">
        <w:tab/>
        <w:t xml:space="preserve">The State party contests the complainant’s statement that he has a particular profile due to his </w:t>
      </w:r>
      <w:r w:rsidR="00BE589F" w:rsidRPr="00FF0E38">
        <w:t>position</w:t>
      </w:r>
      <w:r w:rsidRPr="00FF0E38">
        <w:t xml:space="preserve"> within ADR. The State party considers his </w:t>
      </w:r>
      <w:r w:rsidR="00BE589F" w:rsidRPr="00FF0E38">
        <w:t>position</w:t>
      </w:r>
      <w:r w:rsidRPr="00FF0E38">
        <w:t xml:space="preserve"> </w:t>
      </w:r>
      <w:r w:rsidR="00344CD0" w:rsidRPr="00FF0E38">
        <w:t>as</w:t>
      </w:r>
      <w:r w:rsidRPr="00FF0E38">
        <w:t xml:space="preserve"> of </w:t>
      </w:r>
      <w:r w:rsidR="00344CD0" w:rsidRPr="00FF0E38">
        <w:t xml:space="preserve">an </w:t>
      </w:r>
      <w:r w:rsidRPr="00FF0E38">
        <w:t>administrative nature. The complainant</w:t>
      </w:r>
      <w:r w:rsidR="00BE589F" w:rsidRPr="00FF0E38">
        <w:t>’s</w:t>
      </w:r>
      <w:r w:rsidRPr="00FF0E38">
        <w:t xml:space="preserve"> </w:t>
      </w:r>
      <w:r w:rsidR="00BE589F" w:rsidRPr="00FF0E38">
        <w:t>position</w:t>
      </w:r>
      <w:r w:rsidRPr="00FF0E38">
        <w:t xml:space="preserve"> of canton representative would not expose him </w:t>
      </w:r>
      <w:r w:rsidRPr="002E4F41">
        <w:t xml:space="preserve">more than any other member of </w:t>
      </w:r>
      <w:r w:rsidRPr="00FF0E38">
        <w:t xml:space="preserve">ADR. The State party submits that ADR </w:t>
      </w:r>
      <w:r w:rsidR="00063027" w:rsidRPr="00FF0E38">
        <w:t xml:space="preserve">is </w:t>
      </w:r>
      <w:r w:rsidR="00063027" w:rsidRPr="00FF0E38">
        <w:lastRenderedPageBreak/>
        <w:t xml:space="preserve">known for </w:t>
      </w:r>
      <w:r w:rsidR="00217B30" w:rsidRPr="00FF0E38">
        <w:t xml:space="preserve">its </w:t>
      </w:r>
      <w:r w:rsidR="00063027" w:rsidRPr="00FF0E38">
        <w:t xml:space="preserve">systematic activities to provide </w:t>
      </w:r>
      <w:r w:rsidR="00E461AA" w:rsidRPr="00FF0E38">
        <w:t xml:space="preserve">asylum-seekers with </w:t>
      </w:r>
      <w:r w:rsidR="008B41B1" w:rsidRPr="00FF0E38">
        <w:t>personal grounds</w:t>
      </w:r>
      <w:r w:rsidR="00063027" w:rsidRPr="00FF0E38">
        <w:t xml:space="preserve"> for asylum, by organizing weekly stands </w:t>
      </w:r>
      <w:r w:rsidR="008863A6" w:rsidRPr="00FF0E38">
        <w:t xml:space="preserve">and </w:t>
      </w:r>
      <w:r w:rsidR="00063027" w:rsidRPr="00FF0E38">
        <w:t>publishing photo</w:t>
      </w:r>
      <w:r w:rsidR="00E461AA" w:rsidRPr="00FF0E38">
        <w:t>graph</w:t>
      </w:r>
      <w:r w:rsidR="00063027" w:rsidRPr="00FF0E38">
        <w:t xml:space="preserve">s </w:t>
      </w:r>
      <w:r w:rsidR="00E461AA" w:rsidRPr="00FF0E38">
        <w:t xml:space="preserve">on the Internet </w:t>
      </w:r>
      <w:r w:rsidR="00063027" w:rsidRPr="00FF0E38">
        <w:t>where</w:t>
      </w:r>
      <w:r w:rsidR="00E461AA" w:rsidRPr="00FF0E38">
        <w:t>in</w:t>
      </w:r>
      <w:r w:rsidR="00063027" w:rsidRPr="00FF0E38">
        <w:t xml:space="preserve"> participants are clearly identifiable. Many ADR members were not politically active in Iran and joined the association </w:t>
      </w:r>
      <w:r w:rsidR="009E4F57" w:rsidRPr="00FF0E38">
        <w:t xml:space="preserve">only </w:t>
      </w:r>
      <w:r w:rsidR="00063027" w:rsidRPr="00FF0E38">
        <w:t xml:space="preserve">after being refused asylum. </w:t>
      </w:r>
      <w:r w:rsidR="00344CD0" w:rsidRPr="00FF0E38">
        <w:t>S</w:t>
      </w:r>
      <w:r w:rsidR="00063027" w:rsidRPr="00FF0E38">
        <w:t xml:space="preserve">ince the </w:t>
      </w:r>
      <w:r w:rsidR="005B63FE" w:rsidRPr="00FF0E38">
        <w:t>Federal Administrative Tribunal</w:t>
      </w:r>
      <w:r w:rsidR="00063027" w:rsidRPr="00FF0E38">
        <w:t xml:space="preserve"> </w:t>
      </w:r>
      <w:r w:rsidR="00344CD0" w:rsidRPr="00FF0E38">
        <w:t xml:space="preserve">had </w:t>
      </w:r>
      <w:r w:rsidR="00063027" w:rsidRPr="00FF0E38">
        <w:t xml:space="preserve">confirmed its </w:t>
      </w:r>
      <w:r w:rsidR="005B63FE" w:rsidRPr="00FF0E38">
        <w:t xml:space="preserve">ruling </w:t>
      </w:r>
      <w:r w:rsidR="00063027" w:rsidRPr="00FF0E38">
        <w:t xml:space="preserve">that </w:t>
      </w:r>
      <w:r w:rsidR="00344CD0" w:rsidRPr="00FF0E38">
        <w:t xml:space="preserve">mere </w:t>
      </w:r>
      <w:r w:rsidR="00063027" w:rsidRPr="00FF0E38">
        <w:t xml:space="preserve">membership </w:t>
      </w:r>
      <w:r w:rsidR="00344CD0" w:rsidRPr="00FF0E38">
        <w:t xml:space="preserve">of </w:t>
      </w:r>
      <w:r w:rsidR="00063027" w:rsidRPr="00FF0E38">
        <w:t>ADR d</w:t>
      </w:r>
      <w:r w:rsidR="005B63FE" w:rsidRPr="00FF0E38">
        <w:t>id not in itself constitute personal grounds for asylum</w:t>
      </w:r>
      <w:r w:rsidR="00063027" w:rsidRPr="00FF0E38">
        <w:t xml:space="preserve">, the association </w:t>
      </w:r>
      <w:r w:rsidR="00344CD0" w:rsidRPr="00FF0E38">
        <w:t xml:space="preserve">had </w:t>
      </w:r>
      <w:r w:rsidR="00063027" w:rsidRPr="00FF0E38">
        <w:t xml:space="preserve">established </w:t>
      </w:r>
      <w:r w:rsidR="00344CD0" w:rsidRPr="00FF0E38">
        <w:t xml:space="preserve">a </w:t>
      </w:r>
      <w:r w:rsidR="005B63FE" w:rsidRPr="00FF0E38">
        <w:t>variety of posts, such as logistics or security manager,</w:t>
      </w:r>
      <w:r w:rsidR="00063027" w:rsidRPr="00FF0E38">
        <w:t xml:space="preserve"> so that almost every member ha</w:t>
      </w:r>
      <w:r w:rsidR="00344CD0" w:rsidRPr="00FF0E38">
        <w:t>d</w:t>
      </w:r>
      <w:r w:rsidR="00063027" w:rsidRPr="00FF0E38">
        <w:t xml:space="preserve"> a “leadership position” in the association. Such </w:t>
      </w:r>
      <w:r w:rsidR="00344CD0" w:rsidRPr="00FF0E38">
        <w:t xml:space="preserve">a </w:t>
      </w:r>
      <w:r w:rsidR="00063027" w:rsidRPr="00FF0E38">
        <w:t>proliferation of high</w:t>
      </w:r>
      <w:r w:rsidR="00344CD0" w:rsidRPr="00FF0E38">
        <w:t>-level</w:t>
      </w:r>
      <w:r w:rsidR="00063027" w:rsidRPr="00FF0E38">
        <w:t xml:space="preserve"> position</w:t>
      </w:r>
      <w:r w:rsidR="005B63FE" w:rsidRPr="00FF0E38">
        <w:t>s</w:t>
      </w:r>
      <w:r w:rsidR="00063027" w:rsidRPr="00FF0E38">
        <w:t xml:space="preserve"> </w:t>
      </w:r>
      <w:r w:rsidR="00DE33A1" w:rsidRPr="00FF0E38">
        <w:t xml:space="preserve">diminished </w:t>
      </w:r>
      <w:r w:rsidR="00063027" w:rsidRPr="00FF0E38">
        <w:t>their importance.</w:t>
      </w:r>
    </w:p>
    <w:p w:rsidR="00365C96" w:rsidRPr="00FF0E38" w:rsidRDefault="00063027" w:rsidP="00CE2348">
      <w:pPr>
        <w:pStyle w:val="SingleTxtG"/>
      </w:pPr>
      <w:r w:rsidRPr="00FF0E38">
        <w:t>4.</w:t>
      </w:r>
      <w:r w:rsidR="001E0468" w:rsidRPr="00FF0E38">
        <w:t>6</w:t>
      </w:r>
      <w:r w:rsidRPr="00FF0E38">
        <w:tab/>
        <w:t xml:space="preserve">The State party asserts that the complainant does not have </w:t>
      </w:r>
      <w:r w:rsidR="00344CD0" w:rsidRPr="00FF0E38">
        <w:t xml:space="preserve">the </w:t>
      </w:r>
      <w:r w:rsidRPr="00FF0E38">
        <w:t xml:space="preserve">profile of </w:t>
      </w:r>
      <w:r w:rsidR="00E14FC7" w:rsidRPr="00FF0E38">
        <w:t>a</w:t>
      </w:r>
      <w:r w:rsidRPr="00FF0E38">
        <w:t xml:space="preserve"> regime opponent who would be considered </w:t>
      </w:r>
      <w:r w:rsidR="00CE2348" w:rsidRPr="00FF0E38">
        <w:t xml:space="preserve">dangerous </w:t>
      </w:r>
      <w:r w:rsidRPr="00FF0E38">
        <w:t>by the Iranian authorities. He</w:t>
      </w:r>
      <w:r w:rsidR="00365C96" w:rsidRPr="00FF0E38">
        <w:t xml:space="preserve"> did not participate in political activities </w:t>
      </w:r>
      <w:r w:rsidR="00C77FA0" w:rsidRPr="00FF0E38">
        <w:t>against Iran in Switzerland until FA</w:t>
      </w:r>
      <w:r w:rsidR="005B63FE" w:rsidRPr="00FF0E38">
        <w:t>T</w:t>
      </w:r>
      <w:r w:rsidR="00C77FA0" w:rsidRPr="00FF0E38">
        <w:t xml:space="preserve"> denied his request for asylum, and </w:t>
      </w:r>
      <w:r w:rsidR="005B63FE" w:rsidRPr="00FF0E38">
        <w:t>his</w:t>
      </w:r>
      <w:r w:rsidR="00C77FA0" w:rsidRPr="00FF0E38">
        <w:t xml:space="preserve"> sudden and recent political engagement is superficial and does not appear to stem from profound conviction</w:t>
      </w:r>
      <w:r w:rsidR="00C77FA0" w:rsidRPr="002E4F41">
        <w:t>.</w:t>
      </w:r>
    </w:p>
    <w:p w:rsidR="00023F2B" w:rsidRPr="00FF0E38" w:rsidRDefault="00023F2B" w:rsidP="002524E4">
      <w:pPr>
        <w:pStyle w:val="SingleTxtG"/>
        <w:rPr>
          <w:lang w:eastAsia="en-GB"/>
        </w:rPr>
      </w:pPr>
      <w:r w:rsidRPr="00FF0E38">
        <w:t>4.</w:t>
      </w:r>
      <w:r w:rsidR="001E0468" w:rsidRPr="00FF0E38">
        <w:t>7</w:t>
      </w:r>
      <w:r w:rsidRPr="00FF0E38">
        <w:tab/>
        <w:t xml:space="preserve">The State party submits that the complainant’s </w:t>
      </w:r>
      <w:r w:rsidR="004638E4" w:rsidRPr="00FF0E38">
        <w:t xml:space="preserve">entire </w:t>
      </w:r>
      <w:r w:rsidRPr="00FF0E38">
        <w:t xml:space="preserve">claim concerning </w:t>
      </w:r>
      <w:r w:rsidR="004638E4" w:rsidRPr="00FF0E38">
        <w:t xml:space="preserve">his </w:t>
      </w:r>
      <w:r w:rsidRPr="00FF0E38">
        <w:t>risk of persecution in Iran, and particularly his activities in Switzerland, w</w:t>
      </w:r>
      <w:r w:rsidR="008B41B1" w:rsidRPr="00FF0E38">
        <w:t>as</w:t>
      </w:r>
      <w:r w:rsidRPr="00FF0E38">
        <w:t xml:space="preserve"> examined by </w:t>
      </w:r>
      <w:r w:rsidR="00814703" w:rsidRPr="00FF0E38">
        <w:t xml:space="preserve">the competent </w:t>
      </w:r>
      <w:r w:rsidRPr="00FF0E38">
        <w:t xml:space="preserve">Swiss authorities. The complaint </w:t>
      </w:r>
      <w:r w:rsidR="00814703" w:rsidRPr="00FF0E38">
        <w:t xml:space="preserve">submitted </w:t>
      </w:r>
      <w:r w:rsidRPr="00FF0E38">
        <w:t xml:space="preserve">to </w:t>
      </w:r>
      <w:r w:rsidR="00814703" w:rsidRPr="00FF0E38">
        <w:t>the</w:t>
      </w:r>
      <w:r w:rsidRPr="00FF0E38">
        <w:t xml:space="preserve"> Committee does not contain any new </w:t>
      </w:r>
      <w:r w:rsidR="004638E4" w:rsidRPr="00FF0E38">
        <w:t xml:space="preserve">information, </w:t>
      </w:r>
      <w:r w:rsidR="00344CD0" w:rsidRPr="00FF0E38">
        <w:t>or any</w:t>
      </w:r>
      <w:r w:rsidRPr="00FF0E38">
        <w:t xml:space="preserve"> claim</w:t>
      </w:r>
      <w:r w:rsidR="00814703" w:rsidRPr="00FF0E38">
        <w:t>s</w:t>
      </w:r>
      <w:r w:rsidRPr="00FF0E38">
        <w:t xml:space="preserve"> </w:t>
      </w:r>
      <w:r w:rsidR="00344CD0" w:rsidRPr="00FF0E38">
        <w:t xml:space="preserve">as to </w:t>
      </w:r>
      <w:r w:rsidR="00814703" w:rsidRPr="00FF0E38">
        <w:t>shortcomings</w:t>
      </w:r>
      <w:r w:rsidRPr="00FF0E38">
        <w:t xml:space="preserve"> </w:t>
      </w:r>
      <w:r w:rsidR="00344CD0" w:rsidRPr="00FF0E38">
        <w:t xml:space="preserve">in </w:t>
      </w:r>
      <w:r w:rsidR="009E4F57" w:rsidRPr="00FF0E38">
        <w:t xml:space="preserve">the State party’s asylum </w:t>
      </w:r>
      <w:r w:rsidRPr="00FF0E38">
        <w:t xml:space="preserve">procedure. The State party refers to </w:t>
      </w:r>
      <w:r w:rsidR="00994288" w:rsidRPr="00FF0E38">
        <w:t xml:space="preserve">the </w:t>
      </w:r>
      <w:r w:rsidRPr="00FF0E38">
        <w:t xml:space="preserve">Committee’s jurisprudence </w:t>
      </w:r>
      <w:r w:rsidR="00344CD0" w:rsidRPr="00FF0E38">
        <w:t xml:space="preserve">to the effect </w:t>
      </w:r>
      <w:r w:rsidRPr="00FF0E38">
        <w:t>that “</w:t>
      </w:r>
      <w:r w:rsidR="006D1FB2" w:rsidRPr="00FF0E38">
        <w:rPr>
          <w:lang w:eastAsia="en-GB"/>
        </w:rPr>
        <w:t>it is within the purview of the courts of the States parties to the Convention to assess the facts and evidence in a case</w:t>
      </w:r>
      <w:r w:rsidR="00814703" w:rsidRPr="00FF0E38">
        <w:t>”</w:t>
      </w:r>
      <w:r w:rsidR="005C1CF1" w:rsidRPr="00FF0E38">
        <w:t>.</w:t>
      </w:r>
      <w:r w:rsidR="00CD59D1" w:rsidRPr="002E4F41">
        <w:rPr>
          <w:rStyle w:val="FootnoteReference"/>
        </w:rPr>
        <w:footnoteReference w:id="3"/>
      </w:r>
      <w:r w:rsidR="00814703" w:rsidRPr="002E4F41">
        <w:t xml:space="preserve"> In </w:t>
      </w:r>
      <w:r w:rsidR="00994288" w:rsidRPr="00FF0E38">
        <w:t>particular</w:t>
      </w:r>
      <w:r w:rsidR="00814703" w:rsidRPr="00FF0E38">
        <w:t xml:space="preserve">, the Committee </w:t>
      </w:r>
      <w:r w:rsidR="006D1FB2" w:rsidRPr="00FF0E38">
        <w:t xml:space="preserve">should examine </w:t>
      </w:r>
      <w:r w:rsidR="002524E4" w:rsidRPr="00FF0E38">
        <w:t xml:space="preserve">the </w:t>
      </w:r>
      <w:r w:rsidR="006D1FB2" w:rsidRPr="00FF0E38">
        <w:t>fact</w:t>
      </w:r>
      <w:r w:rsidR="00E14FC7" w:rsidRPr="00FF0E38">
        <w:t>s</w:t>
      </w:r>
      <w:r w:rsidR="006D1FB2" w:rsidRPr="00FF0E38">
        <w:t xml:space="preserve"> and evidence </w:t>
      </w:r>
      <w:r w:rsidR="002524E4" w:rsidRPr="00FF0E38">
        <w:t xml:space="preserve">where </w:t>
      </w:r>
      <w:r w:rsidR="006D1FB2" w:rsidRPr="00FF0E38">
        <w:t>it can be established that “</w:t>
      </w:r>
      <w:r w:rsidR="006D1FB2" w:rsidRPr="00FF0E38">
        <w:rPr>
          <w:lang w:eastAsia="en-GB"/>
        </w:rPr>
        <w:t xml:space="preserve">the evidence was assessed in a </w:t>
      </w:r>
      <w:r w:rsidR="00524C8C" w:rsidRPr="00FF0E38">
        <w:rPr>
          <w:lang w:eastAsia="en-GB"/>
        </w:rPr>
        <w:t xml:space="preserve">patently </w:t>
      </w:r>
      <w:r w:rsidR="006D1FB2" w:rsidRPr="00FF0E38">
        <w:rPr>
          <w:lang w:eastAsia="en-GB"/>
        </w:rPr>
        <w:t xml:space="preserve">arbitrary manner or </w:t>
      </w:r>
      <w:r w:rsidR="000413CF" w:rsidRPr="00FF0E38">
        <w:rPr>
          <w:lang w:eastAsia="en-GB"/>
        </w:rPr>
        <w:t xml:space="preserve">one that </w:t>
      </w:r>
      <w:r w:rsidR="006D1FB2" w:rsidRPr="00FF0E38">
        <w:rPr>
          <w:lang w:eastAsia="en-GB"/>
        </w:rPr>
        <w:t>amounted to a miscarriage of justice”</w:t>
      </w:r>
      <w:r w:rsidR="00CD59D1" w:rsidRPr="002E4F41">
        <w:rPr>
          <w:rStyle w:val="FootnoteReference"/>
          <w:lang w:eastAsia="en-GB"/>
        </w:rPr>
        <w:footnoteReference w:id="4"/>
      </w:r>
      <w:r w:rsidR="00994288" w:rsidRPr="002E4F41">
        <w:rPr>
          <w:lang w:eastAsia="en-GB"/>
        </w:rPr>
        <w:t xml:space="preserve"> In the case in question, the </w:t>
      </w:r>
      <w:r w:rsidR="00344CD0" w:rsidRPr="00FF0E38">
        <w:rPr>
          <w:lang w:eastAsia="en-GB"/>
        </w:rPr>
        <w:t xml:space="preserve">facts </w:t>
      </w:r>
      <w:r w:rsidR="00994288" w:rsidRPr="00FF0E38">
        <w:rPr>
          <w:lang w:eastAsia="en-GB"/>
        </w:rPr>
        <w:t xml:space="preserve">submitted by the complainant do not </w:t>
      </w:r>
      <w:r w:rsidR="00344CD0" w:rsidRPr="00FF0E38">
        <w:rPr>
          <w:lang w:eastAsia="en-GB"/>
        </w:rPr>
        <w:t xml:space="preserve">show </w:t>
      </w:r>
      <w:r w:rsidR="00994288" w:rsidRPr="00FF0E38">
        <w:rPr>
          <w:lang w:eastAsia="en-GB"/>
        </w:rPr>
        <w:t>any such irregularities</w:t>
      </w:r>
      <w:r w:rsidR="00E8133C" w:rsidRPr="00FF0E38">
        <w:rPr>
          <w:lang w:eastAsia="en-GB"/>
        </w:rPr>
        <w:t>.</w:t>
      </w:r>
    </w:p>
    <w:p w:rsidR="00B243D4" w:rsidRPr="00FF0E38" w:rsidRDefault="00E8133C" w:rsidP="00491979">
      <w:pPr>
        <w:pStyle w:val="SingleTxtG"/>
        <w:rPr>
          <w:lang w:eastAsia="en-GB"/>
        </w:rPr>
      </w:pPr>
      <w:r w:rsidRPr="00FF0E38">
        <w:rPr>
          <w:lang w:eastAsia="en-GB"/>
        </w:rPr>
        <w:t>4.</w:t>
      </w:r>
      <w:r w:rsidR="001E0468" w:rsidRPr="00FF0E38">
        <w:rPr>
          <w:lang w:eastAsia="en-GB"/>
        </w:rPr>
        <w:t>8</w:t>
      </w:r>
      <w:r w:rsidRPr="00FF0E38">
        <w:rPr>
          <w:lang w:eastAsia="en-GB"/>
        </w:rPr>
        <w:tab/>
        <w:t>The State party also observes that the complainant refer</w:t>
      </w:r>
      <w:r w:rsidR="00B243D4" w:rsidRPr="00FF0E38">
        <w:rPr>
          <w:lang w:eastAsia="en-GB"/>
        </w:rPr>
        <w:t>s</w:t>
      </w:r>
      <w:r w:rsidRPr="00FF0E38">
        <w:rPr>
          <w:lang w:eastAsia="en-GB"/>
        </w:rPr>
        <w:t xml:space="preserve"> to the </w:t>
      </w:r>
      <w:r w:rsidR="004638E4" w:rsidRPr="00FF0E38">
        <w:rPr>
          <w:lang w:eastAsia="en-GB"/>
        </w:rPr>
        <w:t xml:space="preserve">decision of the </w:t>
      </w:r>
      <w:r w:rsidRPr="00FF0E38">
        <w:rPr>
          <w:lang w:eastAsia="en-GB"/>
        </w:rPr>
        <w:t xml:space="preserve">European Court </w:t>
      </w:r>
      <w:r w:rsidR="00491979" w:rsidRPr="00FF0E38">
        <w:rPr>
          <w:lang w:eastAsia="en-GB"/>
        </w:rPr>
        <w:t xml:space="preserve">of </w:t>
      </w:r>
      <w:r w:rsidRPr="00FF0E38">
        <w:rPr>
          <w:lang w:eastAsia="en-GB"/>
        </w:rPr>
        <w:t xml:space="preserve">Human Rights </w:t>
      </w:r>
      <w:r w:rsidR="00B243D4" w:rsidRPr="00FF0E38">
        <w:rPr>
          <w:lang w:eastAsia="en-GB"/>
        </w:rPr>
        <w:t xml:space="preserve">in the case </w:t>
      </w:r>
      <w:r w:rsidR="002524E4" w:rsidRPr="00FF0E38">
        <w:rPr>
          <w:lang w:eastAsia="en-GB"/>
        </w:rPr>
        <w:t xml:space="preserve">of </w:t>
      </w:r>
      <w:r w:rsidR="00B243D4" w:rsidRPr="00FF0E38">
        <w:rPr>
          <w:i/>
          <w:lang w:eastAsia="en-GB"/>
        </w:rPr>
        <w:t xml:space="preserve">R.C. </w:t>
      </w:r>
      <w:r w:rsidR="00B243D4" w:rsidRPr="00FF0E38">
        <w:rPr>
          <w:iCs/>
          <w:lang w:eastAsia="en-GB"/>
        </w:rPr>
        <w:t>v.</w:t>
      </w:r>
      <w:r w:rsidR="00B243D4" w:rsidRPr="002E4F41">
        <w:rPr>
          <w:i/>
          <w:lang w:eastAsia="en-GB"/>
        </w:rPr>
        <w:t xml:space="preserve"> Sweden</w:t>
      </w:r>
      <w:r w:rsidR="004638E4" w:rsidRPr="00FF0E38">
        <w:rPr>
          <w:iCs/>
          <w:lang w:eastAsia="en-GB"/>
        </w:rPr>
        <w:t>.</w:t>
      </w:r>
      <w:r w:rsidR="00CD59D1" w:rsidRPr="002E4F41">
        <w:rPr>
          <w:rStyle w:val="FootnoteReference"/>
          <w:iCs/>
          <w:lang w:eastAsia="en-GB"/>
        </w:rPr>
        <w:footnoteReference w:id="5"/>
      </w:r>
      <w:r w:rsidR="00B243D4" w:rsidRPr="002E4F41">
        <w:rPr>
          <w:lang w:eastAsia="en-GB"/>
        </w:rPr>
        <w:t xml:space="preserve"> </w:t>
      </w:r>
      <w:r w:rsidR="004638E4" w:rsidRPr="00FF0E38">
        <w:rPr>
          <w:lang w:eastAsia="en-GB"/>
        </w:rPr>
        <w:t>H</w:t>
      </w:r>
      <w:r w:rsidR="00B243D4" w:rsidRPr="00FF0E38">
        <w:rPr>
          <w:lang w:eastAsia="en-GB"/>
        </w:rPr>
        <w:t xml:space="preserve">owever, in </w:t>
      </w:r>
      <w:r w:rsidR="004638E4" w:rsidRPr="00FF0E38">
        <w:rPr>
          <w:lang w:eastAsia="en-GB"/>
        </w:rPr>
        <w:t>that</w:t>
      </w:r>
      <w:r w:rsidR="00B243D4" w:rsidRPr="00FF0E38">
        <w:rPr>
          <w:lang w:eastAsia="en-GB"/>
        </w:rPr>
        <w:t xml:space="preserve"> case the applicant </w:t>
      </w:r>
      <w:r w:rsidR="004638E4" w:rsidRPr="00FF0E38">
        <w:rPr>
          <w:lang w:eastAsia="en-GB"/>
        </w:rPr>
        <w:t xml:space="preserve">was able to </w:t>
      </w:r>
      <w:r w:rsidR="00B243D4" w:rsidRPr="00FF0E38">
        <w:rPr>
          <w:lang w:eastAsia="en-GB"/>
        </w:rPr>
        <w:t xml:space="preserve">prove his ill-treatment due to his political engagement in Iran, and therefore the Court declared </w:t>
      </w:r>
      <w:r w:rsidR="004638E4" w:rsidRPr="00FF0E38">
        <w:rPr>
          <w:lang w:eastAsia="en-GB"/>
        </w:rPr>
        <w:t xml:space="preserve">that there would be a </w:t>
      </w:r>
      <w:r w:rsidR="00B243D4" w:rsidRPr="00FF0E38">
        <w:rPr>
          <w:lang w:eastAsia="en-GB"/>
        </w:rPr>
        <w:t xml:space="preserve">violation of the prohibition of torture in </w:t>
      </w:r>
      <w:r w:rsidR="004638E4" w:rsidRPr="00FF0E38">
        <w:rPr>
          <w:lang w:eastAsia="en-GB"/>
        </w:rPr>
        <w:t xml:space="preserve">the event </w:t>
      </w:r>
      <w:r w:rsidR="00B243D4" w:rsidRPr="00FF0E38">
        <w:rPr>
          <w:lang w:eastAsia="en-GB"/>
        </w:rPr>
        <w:t>of his forced return.</w:t>
      </w:r>
    </w:p>
    <w:p w:rsidR="00D036B5" w:rsidRPr="00FF0E38" w:rsidRDefault="00D036B5" w:rsidP="00D036B5">
      <w:pPr>
        <w:pStyle w:val="H23G"/>
      </w:pPr>
      <w:r w:rsidRPr="00FF0E38">
        <w:tab/>
      </w:r>
      <w:r w:rsidRPr="00FF0E38">
        <w:tab/>
        <w:t>Complainant</w:t>
      </w:r>
      <w:r w:rsidR="00512C0A" w:rsidRPr="00FF0E38">
        <w:t>’</w:t>
      </w:r>
      <w:r w:rsidRPr="00FF0E38">
        <w:t>s comments on the State party</w:t>
      </w:r>
      <w:r w:rsidR="00512C0A" w:rsidRPr="00FF0E38">
        <w:t>’</w:t>
      </w:r>
      <w:r w:rsidRPr="00FF0E38">
        <w:t>s observations</w:t>
      </w:r>
    </w:p>
    <w:p w:rsidR="00D036B5" w:rsidRPr="00FF0E38" w:rsidRDefault="00D036B5" w:rsidP="00CE2348">
      <w:pPr>
        <w:pStyle w:val="SingleTxtG"/>
      </w:pPr>
      <w:r w:rsidRPr="00FF0E38">
        <w:t>5.</w:t>
      </w:r>
      <w:r w:rsidR="00346714" w:rsidRPr="00FF0E38">
        <w:t>1</w:t>
      </w:r>
      <w:r w:rsidR="005F3830" w:rsidRPr="00FF0E38">
        <w:tab/>
      </w:r>
      <w:r w:rsidR="00AF236C" w:rsidRPr="00FF0E38">
        <w:t xml:space="preserve">In his comments of 10 September 2012, the complainant contests the State party’s </w:t>
      </w:r>
      <w:r w:rsidR="00A64AB6" w:rsidRPr="00FF0E38">
        <w:t>contention</w:t>
      </w:r>
      <w:r w:rsidR="00AF236C" w:rsidRPr="00FF0E38">
        <w:t xml:space="preserve"> that he </w:t>
      </w:r>
      <w:r w:rsidR="006A4F82" w:rsidRPr="00FF0E38">
        <w:t xml:space="preserve">had </w:t>
      </w:r>
      <w:r w:rsidR="00AF236C" w:rsidRPr="00FF0E38">
        <w:t xml:space="preserve">not </w:t>
      </w:r>
      <w:r w:rsidR="006A4F82" w:rsidRPr="00FF0E38">
        <w:t xml:space="preserve">demonstrated </w:t>
      </w:r>
      <w:r w:rsidR="00085153" w:rsidRPr="00FF0E38">
        <w:t xml:space="preserve">that he </w:t>
      </w:r>
      <w:r w:rsidR="006A4F82" w:rsidRPr="00FF0E38">
        <w:t xml:space="preserve">would </w:t>
      </w:r>
      <w:r w:rsidR="00085153" w:rsidRPr="00FF0E38">
        <w:t>be at a foreseeable, real and personal risk of being subject</w:t>
      </w:r>
      <w:r w:rsidR="006A4F82" w:rsidRPr="00FF0E38">
        <w:t>ed</w:t>
      </w:r>
      <w:r w:rsidR="00085153" w:rsidRPr="00FF0E38">
        <w:t xml:space="preserve"> to treatment contrary to the Convention if he </w:t>
      </w:r>
      <w:r w:rsidR="006A4F82" w:rsidRPr="00FF0E38">
        <w:t xml:space="preserve">were </w:t>
      </w:r>
      <w:r w:rsidR="00085153" w:rsidRPr="00FF0E38">
        <w:t>returned to Iran. He reiterates that even ordinary</w:t>
      </w:r>
      <w:r w:rsidR="00CE2348" w:rsidRPr="00FF0E38">
        <w:t>,</w:t>
      </w:r>
      <w:r w:rsidR="00085153" w:rsidRPr="00FF0E38">
        <w:t xml:space="preserve"> low-level, peaceful anti-</w:t>
      </w:r>
      <w:r w:rsidR="009E4F57" w:rsidRPr="00FF0E38">
        <w:t>regime</w:t>
      </w:r>
      <w:r w:rsidR="00085153" w:rsidRPr="00FF0E38">
        <w:t xml:space="preserve"> demonstrators </w:t>
      </w:r>
      <w:r w:rsidR="004638E4" w:rsidRPr="00FF0E38">
        <w:t>and</w:t>
      </w:r>
      <w:r w:rsidR="00085153" w:rsidRPr="00FF0E38">
        <w:t xml:space="preserve"> rejected Iranian asylum seekers face</w:t>
      </w:r>
      <w:r w:rsidR="004638E4" w:rsidRPr="00FF0E38">
        <w:t>d</w:t>
      </w:r>
      <w:r w:rsidR="00085153" w:rsidRPr="00FF0E38">
        <w:t xml:space="preserve"> a risk of treatment contrary to the Convention</w:t>
      </w:r>
      <w:r w:rsidR="005C1CF1" w:rsidRPr="00FF0E38">
        <w:t>.</w:t>
      </w:r>
      <w:r w:rsidR="00E745BA" w:rsidRPr="002E4F41">
        <w:rPr>
          <w:rStyle w:val="FootnoteReference"/>
        </w:rPr>
        <w:footnoteReference w:id="6"/>
      </w:r>
      <w:r w:rsidR="005F3830" w:rsidRPr="002E4F41">
        <w:t xml:space="preserve"> </w:t>
      </w:r>
      <w:r w:rsidR="00346714" w:rsidRPr="00FF0E38">
        <w:t xml:space="preserve">Given his high-level political activity in ADR, he would face </w:t>
      </w:r>
      <w:r w:rsidR="006A4F82" w:rsidRPr="00FF0E38">
        <w:t xml:space="preserve">an </w:t>
      </w:r>
      <w:r w:rsidR="00346714" w:rsidRPr="00FF0E38">
        <w:t>even higher risk of persecution.</w:t>
      </w:r>
    </w:p>
    <w:p w:rsidR="00346714" w:rsidRPr="00FF0E38" w:rsidRDefault="00346714" w:rsidP="0026015A">
      <w:pPr>
        <w:pStyle w:val="SingleTxtG"/>
      </w:pPr>
      <w:r w:rsidRPr="00FF0E38">
        <w:lastRenderedPageBreak/>
        <w:t>5.2</w:t>
      </w:r>
      <w:r w:rsidRPr="00FF0E38">
        <w:tab/>
      </w:r>
      <w:r w:rsidR="009E4F57" w:rsidRPr="00FF0E38">
        <w:t>He</w:t>
      </w:r>
      <w:r w:rsidRPr="00FF0E38">
        <w:t xml:space="preserve"> further submits that he mentioned the beating </w:t>
      </w:r>
      <w:r w:rsidR="006A4F82" w:rsidRPr="00FF0E38">
        <w:t xml:space="preserve">incident </w:t>
      </w:r>
      <w:r w:rsidRPr="00FF0E38">
        <w:t>only during the first asylum procedure since th</w:t>
      </w:r>
      <w:r w:rsidR="00E14FC7" w:rsidRPr="00FF0E38">
        <w:t>e</w:t>
      </w:r>
      <w:r w:rsidRPr="00FF0E38">
        <w:t xml:space="preserve"> subsequent asylum procedures related to the new facts only. Despite the fact that </w:t>
      </w:r>
      <w:r w:rsidR="006A4F82" w:rsidRPr="00FF0E38">
        <w:t>did</w:t>
      </w:r>
      <w:r w:rsidRPr="00FF0E38">
        <w:t xml:space="preserve"> not mention the beating in his complaint to the Committee, </w:t>
      </w:r>
      <w:r w:rsidR="006A4F82" w:rsidRPr="00FF0E38">
        <w:t xml:space="preserve">the </w:t>
      </w:r>
      <w:r w:rsidRPr="00FF0E38">
        <w:t xml:space="preserve">incident </w:t>
      </w:r>
      <w:r w:rsidR="006A4F82" w:rsidRPr="00FF0E38">
        <w:t>must</w:t>
      </w:r>
      <w:r w:rsidRPr="00FF0E38">
        <w:t xml:space="preserve"> be considered one of the factors that contributed to the political sensiti</w:t>
      </w:r>
      <w:r w:rsidR="006A4F82" w:rsidRPr="00FF0E38">
        <w:t>z</w:t>
      </w:r>
      <w:r w:rsidRPr="00FF0E38">
        <w:t xml:space="preserve">ation of the Iranian authorities towards </w:t>
      </w:r>
      <w:r w:rsidR="00A64AB6" w:rsidRPr="00FF0E38">
        <w:t>him</w:t>
      </w:r>
      <w:r w:rsidRPr="00FF0E38">
        <w:t xml:space="preserve">. It was also one of the factors that </w:t>
      </w:r>
      <w:r w:rsidR="006A4F82" w:rsidRPr="00FF0E38">
        <w:t xml:space="preserve">contributed to </w:t>
      </w:r>
      <w:r w:rsidRPr="00FF0E38">
        <w:t>form</w:t>
      </w:r>
      <w:r w:rsidR="006A4F82" w:rsidRPr="00FF0E38">
        <w:t>ing</w:t>
      </w:r>
      <w:r w:rsidRPr="00FF0E38">
        <w:t xml:space="preserve"> </w:t>
      </w:r>
      <w:r w:rsidR="00A64AB6" w:rsidRPr="00FF0E38">
        <w:t xml:space="preserve">his </w:t>
      </w:r>
      <w:r w:rsidRPr="00FF0E38">
        <w:t>political opinion</w:t>
      </w:r>
      <w:r w:rsidR="006A4F82" w:rsidRPr="00FF0E38">
        <w:t>s</w:t>
      </w:r>
      <w:r w:rsidRPr="00FF0E38">
        <w:t>.</w:t>
      </w:r>
    </w:p>
    <w:p w:rsidR="00346714" w:rsidRPr="00FF0E38" w:rsidRDefault="00346714" w:rsidP="00474AD8">
      <w:pPr>
        <w:pStyle w:val="SingleTxtG"/>
      </w:pPr>
      <w:r w:rsidRPr="00FF0E38">
        <w:t>5.3</w:t>
      </w:r>
      <w:r w:rsidRPr="00FF0E38">
        <w:tab/>
      </w:r>
      <w:r w:rsidR="00F91E95" w:rsidRPr="00FF0E38">
        <w:t xml:space="preserve">The complainant maintains that he was not politically active in Iran </w:t>
      </w:r>
      <w:r w:rsidR="00A64AB6" w:rsidRPr="00FF0E38">
        <w:t xml:space="preserve">owing </w:t>
      </w:r>
      <w:r w:rsidR="00F91E95" w:rsidRPr="00FF0E38">
        <w:t xml:space="preserve">to </w:t>
      </w:r>
      <w:r w:rsidR="00E14FC7" w:rsidRPr="00FF0E38">
        <w:t xml:space="preserve">the </w:t>
      </w:r>
      <w:r w:rsidR="00F91E95" w:rsidRPr="00FF0E38">
        <w:t xml:space="preserve">intense surveillance of political activity by the </w:t>
      </w:r>
      <w:r w:rsidR="0029537D" w:rsidRPr="00FF0E38">
        <w:t>authorities</w:t>
      </w:r>
      <w:r w:rsidR="00F91E95" w:rsidRPr="00FF0E38">
        <w:t xml:space="preserve"> and the </w:t>
      </w:r>
      <w:r w:rsidR="00500402" w:rsidRPr="00FF0E38">
        <w:t>concomitant</w:t>
      </w:r>
      <w:r w:rsidR="00473630" w:rsidRPr="00FF0E38">
        <w:t xml:space="preserve"> severe </w:t>
      </w:r>
      <w:r w:rsidR="00F91E95" w:rsidRPr="00FF0E38">
        <w:t xml:space="preserve">repression. The fact that he was not politically active in Iran does not </w:t>
      </w:r>
      <w:r w:rsidR="00672B7F" w:rsidRPr="00FF0E38">
        <w:t xml:space="preserve">therefore </w:t>
      </w:r>
      <w:r w:rsidR="00F91E95" w:rsidRPr="00FF0E38">
        <w:t xml:space="preserve">give any indication </w:t>
      </w:r>
      <w:r w:rsidR="00500402" w:rsidRPr="00FF0E38">
        <w:t xml:space="preserve">as to </w:t>
      </w:r>
      <w:r w:rsidR="00F91E95" w:rsidRPr="00FF0E38">
        <w:t xml:space="preserve">the extent of his political </w:t>
      </w:r>
      <w:r w:rsidR="0029537D" w:rsidRPr="00FF0E38">
        <w:t>opinion</w:t>
      </w:r>
      <w:r w:rsidR="00F91E95" w:rsidRPr="00FF0E38">
        <w:t xml:space="preserve">s </w:t>
      </w:r>
      <w:r w:rsidR="00543007" w:rsidRPr="00FF0E38">
        <w:t xml:space="preserve">critical of </w:t>
      </w:r>
      <w:r w:rsidR="00F91E95" w:rsidRPr="00FF0E38">
        <w:t xml:space="preserve">the Iranian </w:t>
      </w:r>
      <w:r w:rsidR="0029537D" w:rsidRPr="00FF0E38">
        <w:t>regime</w:t>
      </w:r>
      <w:r w:rsidR="00F91E95" w:rsidRPr="00FF0E38">
        <w:t xml:space="preserve"> and his political activities</w:t>
      </w:r>
      <w:r w:rsidR="00500402" w:rsidRPr="00FF0E38">
        <w:t xml:space="preserve"> in exile</w:t>
      </w:r>
      <w:r w:rsidR="00F91E95" w:rsidRPr="00FF0E38">
        <w:t xml:space="preserve">. </w:t>
      </w:r>
      <w:r w:rsidR="00011DC1" w:rsidRPr="00FF0E38">
        <w:t xml:space="preserve">With respect to his </w:t>
      </w:r>
      <w:r w:rsidR="00543007" w:rsidRPr="00FF0E38">
        <w:t xml:space="preserve">involvement with </w:t>
      </w:r>
      <w:r w:rsidR="00011DC1" w:rsidRPr="00FF0E38">
        <w:t>ADR, he submits that government and other reports</w:t>
      </w:r>
      <w:r w:rsidR="00011DC1" w:rsidRPr="002E4F41">
        <w:t xml:space="preserve"> indicate that even low</w:t>
      </w:r>
      <w:r w:rsidR="00500402" w:rsidRPr="00FF0E38">
        <w:t>-</w:t>
      </w:r>
      <w:r w:rsidR="00011DC1" w:rsidRPr="00FF0E38">
        <w:t xml:space="preserve">level political activity against the </w:t>
      </w:r>
      <w:r w:rsidR="0029537D" w:rsidRPr="00FF0E38">
        <w:t>regime</w:t>
      </w:r>
      <w:r w:rsidR="00011DC1" w:rsidRPr="00FF0E38">
        <w:t xml:space="preserve"> may lead to a real and personal risk of persecution. </w:t>
      </w:r>
      <w:r w:rsidR="00F91E95" w:rsidRPr="00FF0E38">
        <w:t>He also submits that</w:t>
      </w:r>
      <w:r w:rsidR="00500402" w:rsidRPr="00FF0E38">
        <w:t>,</w:t>
      </w:r>
      <w:r w:rsidR="00F91E95" w:rsidRPr="00FF0E38">
        <w:t xml:space="preserve"> given the </w:t>
      </w:r>
      <w:r w:rsidR="009240AB" w:rsidRPr="00FF0E38">
        <w:t>strong</w:t>
      </w:r>
      <w:r w:rsidR="00F91E95" w:rsidRPr="00FF0E38">
        <w:t xml:space="preserve"> internet presence</w:t>
      </w:r>
      <w:r w:rsidR="00500402" w:rsidRPr="00FF0E38">
        <w:t xml:space="preserve"> of ADR</w:t>
      </w:r>
      <w:r w:rsidR="00F91E95" w:rsidRPr="00FF0E38">
        <w:t>, it cannot</w:t>
      </w:r>
      <w:r w:rsidR="00011DC1" w:rsidRPr="00FF0E38">
        <w:t xml:space="preserve"> be assumed that the organization is not known outside of Switzerland.</w:t>
      </w:r>
    </w:p>
    <w:p w:rsidR="00F91E95" w:rsidRPr="00FF0E38" w:rsidRDefault="00F91E95" w:rsidP="00A64AB6">
      <w:pPr>
        <w:pStyle w:val="SingleTxtG"/>
      </w:pPr>
      <w:r w:rsidRPr="00FF0E38">
        <w:t>5.4</w:t>
      </w:r>
      <w:r w:rsidRPr="00FF0E38">
        <w:tab/>
        <w:t xml:space="preserve">The complainant </w:t>
      </w:r>
      <w:r w:rsidR="00765E88" w:rsidRPr="00FF0E38">
        <w:t>reiterates</w:t>
      </w:r>
      <w:r w:rsidRPr="00FF0E38">
        <w:t xml:space="preserve"> that h</w:t>
      </w:r>
      <w:r w:rsidR="00765E88" w:rsidRPr="00FF0E38">
        <w:t xml:space="preserve">e </w:t>
      </w:r>
      <w:r w:rsidR="00672B7F" w:rsidRPr="00FF0E38">
        <w:t xml:space="preserve">had had </w:t>
      </w:r>
      <w:r w:rsidRPr="00FF0E38">
        <w:t>extra-marital relations with the wife of a mullah</w:t>
      </w:r>
      <w:r w:rsidR="00685E71" w:rsidRPr="00FF0E38">
        <w:t xml:space="preserve"> </w:t>
      </w:r>
      <w:r w:rsidRPr="00FF0E38">
        <w:t xml:space="preserve">and </w:t>
      </w:r>
      <w:r w:rsidR="00672B7F" w:rsidRPr="00FF0E38">
        <w:t xml:space="preserve">that that </w:t>
      </w:r>
      <w:r w:rsidRPr="00FF0E38">
        <w:t>increase</w:t>
      </w:r>
      <w:r w:rsidR="00672B7F" w:rsidRPr="00FF0E38">
        <w:t>d</w:t>
      </w:r>
      <w:r w:rsidRPr="00FF0E38">
        <w:t xml:space="preserve"> the risk of his </w:t>
      </w:r>
      <w:r w:rsidR="00672B7F" w:rsidRPr="00FF0E38">
        <w:t xml:space="preserve">being </w:t>
      </w:r>
      <w:r w:rsidRPr="00FF0E38">
        <w:t>persecut</w:t>
      </w:r>
      <w:r w:rsidR="00672B7F" w:rsidRPr="00FF0E38">
        <w:t>ed</w:t>
      </w:r>
      <w:r w:rsidRPr="00FF0E38">
        <w:t xml:space="preserve"> in Iran. The fact that the Swiss authorities did not consider </w:t>
      </w:r>
      <w:r w:rsidR="00A64AB6" w:rsidRPr="00FF0E38">
        <w:t xml:space="preserve">that </w:t>
      </w:r>
      <w:r w:rsidR="00473630" w:rsidRPr="00FF0E38">
        <w:t xml:space="preserve">to be </w:t>
      </w:r>
      <w:r w:rsidRPr="00FF0E38">
        <w:t xml:space="preserve">credible </w:t>
      </w:r>
      <w:r w:rsidR="00672B7F" w:rsidRPr="00FF0E38">
        <w:t xml:space="preserve">did </w:t>
      </w:r>
      <w:r w:rsidRPr="00FF0E38">
        <w:t xml:space="preserve">not </w:t>
      </w:r>
      <w:r w:rsidR="00473630" w:rsidRPr="00FF0E38">
        <w:t xml:space="preserve">reduce </w:t>
      </w:r>
      <w:r w:rsidRPr="00FF0E38">
        <w:t>the current risk of persecution.</w:t>
      </w:r>
    </w:p>
    <w:p w:rsidR="004A3664" w:rsidRPr="00FF0E38" w:rsidRDefault="004A3664" w:rsidP="00066D13">
      <w:pPr>
        <w:pStyle w:val="SingleTxtG"/>
      </w:pPr>
      <w:r w:rsidRPr="00FF0E38">
        <w:t>5.5</w:t>
      </w:r>
      <w:r w:rsidRPr="00FF0E38">
        <w:tab/>
      </w:r>
      <w:r w:rsidR="00765E88" w:rsidRPr="00FF0E38">
        <w:t>He</w:t>
      </w:r>
      <w:r w:rsidRPr="00FF0E38">
        <w:t xml:space="preserve"> also contests the State party</w:t>
      </w:r>
      <w:r w:rsidR="00A64AB6" w:rsidRPr="00FF0E38">
        <w:t>’s</w:t>
      </w:r>
      <w:r w:rsidRPr="00FF0E38">
        <w:t xml:space="preserve"> </w:t>
      </w:r>
      <w:r w:rsidR="00A64AB6" w:rsidRPr="00FF0E38">
        <w:t xml:space="preserve">contention </w:t>
      </w:r>
      <w:r w:rsidRPr="00FF0E38">
        <w:t xml:space="preserve">that his tasks in ADR are merely administrative. He </w:t>
      </w:r>
      <w:r w:rsidR="008B41B1" w:rsidRPr="00FF0E38">
        <w:t xml:space="preserve">maintains that he </w:t>
      </w:r>
      <w:r w:rsidRPr="00FF0E38">
        <w:t xml:space="preserve">takes part in meetings of the </w:t>
      </w:r>
      <w:r w:rsidR="00765E88" w:rsidRPr="00FF0E38">
        <w:t>E</w:t>
      </w:r>
      <w:r w:rsidRPr="00FF0E38">
        <w:t xml:space="preserve">xecutive </w:t>
      </w:r>
      <w:r w:rsidR="00765E88" w:rsidRPr="00FF0E38">
        <w:t>C</w:t>
      </w:r>
      <w:r w:rsidRPr="00FF0E38">
        <w:t xml:space="preserve">ommittee, is responsible for the recruitment of new members in his canton and regularly visits asylum </w:t>
      </w:r>
      <w:r w:rsidR="009C2A1C" w:rsidRPr="00FF0E38">
        <w:t>centres</w:t>
      </w:r>
      <w:r w:rsidR="009C2A1C" w:rsidRPr="002E4F41">
        <w:t>.</w:t>
      </w:r>
      <w:r w:rsidRPr="00FF0E38">
        <w:t xml:space="preserve"> He maintains that he joined the ADR shortly after its foundation and has been a very active member </w:t>
      </w:r>
      <w:r w:rsidR="00A64AB6" w:rsidRPr="00FF0E38">
        <w:t xml:space="preserve">over </w:t>
      </w:r>
      <w:r w:rsidRPr="00FF0E38">
        <w:t xml:space="preserve">the last six years. </w:t>
      </w:r>
      <w:r w:rsidR="00765E88" w:rsidRPr="00FF0E38">
        <w:t>He further</w:t>
      </w:r>
      <w:r w:rsidRPr="00FF0E38">
        <w:t xml:space="preserve"> refutes the State party’s observation that ADR is a diffuse movement and th</w:t>
      </w:r>
      <w:r w:rsidR="00464A36" w:rsidRPr="00FF0E38">
        <w:t>at</w:t>
      </w:r>
      <w:r w:rsidRPr="00FF0E38">
        <w:t xml:space="preserve"> most of its members hold high positions. He maintains that</w:t>
      </w:r>
      <w:r w:rsidR="00672B7F" w:rsidRPr="00FF0E38">
        <w:t>,</w:t>
      </w:r>
      <w:r w:rsidRPr="00FF0E38">
        <w:t xml:space="preserve"> beside the </w:t>
      </w:r>
      <w:r w:rsidR="00765E88" w:rsidRPr="00FF0E38">
        <w:t>E</w:t>
      </w:r>
      <w:r w:rsidRPr="00FF0E38">
        <w:t xml:space="preserve">xecutive </w:t>
      </w:r>
      <w:r w:rsidR="00765E88" w:rsidRPr="00FF0E38">
        <w:t>C</w:t>
      </w:r>
      <w:r w:rsidRPr="00FF0E38">
        <w:t>ommittee and the heads of the canton</w:t>
      </w:r>
      <w:r w:rsidR="003203E8" w:rsidRPr="00FF0E38">
        <w:t xml:space="preserve"> branche</w:t>
      </w:r>
      <w:r w:rsidRPr="00FF0E38">
        <w:t xml:space="preserve">s, there are only a few </w:t>
      </w:r>
      <w:r w:rsidR="00A64AB6" w:rsidRPr="00FF0E38">
        <w:t xml:space="preserve">other </w:t>
      </w:r>
      <w:r w:rsidRPr="00FF0E38">
        <w:t>important roles. Many of th</w:t>
      </w:r>
      <w:r w:rsidR="00672B7F" w:rsidRPr="00FF0E38">
        <w:t>o</w:t>
      </w:r>
      <w:r w:rsidRPr="00FF0E38">
        <w:t xml:space="preserve">se positions </w:t>
      </w:r>
      <w:r w:rsidR="00672B7F" w:rsidRPr="00FF0E38">
        <w:t xml:space="preserve">have been </w:t>
      </w:r>
      <w:r w:rsidR="00066D13" w:rsidRPr="00FF0E38">
        <w:t xml:space="preserve">held </w:t>
      </w:r>
      <w:r w:rsidRPr="00FF0E38">
        <w:t xml:space="preserve">for years by people who already have refugee status </w:t>
      </w:r>
      <w:r w:rsidR="008B41B1" w:rsidRPr="00FF0E38">
        <w:t xml:space="preserve">but nevertheless </w:t>
      </w:r>
      <w:r w:rsidRPr="00FF0E38">
        <w:t>continue to campaign and demonstrate.</w:t>
      </w:r>
    </w:p>
    <w:p w:rsidR="00D036B5" w:rsidRPr="00FF0E38" w:rsidRDefault="005C1CF1" w:rsidP="005C1CF1">
      <w:pPr>
        <w:pStyle w:val="H23G"/>
      </w:pPr>
      <w:r w:rsidRPr="00FF0E38">
        <w:tab/>
      </w:r>
      <w:r w:rsidRPr="00FF0E38">
        <w:tab/>
      </w:r>
      <w:r w:rsidR="00D036B5" w:rsidRPr="00FF0E38">
        <w:t>Issues and proceedings before the Committee</w:t>
      </w:r>
    </w:p>
    <w:p w:rsidR="00D036B5" w:rsidRPr="00FF0E38" w:rsidRDefault="00D036B5" w:rsidP="00D036B5">
      <w:pPr>
        <w:pStyle w:val="H4G"/>
      </w:pPr>
      <w:r w:rsidRPr="00FF0E38">
        <w:tab/>
      </w:r>
      <w:r w:rsidRPr="00FF0E38">
        <w:tab/>
        <w:t>Consideration of admissibility</w:t>
      </w:r>
    </w:p>
    <w:p w:rsidR="00D036B5" w:rsidRPr="00FF0E38" w:rsidRDefault="00D036B5" w:rsidP="005C1CF1">
      <w:pPr>
        <w:pStyle w:val="SingleTxtG"/>
      </w:pPr>
      <w:r w:rsidRPr="00FF0E38">
        <w:t>6.1</w:t>
      </w:r>
      <w:r w:rsidRPr="00FF0E38">
        <w:tab/>
      </w:r>
      <w:r w:rsidR="00E9580A" w:rsidRPr="00FF0E38">
        <w:t xml:space="preserve">Before considering any claim contained in a complaint, the Committee against Torture must decide whether or not it is admissible under </w:t>
      </w:r>
      <w:r w:rsidR="0039490E" w:rsidRPr="00FF0E38">
        <w:t>article </w:t>
      </w:r>
      <w:r w:rsidR="00E9580A" w:rsidRPr="00FF0E38">
        <w:t xml:space="preserve">22 of the Convention. </w:t>
      </w:r>
      <w:r w:rsidRPr="00FF0E38">
        <w:t xml:space="preserve">The Committee has ascertained, as it is required to do under </w:t>
      </w:r>
      <w:r w:rsidR="0039490E" w:rsidRPr="00FF0E38">
        <w:t>article </w:t>
      </w:r>
      <w:r w:rsidRPr="00FF0E38">
        <w:t xml:space="preserve">22, </w:t>
      </w:r>
      <w:r w:rsidR="0039490E" w:rsidRPr="00FF0E38">
        <w:t>paragraph </w:t>
      </w:r>
      <w:r w:rsidRPr="00FF0E38">
        <w:t>5</w:t>
      </w:r>
      <w:r w:rsidR="005C1CF1" w:rsidRPr="00FF0E38">
        <w:t> </w:t>
      </w:r>
      <w:r w:rsidRPr="00FF0E38">
        <w:t>(a), of the Convention, that the same matter has not been</w:t>
      </w:r>
      <w:r w:rsidR="00666842" w:rsidRPr="00FF0E38">
        <w:t>,</w:t>
      </w:r>
      <w:r w:rsidRPr="00FF0E38">
        <w:t xml:space="preserve"> and is not being</w:t>
      </w:r>
      <w:r w:rsidR="00066D13" w:rsidRPr="00FF0E38">
        <w:t>,</w:t>
      </w:r>
      <w:r w:rsidRPr="00FF0E38">
        <w:t xml:space="preserve"> examined under another procedure of international investigation or settlement.</w:t>
      </w:r>
    </w:p>
    <w:p w:rsidR="00D036B5" w:rsidRPr="00FF0E38" w:rsidRDefault="00D036B5" w:rsidP="00D036B5">
      <w:pPr>
        <w:pStyle w:val="SingleTxtG"/>
      </w:pPr>
      <w:r w:rsidRPr="00FF0E38">
        <w:t>6.2</w:t>
      </w:r>
      <w:r w:rsidRPr="00FF0E38">
        <w:tab/>
        <w:t xml:space="preserve">The Committee, finding no other reason to consider the communication inadmissible, thus proceeds to its consideration on the merits of the claims submitted by the complainant under </w:t>
      </w:r>
      <w:r w:rsidR="0039490E" w:rsidRPr="00FF0E38">
        <w:t>article </w:t>
      </w:r>
      <w:r w:rsidR="00476B49" w:rsidRPr="00FF0E38">
        <w:t>3</w:t>
      </w:r>
      <w:r w:rsidRPr="00FF0E38">
        <w:t xml:space="preserve"> of the Convention.</w:t>
      </w:r>
    </w:p>
    <w:p w:rsidR="00D036B5" w:rsidRPr="00FF0E38" w:rsidRDefault="00D036B5" w:rsidP="00143F45">
      <w:pPr>
        <w:pStyle w:val="H4G"/>
      </w:pPr>
      <w:r w:rsidRPr="00FF0E38">
        <w:tab/>
      </w:r>
      <w:r w:rsidRPr="00FF0E38">
        <w:tab/>
        <w:t>Consideration of the merits</w:t>
      </w:r>
    </w:p>
    <w:p w:rsidR="00D036B5" w:rsidRPr="00FF0E38" w:rsidRDefault="00AE663B" w:rsidP="00D036B5">
      <w:pPr>
        <w:pStyle w:val="SingleTxtG"/>
      </w:pPr>
      <w:r w:rsidRPr="00FF0E38">
        <w:t>7.1</w:t>
      </w:r>
      <w:r w:rsidRPr="00FF0E38">
        <w:tab/>
      </w:r>
      <w:r w:rsidR="00D036B5" w:rsidRPr="00FF0E38">
        <w:t xml:space="preserve">The Committee has considered the complaint in the light of all the information made available to it by the parties, in accordance with </w:t>
      </w:r>
      <w:r w:rsidR="0039490E" w:rsidRPr="00FF0E38">
        <w:t>article </w:t>
      </w:r>
      <w:r w:rsidR="00D036B5" w:rsidRPr="00FF0E38">
        <w:t xml:space="preserve">22, </w:t>
      </w:r>
      <w:r w:rsidR="0039490E" w:rsidRPr="00FF0E38">
        <w:t>paragraph </w:t>
      </w:r>
      <w:r w:rsidR="00D036B5" w:rsidRPr="00FF0E38">
        <w:t xml:space="preserve">4, of the Convention. </w:t>
      </w:r>
    </w:p>
    <w:p w:rsidR="00A26D85" w:rsidRPr="00FF0E38" w:rsidRDefault="00D036B5" w:rsidP="00A26D85">
      <w:pPr>
        <w:spacing w:after="120"/>
        <w:ind w:left="1134" w:right="1134"/>
        <w:jc w:val="both"/>
        <w:rPr>
          <w:bCs/>
          <w:lang w:val="en-US"/>
        </w:rPr>
      </w:pPr>
      <w:r w:rsidRPr="00FF0E38">
        <w:lastRenderedPageBreak/>
        <w:t>7.2</w:t>
      </w:r>
      <w:r w:rsidRPr="00FF0E38">
        <w:tab/>
      </w:r>
      <w:r w:rsidR="00A26D85" w:rsidRPr="00FF0E38">
        <w:rPr>
          <w:bCs/>
          <w:lang w:val="en-US"/>
        </w:rPr>
        <w:t xml:space="preserve">The issue before the Committee is whether the removal of the complainant to Iran would violate the State party’s obligation under </w:t>
      </w:r>
      <w:r w:rsidR="0039490E" w:rsidRPr="00FF0E38">
        <w:rPr>
          <w:bCs/>
          <w:lang w:val="en-US"/>
        </w:rPr>
        <w:t>article </w:t>
      </w:r>
      <w:r w:rsidR="00A26D85" w:rsidRPr="00FF0E38">
        <w:rPr>
          <w:bCs/>
          <w:lang w:val="en-US"/>
        </w:rPr>
        <w:t xml:space="preserve">3 of the Convention not to expel or to return a person to another State where there are substantial grounds for </w:t>
      </w:r>
      <w:r w:rsidR="00A26D85" w:rsidRPr="00FF0E38">
        <w:rPr>
          <w:bCs/>
        </w:rPr>
        <w:t>believing</w:t>
      </w:r>
      <w:r w:rsidR="00A26D85" w:rsidRPr="00FF0E38">
        <w:rPr>
          <w:bCs/>
          <w:lang w:val="en-US"/>
        </w:rPr>
        <w:t xml:space="preserve"> that he or she would be in danger of being subjected to torture. </w:t>
      </w:r>
    </w:p>
    <w:p w:rsidR="00A26D85" w:rsidRPr="00FF0E38" w:rsidRDefault="00A26D85" w:rsidP="0000125F">
      <w:pPr>
        <w:spacing w:after="120"/>
        <w:ind w:left="1134" w:right="1134"/>
        <w:jc w:val="both"/>
        <w:rPr>
          <w:bCs/>
          <w:lang w:val="en-US"/>
        </w:rPr>
      </w:pPr>
      <w:r w:rsidRPr="00FF0E38">
        <w:rPr>
          <w:bCs/>
          <w:lang w:val="en-US"/>
        </w:rPr>
        <w:t>7.3</w:t>
      </w:r>
      <w:r w:rsidRPr="00FF0E38">
        <w:rPr>
          <w:bCs/>
          <w:lang w:val="en-US"/>
        </w:rPr>
        <w:tab/>
        <w:t xml:space="preserve">The Committee must evaluate whether there are substantial grounds for believing that the complainant would be personally in danger of being subjected to torture upon return to Iran. In assessing </w:t>
      </w:r>
      <w:r w:rsidR="00666842" w:rsidRPr="00FF0E38">
        <w:rPr>
          <w:bCs/>
          <w:lang w:val="en-US"/>
        </w:rPr>
        <w:t xml:space="preserve">that </w:t>
      </w:r>
      <w:r w:rsidRPr="00FF0E38">
        <w:rPr>
          <w:bCs/>
          <w:lang w:val="en-US"/>
        </w:rPr>
        <w:t xml:space="preserve">risk, the Committee must take into account all relevant considerations, pursuant to </w:t>
      </w:r>
      <w:r w:rsidR="0039490E" w:rsidRPr="00FF0E38">
        <w:rPr>
          <w:bCs/>
          <w:lang w:val="en-US"/>
        </w:rPr>
        <w:t>article </w:t>
      </w:r>
      <w:r w:rsidRPr="00FF0E38">
        <w:rPr>
          <w:bCs/>
          <w:lang w:val="en-US"/>
        </w:rPr>
        <w:t xml:space="preserve">3, </w:t>
      </w:r>
      <w:r w:rsidR="0039490E" w:rsidRPr="00FF0E38">
        <w:rPr>
          <w:bCs/>
          <w:lang w:val="en-US"/>
        </w:rPr>
        <w:t>paragraph </w:t>
      </w:r>
      <w:r w:rsidRPr="00FF0E38">
        <w:rPr>
          <w:bCs/>
          <w:lang w:val="en-US"/>
        </w:rPr>
        <w:t xml:space="preserve">2, of the Convention, including the existence of a consistent pattern of gross, flagrant or mass violations of human rights. However, the Committee recalls that the aim of </w:t>
      </w:r>
      <w:r w:rsidR="0000125F" w:rsidRPr="00FF0E38">
        <w:rPr>
          <w:bCs/>
          <w:lang w:val="en-US"/>
        </w:rPr>
        <w:t xml:space="preserve">the </w:t>
      </w:r>
      <w:r w:rsidR="00B57A9E" w:rsidRPr="00FF0E38">
        <w:rPr>
          <w:bCs/>
          <w:lang w:val="en-US"/>
        </w:rPr>
        <w:t>evaluation</w:t>
      </w:r>
      <w:r w:rsidRPr="00FF0E38">
        <w:rPr>
          <w:bCs/>
          <w:lang w:val="en-US"/>
        </w:rPr>
        <w:t xml:space="preserve"> is to establish whether the individual concerned would be personally at a foreseeable and real risk of being subjected to torture in the country to which he or she would be returned. It follows that the existence of a pattern of gross, flagrant or mass violations of human rights in a country does not as such constitute sufficient reason for determining that a particular person would be in danger of being subjected to torture on return to that country</w:t>
      </w:r>
      <w:r w:rsidR="006377DB" w:rsidRPr="00FF0E38">
        <w:rPr>
          <w:bCs/>
          <w:lang w:val="en-US"/>
        </w:rPr>
        <w:t>:</w:t>
      </w:r>
      <w:r w:rsidRPr="00FF0E38">
        <w:rPr>
          <w:bCs/>
          <w:lang w:val="en-US"/>
        </w:rPr>
        <w:t xml:space="preserve"> additional grounds must be adduced to show that the individual concerned would be personally at risk.</w:t>
      </w:r>
      <w:r w:rsidRPr="00FF0E38">
        <w:rPr>
          <w:sz w:val="18"/>
          <w:vertAlign w:val="superscript"/>
        </w:rPr>
        <w:footnoteReference w:id="7"/>
      </w:r>
      <w:r w:rsidRPr="00FF0E38">
        <w:rPr>
          <w:bCs/>
          <w:lang w:val="en-US"/>
        </w:rPr>
        <w:t xml:space="preserve"> </w:t>
      </w:r>
    </w:p>
    <w:p w:rsidR="00476B49" w:rsidRPr="002E4F41" w:rsidRDefault="00A26D85" w:rsidP="004A5C72">
      <w:pPr>
        <w:pStyle w:val="SingleTxtG"/>
        <w:rPr>
          <w:bCs/>
          <w:lang w:val="en-US"/>
        </w:rPr>
      </w:pPr>
      <w:r w:rsidRPr="00FF0E38">
        <w:rPr>
          <w:lang w:val="en-US"/>
        </w:rPr>
        <w:t>7.4</w:t>
      </w:r>
      <w:r w:rsidRPr="00FF0E38">
        <w:rPr>
          <w:lang w:val="en-US"/>
        </w:rPr>
        <w:tab/>
      </w:r>
      <w:r w:rsidRPr="00FF0E38">
        <w:rPr>
          <w:bCs/>
        </w:rPr>
        <w:t xml:space="preserve">The Committee recalls its general comment No. 1 (1997) on the implementation of </w:t>
      </w:r>
      <w:r w:rsidR="0039490E" w:rsidRPr="00FF0E38">
        <w:rPr>
          <w:bCs/>
        </w:rPr>
        <w:t>article </w:t>
      </w:r>
      <w:r w:rsidRPr="00FF0E38">
        <w:rPr>
          <w:bCs/>
        </w:rPr>
        <w:t xml:space="preserve">3 of the Convention, </w:t>
      </w:r>
      <w:r w:rsidR="00666842" w:rsidRPr="00FF0E38">
        <w:rPr>
          <w:bCs/>
        </w:rPr>
        <w:t xml:space="preserve">in which it states </w:t>
      </w:r>
      <w:r w:rsidRPr="00FF0E38">
        <w:rPr>
          <w:bCs/>
        </w:rPr>
        <w:t xml:space="preserve">that “the risk of torture must be assessed on grounds that go beyond mere theory or suspicion”. While the risk does not have to meet the test of being “highly probable”, it must be personal and present. </w:t>
      </w:r>
      <w:r w:rsidR="006377DB" w:rsidRPr="00FF0E38">
        <w:rPr>
          <w:bCs/>
        </w:rPr>
        <w:t>T</w:t>
      </w:r>
      <w:r w:rsidRPr="00FF0E38">
        <w:rPr>
          <w:bCs/>
        </w:rPr>
        <w:t>he Committee has determined that the risk of torture must be foreseeable, real and personal.</w:t>
      </w:r>
      <w:r w:rsidRPr="002E4F41">
        <w:rPr>
          <w:sz w:val="18"/>
          <w:vertAlign w:val="superscript"/>
        </w:rPr>
        <w:footnoteReference w:id="8"/>
      </w:r>
      <w:r w:rsidRPr="002E4F41">
        <w:rPr>
          <w:bCs/>
        </w:rPr>
        <w:t xml:space="preserve"> </w:t>
      </w:r>
      <w:r w:rsidRPr="00FF0E38">
        <w:rPr>
          <w:bCs/>
          <w:lang w:val="en-US"/>
        </w:rPr>
        <w:t xml:space="preserve">The Committee recalls that it gives considerable weight to findings of fact that are made by organs of the State party concerned, </w:t>
      </w:r>
      <w:r w:rsidR="00FA10D3" w:rsidRPr="00FF0E38">
        <w:rPr>
          <w:bCs/>
          <w:lang w:val="en-US"/>
        </w:rPr>
        <w:t>but</w:t>
      </w:r>
      <w:r w:rsidRPr="00FF0E38">
        <w:rPr>
          <w:bCs/>
          <w:lang w:val="en-US"/>
        </w:rPr>
        <w:t xml:space="preserve"> is not bound by such findings and instead </w:t>
      </w:r>
      <w:r w:rsidR="009C2A1C" w:rsidRPr="00FF0E38">
        <w:rPr>
          <w:bCs/>
          <w:lang w:val="en-US"/>
        </w:rPr>
        <w:t>can</w:t>
      </w:r>
      <w:r w:rsidRPr="002E4F41">
        <w:rPr>
          <w:bCs/>
          <w:lang w:val="en-US"/>
        </w:rPr>
        <w:t xml:space="preserve">, </w:t>
      </w:r>
      <w:r w:rsidR="00AE2136" w:rsidRPr="002E4F41">
        <w:rPr>
          <w:bCs/>
          <w:lang w:val="en-US"/>
        </w:rPr>
        <w:t>under</w:t>
      </w:r>
      <w:r w:rsidRPr="002E4F41">
        <w:rPr>
          <w:bCs/>
          <w:lang w:val="en-US"/>
        </w:rPr>
        <w:t xml:space="preserve"> </w:t>
      </w:r>
      <w:r w:rsidR="0039490E" w:rsidRPr="00FF0E38">
        <w:rPr>
          <w:bCs/>
          <w:lang w:val="en-US"/>
        </w:rPr>
        <w:t>article </w:t>
      </w:r>
      <w:r w:rsidRPr="00FF0E38">
        <w:rPr>
          <w:bCs/>
          <w:lang w:val="en-US"/>
        </w:rPr>
        <w:t xml:space="preserve">22, </w:t>
      </w:r>
      <w:r w:rsidR="0039490E" w:rsidRPr="00FF0E38">
        <w:rPr>
          <w:bCs/>
          <w:lang w:val="en-US"/>
        </w:rPr>
        <w:t>paragraph </w:t>
      </w:r>
      <w:r w:rsidRPr="00FF0E38">
        <w:rPr>
          <w:bCs/>
          <w:lang w:val="en-US"/>
        </w:rPr>
        <w:t xml:space="preserve">4, of the Convention, </w:t>
      </w:r>
      <w:r w:rsidR="00AE2136" w:rsidRPr="00FF0E38">
        <w:rPr>
          <w:bCs/>
          <w:lang w:val="en-US"/>
        </w:rPr>
        <w:t>assess the facts of each case, taking into account the circumstances</w:t>
      </w:r>
      <w:r w:rsidRPr="00FF0E38">
        <w:rPr>
          <w:bCs/>
          <w:lang w:val="en-US"/>
        </w:rPr>
        <w:t>.</w:t>
      </w:r>
      <w:r w:rsidRPr="002E4F41">
        <w:rPr>
          <w:sz w:val="18"/>
          <w:vertAlign w:val="superscript"/>
        </w:rPr>
        <w:footnoteReference w:id="9"/>
      </w:r>
    </w:p>
    <w:p w:rsidR="00325B86" w:rsidRPr="00FF0E38" w:rsidRDefault="00E9580A" w:rsidP="004E330E">
      <w:pPr>
        <w:pStyle w:val="SingleTxtG"/>
        <w:rPr>
          <w:bCs/>
          <w:lang w:val="en-US"/>
        </w:rPr>
      </w:pPr>
      <w:r w:rsidRPr="002E4F41">
        <w:rPr>
          <w:bCs/>
          <w:lang w:val="en-US"/>
        </w:rPr>
        <w:t>7.5</w:t>
      </w:r>
      <w:r w:rsidRPr="002E4F41">
        <w:rPr>
          <w:bCs/>
          <w:lang w:val="en-US"/>
        </w:rPr>
        <w:tab/>
        <w:t>Referring to its recent jurisprudence</w:t>
      </w:r>
      <w:r w:rsidR="005C1CF1" w:rsidRPr="00FF0E38">
        <w:rPr>
          <w:bCs/>
          <w:lang w:val="en-US"/>
        </w:rPr>
        <w:t>,</w:t>
      </w:r>
      <w:r w:rsidR="006D3DA6" w:rsidRPr="002E4F41">
        <w:rPr>
          <w:rStyle w:val="FootnoteReference"/>
          <w:bCs/>
          <w:lang w:val="en-US"/>
        </w:rPr>
        <w:footnoteReference w:id="10"/>
      </w:r>
      <w:r w:rsidRPr="002E4F41">
        <w:rPr>
          <w:bCs/>
          <w:lang w:val="en-US"/>
        </w:rPr>
        <w:t xml:space="preserve"> the Committee recalls that </w:t>
      </w:r>
      <w:r w:rsidR="003637DA" w:rsidRPr="002E4F41">
        <w:rPr>
          <w:bCs/>
          <w:lang w:val="en-US"/>
        </w:rPr>
        <w:t xml:space="preserve">there are </w:t>
      </w:r>
      <w:r w:rsidR="003E2A01" w:rsidRPr="00FF0E38">
        <w:rPr>
          <w:bCs/>
        </w:rPr>
        <w:t>ongoing</w:t>
      </w:r>
      <w:r w:rsidR="003637DA" w:rsidRPr="00FF0E38">
        <w:rPr>
          <w:bCs/>
        </w:rPr>
        <w:t xml:space="preserve"> reports regarding the use of psychological and physical torture to solicit confessions in Iran indicat</w:t>
      </w:r>
      <w:r w:rsidR="003E2A01" w:rsidRPr="00FF0E38">
        <w:rPr>
          <w:bCs/>
        </w:rPr>
        <w:t>ing</w:t>
      </w:r>
      <w:r w:rsidR="003637DA" w:rsidRPr="00FF0E38">
        <w:rPr>
          <w:bCs/>
        </w:rPr>
        <w:t xml:space="preserve"> the widespread and systematic use of such practices</w:t>
      </w:r>
      <w:r w:rsidR="001C737D" w:rsidRPr="00FF0E38">
        <w:rPr>
          <w:bCs/>
        </w:rPr>
        <w:t>,</w:t>
      </w:r>
      <w:r w:rsidR="003637DA" w:rsidRPr="002E4F41">
        <w:rPr>
          <w:rStyle w:val="FootnoteReference"/>
          <w:bCs/>
        </w:rPr>
        <w:footnoteReference w:id="11"/>
      </w:r>
      <w:r w:rsidR="003637DA" w:rsidRPr="002E4F41">
        <w:rPr>
          <w:bCs/>
        </w:rPr>
        <w:t xml:space="preserve"> </w:t>
      </w:r>
      <w:r w:rsidR="003637DA" w:rsidRPr="00FF0E38">
        <w:rPr>
          <w:bCs/>
          <w:lang w:val="en-US"/>
        </w:rPr>
        <w:t>and</w:t>
      </w:r>
      <w:r w:rsidRPr="00FF0E38">
        <w:rPr>
          <w:bCs/>
          <w:lang w:val="en-US"/>
        </w:rPr>
        <w:t xml:space="preserve"> of incidents of detention and torture of political opponents</w:t>
      </w:r>
      <w:r w:rsidR="00CE7B27" w:rsidRPr="00FF0E38">
        <w:rPr>
          <w:bCs/>
          <w:lang w:val="en-US"/>
        </w:rPr>
        <w:t xml:space="preserve"> of the regime</w:t>
      </w:r>
      <w:r w:rsidR="00B57A9E" w:rsidRPr="00FF0E38">
        <w:rPr>
          <w:bCs/>
          <w:lang w:val="en-US"/>
        </w:rPr>
        <w:t xml:space="preserve"> in place</w:t>
      </w:r>
      <w:r w:rsidR="007C6947" w:rsidRPr="002E4F41">
        <w:rPr>
          <w:bCs/>
          <w:lang w:val="en-US"/>
        </w:rPr>
        <w:t>.</w:t>
      </w:r>
      <w:r w:rsidR="0095775F" w:rsidRPr="002E4F41">
        <w:rPr>
          <w:rStyle w:val="FootnoteReference"/>
          <w:bCs/>
          <w:lang w:val="en-US"/>
        </w:rPr>
        <w:footnoteReference w:id="12"/>
      </w:r>
      <w:r w:rsidR="00B359F9" w:rsidRPr="002E4F41">
        <w:rPr>
          <w:bCs/>
          <w:lang w:val="en-US"/>
        </w:rPr>
        <w:t xml:space="preserve"> The Committee considers that </w:t>
      </w:r>
      <w:r w:rsidR="00CE7B27" w:rsidRPr="002E4F41">
        <w:rPr>
          <w:bCs/>
          <w:lang w:val="en-US"/>
        </w:rPr>
        <w:t xml:space="preserve">to be </w:t>
      </w:r>
      <w:r w:rsidR="00B359F9" w:rsidRPr="00FF0E38">
        <w:rPr>
          <w:bCs/>
          <w:lang w:val="en-US"/>
        </w:rPr>
        <w:t>all the more alarming in the light of the fact that Iran frequently administers the death penalty</w:t>
      </w:r>
      <w:r w:rsidR="000D10EF" w:rsidRPr="00FF0E38">
        <w:rPr>
          <w:bCs/>
          <w:lang w:val="en-US"/>
        </w:rPr>
        <w:t>, which it</w:t>
      </w:r>
      <w:r w:rsidR="00B359F9" w:rsidRPr="00FF0E38">
        <w:rPr>
          <w:bCs/>
          <w:lang w:val="en-US"/>
        </w:rPr>
        <w:t xml:space="preserve"> </w:t>
      </w:r>
      <w:r w:rsidR="00325B86" w:rsidRPr="00FF0E38">
        <w:rPr>
          <w:bCs/>
          <w:lang w:val="en-US"/>
        </w:rPr>
        <w:t>applies</w:t>
      </w:r>
      <w:r w:rsidR="00B359F9" w:rsidRPr="00FF0E38">
        <w:rPr>
          <w:bCs/>
          <w:lang w:val="en-US"/>
        </w:rPr>
        <w:t xml:space="preserve"> without due process and in cases involving certain crimes not meeting international </w:t>
      </w:r>
      <w:r w:rsidR="004E330E" w:rsidRPr="00FF0E38">
        <w:rPr>
          <w:bCs/>
          <w:lang w:val="en-US"/>
        </w:rPr>
        <w:t xml:space="preserve">criteria </w:t>
      </w:r>
      <w:r w:rsidR="00B359F9" w:rsidRPr="00FF0E38">
        <w:rPr>
          <w:bCs/>
          <w:lang w:val="en-US"/>
        </w:rPr>
        <w:t>for the most serious offences</w:t>
      </w:r>
      <w:r w:rsidR="007C6947" w:rsidRPr="00FF0E38">
        <w:rPr>
          <w:bCs/>
          <w:lang w:val="en-US"/>
        </w:rPr>
        <w:t>.</w:t>
      </w:r>
      <w:r w:rsidR="0095775F" w:rsidRPr="002E4F41">
        <w:rPr>
          <w:rStyle w:val="FootnoteReference"/>
          <w:bCs/>
          <w:lang w:val="en-US"/>
        </w:rPr>
        <w:footnoteReference w:id="13"/>
      </w:r>
      <w:r w:rsidR="00325B86" w:rsidRPr="002E4F41">
        <w:rPr>
          <w:bCs/>
          <w:lang w:val="en-US"/>
        </w:rPr>
        <w:t xml:space="preserve"> The State party itself has recognized </w:t>
      </w:r>
      <w:r w:rsidR="00626546" w:rsidRPr="002E4F41">
        <w:rPr>
          <w:bCs/>
          <w:lang w:val="en-US"/>
        </w:rPr>
        <w:t xml:space="preserve">the existence of such </w:t>
      </w:r>
      <w:r w:rsidR="00666842" w:rsidRPr="00FF0E38">
        <w:rPr>
          <w:bCs/>
          <w:lang w:val="en-US"/>
        </w:rPr>
        <w:t xml:space="preserve">a </w:t>
      </w:r>
      <w:r w:rsidR="00325B86" w:rsidRPr="00FF0E38">
        <w:rPr>
          <w:bCs/>
          <w:lang w:val="en-US"/>
        </w:rPr>
        <w:t>situation in Iran.</w:t>
      </w:r>
    </w:p>
    <w:p w:rsidR="00325B86" w:rsidRPr="002E4F41" w:rsidRDefault="00325B86" w:rsidP="00A67DCE">
      <w:pPr>
        <w:pStyle w:val="SingleTxtG"/>
        <w:rPr>
          <w:bCs/>
          <w:lang w:val="en-US"/>
        </w:rPr>
      </w:pPr>
      <w:r w:rsidRPr="00FF0E38">
        <w:rPr>
          <w:bCs/>
          <w:lang w:val="en-US"/>
        </w:rPr>
        <w:lastRenderedPageBreak/>
        <w:t>7.6</w:t>
      </w:r>
      <w:r w:rsidRPr="00FF0E38">
        <w:rPr>
          <w:bCs/>
          <w:lang w:val="en-US"/>
        </w:rPr>
        <w:tab/>
      </w:r>
      <w:r w:rsidR="00367D03" w:rsidRPr="00FF0E38">
        <w:rPr>
          <w:bCs/>
          <w:lang w:val="en-US"/>
        </w:rPr>
        <w:t xml:space="preserve">The Committee notes that the complainant has been an active member of </w:t>
      </w:r>
      <w:r w:rsidR="0060181D" w:rsidRPr="00FF0E38">
        <w:rPr>
          <w:bCs/>
          <w:lang w:val="en-US"/>
        </w:rPr>
        <w:t>ADR</w:t>
      </w:r>
      <w:r w:rsidR="00765E88" w:rsidRPr="00FF0E38">
        <w:rPr>
          <w:bCs/>
          <w:lang w:val="en-US"/>
        </w:rPr>
        <w:t xml:space="preserve"> in Switzerland</w:t>
      </w:r>
      <w:r w:rsidR="00464A36" w:rsidRPr="00FF0E38">
        <w:rPr>
          <w:bCs/>
          <w:lang w:val="en-US"/>
        </w:rPr>
        <w:t xml:space="preserve"> since 2006</w:t>
      </w:r>
      <w:r w:rsidR="003A77BC" w:rsidRPr="00FF0E38">
        <w:rPr>
          <w:bCs/>
          <w:lang w:val="en-US"/>
        </w:rPr>
        <w:t>,</w:t>
      </w:r>
      <w:r w:rsidR="00464A36" w:rsidRPr="00FF0E38">
        <w:rPr>
          <w:bCs/>
          <w:lang w:val="en-US"/>
        </w:rPr>
        <w:t xml:space="preserve"> and</w:t>
      </w:r>
      <w:r w:rsidR="003A77BC" w:rsidRPr="00FF0E38">
        <w:t>, as such,</w:t>
      </w:r>
      <w:r w:rsidR="00464A36" w:rsidRPr="00FF0E38">
        <w:t xml:space="preserve"> his name is listed in the monthly magazine </w:t>
      </w:r>
      <w:r w:rsidR="00464A36" w:rsidRPr="00FF0E38">
        <w:rPr>
          <w:i/>
          <w:iCs/>
        </w:rPr>
        <w:t>Kanoun</w:t>
      </w:r>
      <w:r w:rsidR="00464A36" w:rsidRPr="002E4F41">
        <w:t xml:space="preserve"> produced by the or</w:t>
      </w:r>
      <w:r w:rsidR="00464A36" w:rsidRPr="00FF0E38">
        <w:t>gani</w:t>
      </w:r>
      <w:r w:rsidR="00525DC7" w:rsidRPr="00FF0E38">
        <w:t>z</w:t>
      </w:r>
      <w:r w:rsidR="00464A36" w:rsidRPr="00FF0E38">
        <w:t>ation</w:t>
      </w:r>
      <w:r w:rsidR="0060181D" w:rsidRPr="00FF0E38">
        <w:rPr>
          <w:bCs/>
          <w:lang w:val="en-US"/>
        </w:rPr>
        <w:t>;</w:t>
      </w:r>
      <w:r w:rsidR="00367D03" w:rsidRPr="00FF0E38">
        <w:rPr>
          <w:bCs/>
          <w:lang w:val="en-US"/>
        </w:rPr>
        <w:t xml:space="preserve"> </w:t>
      </w:r>
      <w:r w:rsidR="00464A36" w:rsidRPr="00FF0E38">
        <w:rPr>
          <w:bCs/>
          <w:lang w:val="en-US"/>
        </w:rPr>
        <w:t xml:space="preserve">that </w:t>
      </w:r>
      <w:r w:rsidR="00367D03" w:rsidRPr="00FF0E38">
        <w:rPr>
          <w:bCs/>
          <w:lang w:val="en-US"/>
        </w:rPr>
        <w:t xml:space="preserve">he </w:t>
      </w:r>
      <w:r w:rsidR="0060181D" w:rsidRPr="00FF0E38">
        <w:rPr>
          <w:bCs/>
          <w:lang w:val="en-US"/>
        </w:rPr>
        <w:t xml:space="preserve">has </w:t>
      </w:r>
      <w:r w:rsidR="00367D03" w:rsidRPr="00FF0E38">
        <w:rPr>
          <w:bCs/>
          <w:lang w:val="en-US"/>
        </w:rPr>
        <w:t>attend</w:t>
      </w:r>
      <w:r w:rsidR="0060181D" w:rsidRPr="00FF0E38">
        <w:rPr>
          <w:bCs/>
          <w:lang w:val="en-US"/>
        </w:rPr>
        <w:t>ed</w:t>
      </w:r>
      <w:r w:rsidR="00367D03" w:rsidRPr="00FF0E38">
        <w:rPr>
          <w:bCs/>
          <w:lang w:val="en-US"/>
        </w:rPr>
        <w:t xml:space="preserve"> the meetings of</w:t>
      </w:r>
      <w:r w:rsidR="00367D03" w:rsidRPr="00FF0E38">
        <w:t xml:space="preserve"> the executive committee, </w:t>
      </w:r>
      <w:r w:rsidR="0060181D" w:rsidRPr="00FF0E38">
        <w:t>has been</w:t>
      </w:r>
      <w:r w:rsidR="00367D03" w:rsidRPr="00FF0E38">
        <w:t xml:space="preserve"> responsible for the recruitment of new members in his canton and </w:t>
      </w:r>
      <w:r w:rsidR="0060181D" w:rsidRPr="00FF0E38">
        <w:t xml:space="preserve">has </w:t>
      </w:r>
      <w:r w:rsidR="00367D03" w:rsidRPr="00FF0E38">
        <w:t>regularly visit</w:t>
      </w:r>
      <w:r w:rsidR="0060181D" w:rsidRPr="00FF0E38">
        <w:t>ed</w:t>
      </w:r>
      <w:r w:rsidR="00367D03" w:rsidRPr="00FF0E38">
        <w:t xml:space="preserve"> asylum </w:t>
      </w:r>
      <w:r w:rsidR="009C2A1C" w:rsidRPr="00FF0E38">
        <w:t>centre</w:t>
      </w:r>
      <w:r w:rsidR="009C2A1C" w:rsidRPr="002E4F41">
        <w:t>s</w:t>
      </w:r>
      <w:r w:rsidR="00367D03" w:rsidRPr="002E4F41">
        <w:t xml:space="preserve">. He has participated </w:t>
      </w:r>
      <w:r w:rsidR="007C1B71" w:rsidRPr="00FF0E38">
        <w:t>on</w:t>
      </w:r>
      <w:r w:rsidR="003A77BC" w:rsidRPr="00FF0E38">
        <w:t xml:space="preserve"> </w:t>
      </w:r>
      <w:r w:rsidR="00367D03" w:rsidRPr="00FF0E38">
        <w:t xml:space="preserve">stands, </w:t>
      </w:r>
      <w:r w:rsidR="007C1B71" w:rsidRPr="00FF0E38">
        <w:t xml:space="preserve">and in </w:t>
      </w:r>
      <w:r w:rsidR="00367D03" w:rsidRPr="00FF0E38">
        <w:t xml:space="preserve">campaigns and demonstrations against the Iranian regime and his </w:t>
      </w:r>
      <w:r w:rsidR="00474AD8" w:rsidRPr="00FF0E38">
        <w:t xml:space="preserve">photograph has </w:t>
      </w:r>
      <w:r w:rsidR="000D10EF" w:rsidRPr="00FF0E38">
        <w:t>appeared</w:t>
      </w:r>
      <w:r w:rsidR="00367D03" w:rsidRPr="00FF0E38">
        <w:t xml:space="preserve"> on </w:t>
      </w:r>
      <w:r w:rsidR="000D10EF" w:rsidRPr="00FF0E38">
        <w:t>the I</w:t>
      </w:r>
      <w:r w:rsidR="00367D03" w:rsidRPr="00FF0E38">
        <w:t xml:space="preserve">nternet. The State party has not contested </w:t>
      </w:r>
      <w:r w:rsidR="000D10EF" w:rsidRPr="00FF0E38">
        <w:t xml:space="preserve">that </w:t>
      </w:r>
      <w:r w:rsidR="00367D03" w:rsidRPr="00FF0E38">
        <w:t xml:space="preserve">information. </w:t>
      </w:r>
      <w:r w:rsidR="001B4350" w:rsidRPr="00FF0E38">
        <w:t xml:space="preserve">The Committee notes the State party’s observation that the Iranian authorities target high-profile individuals that could represent a </w:t>
      </w:r>
      <w:r w:rsidR="00474AD8" w:rsidRPr="00FF0E38">
        <w:t xml:space="preserve">specific </w:t>
      </w:r>
      <w:r w:rsidR="001B4350" w:rsidRPr="00FF0E38">
        <w:t xml:space="preserve">danger to the Iranian regime, and that ADR is active mainly in Switzerland and </w:t>
      </w:r>
      <w:r w:rsidR="000D10EF" w:rsidRPr="00FF0E38">
        <w:t xml:space="preserve">that </w:t>
      </w:r>
      <w:r w:rsidR="001B4350" w:rsidRPr="00FF0E38">
        <w:t xml:space="preserve">its activities are not known abroad. However, the Committee observes that </w:t>
      </w:r>
      <w:r w:rsidR="00464A36" w:rsidRPr="00FF0E38">
        <w:t xml:space="preserve">the complainant’s work in ADR </w:t>
      </w:r>
      <w:r w:rsidR="003203E8" w:rsidRPr="00FF0E38">
        <w:t>was not limited merely to participation in demonstrations or to administrative tasks, but placed him among the leadership of an organi</w:t>
      </w:r>
      <w:r w:rsidR="000D10EF" w:rsidRPr="00FF0E38">
        <w:t>z</w:t>
      </w:r>
      <w:r w:rsidR="003203E8" w:rsidRPr="00FF0E38">
        <w:t>ation publicly opposing the regime in Iran.</w:t>
      </w:r>
      <w:r w:rsidR="005F3830" w:rsidRPr="00FF0E38">
        <w:t xml:space="preserve"> </w:t>
      </w:r>
      <w:r w:rsidR="001C737D" w:rsidRPr="00FF0E38">
        <w:t>T</w:t>
      </w:r>
      <w:r w:rsidR="00464A36" w:rsidRPr="00FF0E38">
        <w:t xml:space="preserve">he Committee observes </w:t>
      </w:r>
      <w:r w:rsidR="001C737D" w:rsidRPr="00FF0E38">
        <w:t xml:space="preserve">moreover </w:t>
      </w:r>
      <w:r w:rsidR="00464A36" w:rsidRPr="00FF0E38">
        <w:t xml:space="preserve">that </w:t>
      </w:r>
      <w:r w:rsidR="001B4350" w:rsidRPr="00FF0E38">
        <w:t xml:space="preserve">recent reports indicate that </w:t>
      </w:r>
      <w:r w:rsidR="003203E8" w:rsidRPr="00FF0E38">
        <w:t xml:space="preserve">even </w:t>
      </w:r>
      <w:r w:rsidR="001B4350" w:rsidRPr="00FF0E38">
        <w:t>low-level opposition is closely monitored in Iran</w:t>
      </w:r>
      <w:r w:rsidR="00BA2935" w:rsidRPr="002E4F41">
        <w:rPr>
          <w:rStyle w:val="FootnoteReference"/>
        </w:rPr>
        <w:footnoteReference w:id="14"/>
      </w:r>
      <w:r w:rsidR="001B4350" w:rsidRPr="002E4F41">
        <w:t xml:space="preserve"> and that the Iranian authorities effectively monitor </w:t>
      </w:r>
      <w:r w:rsidR="00446F4C" w:rsidRPr="00FF0E38">
        <w:rPr>
          <w:bCs/>
          <w:lang w:val="en-US"/>
        </w:rPr>
        <w:t>internet communications and regime critics both within and outside of Iran</w:t>
      </w:r>
      <w:r w:rsidR="007C6947" w:rsidRPr="00FF0E38">
        <w:rPr>
          <w:bCs/>
          <w:lang w:val="en-US"/>
        </w:rPr>
        <w:t>.</w:t>
      </w:r>
      <w:r w:rsidR="00BA2935" w:rsidRPr="002E4F41">
        <w:rPr>
          <w:rStyle w:val="FootnoteReference"/>
          <w:bCs/>
          <w:lang w:val="en-US"/>
        </w:rPr>
        <w:footnoteReference w:id="15"/>
      </w:r>
    </w:p>
    <w:p w:rsidR="00B359F9" w:rsidRPr="00FF0E38" w:rsidRDefault="003753EB" w:rsidP="003A77BC">
      <w:pPr>
        <w:pStyle w:val="SingleTxtG"/>
        <w:rPr>
          <w:bCs/>
          <w:lang w:val="en-US"/>
        </w:rPr>
      </w:pPr>
      <w:r w:rsidRPr="00FF0E38">
        <w:rPr>
          <w:bCs/>
          <w:lang w:val="en-US"/>
        </w:rPr>
        <w:t>7.7</w:t>
      </w:r>
      <w:r w:rsidRPr="00FF0E38">
        <w:rPr>
          <w:bCs/>
          <w:lang w:val="en-US"/>
        </w:rPr>
        <w:tab/>
      </w:r>
      <w:r w:rsidR="00890724" w:rsidRPr="00FF0E38">
        <w:rPr>
          <w:bCs/>
          <w:lang w:val="en-US"/>
        </w:rPr>
        <w:t>In the light of all the</w:t>
      </w:r>
      <w:r w:rsidR="00525DC7" w:rsidRPr="00FF0E38">
        <w:rPr>
          <w:bCs/>
          <w:lang w:val="en-US"/>
        </w:rPr>
        <w:t xml:space="preserve"> above</w:t>
      </w:r>
      <w:r w:rsidR="00890724" w:rsidRPr="00FF0E38">
        <w:rPr>
          <w:bCs/>
          <w:lang w:val="en-US"/>
        </w:rPr>
        <w:t xml:space="preserve"> circumstances, including the general human rights situation in Iran, the personal situation of </w:t>
      </w:r>
      <w:r w:rsidR="003A77BC" w:rsidRPr="00FF0E38">
        <w:rPr>
          <w:bCs/>
          <w:lang w:val="en-US"/>
        </w:rPr>
        <w:t>the</w:t>
      </w:r>
      <w:r w:rsidR="00525DC7" w:rsidRPr="00FF0E38">
        <w:rPr>
          <w:bCs/>
          <w:lang w:val="en-US"/>
        </w:rPr>
        <w:t xml:space="preserve"> </w:t>
      </w:r>
      <w:r w:rsidR="00890724" w:rsidRPr="00FF0E38">
        <w:rPr>
          <w:bCs/>
          <w:lang w:val="en-US"/>
        </w:rPr>
        <w:t>complainant</w:t>
      </w:r>
      <w:r w:rsidR="003A77BC" w:rsidRPr="00FF0E38">
        <w:rPr>
          <w:bCs/>
          <w:lang w:val="en-US"/>
        </w:rPr>
        <w:t>,</w:t>
      </w:r>
      <w:r w:rsidR="00890724" w:rsidRPr="00FF0E38">
        <w:rPr>
          <w:bCs/>
          <w:lang w:val="en-US"/>
        </w:rPr>
        <w:t xml:space="preserve"> who </w:t>
      </w:r>
      <w:r w:rsidR="00525DC7" w:rsidRPr="00FF0E38">
        <w:rPr>
          <w:bCs/>
          <w:lang w:val="en-US"/>
        </w:rPr>
        <w:t xml:space="preserve">has </w:t>
      </w:r>
      <w:r w:rsidR="00890724" w:rsidRPr="00FF0E38">
        <w:rPr>
          <w:bCs/>
          <w:lang w:val="en-US"/>
        </w:rPr>
        <w:t>continue</w:t>
      </w:r>
      <w:r w:rsidR="00525DC7" w:rsidRPr="00FF0E38">
        <w:rPr>
          <w:bCs/>
          <w:lang w:val="en-US"/>
        </w:rPr>
        <w:t>d</w:t>
      </w:r>
      <w:r w:rsidR="00890724" w:rsidRPr="00FF0E38">
        <w:rPr>
          <w:bCs/>
          <w:lang w:val="en-US"/>
        </w:rPr>
        <w:t xml:space="preserve"> </w:t>
      </w:r>
      <w:r w:rsidR="00525DC7" w:rsidRPr="00FF0E38">
        <w:rPr>
          <w:bCs/>
          <w:lang w:val="en-US"/>
        </w:rPr>
        <w:t xml:space="preserve">his </w:t>
      </w:r>
      <w:r w:rsidR="00890724" w:rsidRPr="00FF0E38">
        <w:rPr>
          <w:bCs/>
          <w:lang w:val="en-US"/>
        </w:rPr>
        <w:t xml:space="preserve">active engagement in political activities against the Iranian regime abroad and bearing in mind its </w:t>
      </w:r>
      <w:r w:rsidR="00525DC7" w:rsidRPr="00FF0E38">
        <w:rPr>
          <w:bCs/>
          <w:lang w:val="en-US"/>
        </w:rPr>
        <w:t xml:space="preserve">previous </w:t>
      </w:r>
      <w:r w:rsidR="00890724" w:rsidRPr="00FF0E38">
        <w:rPr>
          <w:bCs/>
          <w:lang w:val="en-US"/>
        </w:rPr>
        <w:t>jurisprudence</w:t>
      </w:r>
      <w:r w:rsidR="00525DC7" w:rsidRPr="00FF0E38">
        <w:rPr>
          <w:bCs/>
          <w:lang w:val="en-US"/>
        </w:rPr>
        <w:t>,</w:t>
      </w:r>
      <w:r w:rsidR="00BA2935" w:rsidRPr="002E4F41">
        <w:rPr>
          <w:rStyle w:val="FootnoteReference"/>
          <w:bCs/>
          <w:lang w:val="en-US"/>
        </w:rPr>
        <w:footnoteReference w:id="16"/>
      </w:r>
      <w:r w:rsidR="00890724" w:rsidRPr="002E4F41">
        <w:rPr>
          <w:bCs/>
          <w:lang w:val="en-US"/>
        </w:rPr>
        <w:t xml:space="preserve"> the Committee is of the opinion that </w:t>
      </w:r>
      <w:r w:rsidR="0060181D" w:rsidRPr="00FF0E38">
        <w:rPr>
          <w:bCs/>
          <w:lang w:val="en-US"/>
        </w:rPr>
        <w:t>the complainant</w:t>
      </w:r>
      <w:r w:rsidR="00890724" w:rsidRPr="00FF0E38">
        <w:rPr>
          <w:bCs/>
          <w:lang w:val="en-US"/>
        </w:rPr>
        <w:t xml:space="preserve"> </w:t>
      </w:r>
      <w:r w:rsidR="003A77BC" w:rsidRPr="00FF0E38">
        <w:rPr>
          <w:bCs/>
          <w:lang w:val="en-US"/>
        </w:rPr>
        <w:t xml:space="preserve">may </w:t>
      </w:r>
      <w:r w:rsidR="00890724" w:rsidRPr="00FF0E38">
        <w:rPr>
          <w:bCs/>
          <w:lang w:val="en-US"/>
        </w:rPr>
        <w:t xml:space="preserve">well have attracted </w:t>
      </w:r>
      <w:r w:rsidR="00525DC7" w:rsidRPr="00FF0E38">
        <w:rPr>
          <w:bCs/>
          <w:lang w:val="en-US"/>
        </w:rPr>
        <w:t xml:space="preserve">the </w:t>
      </w:r>
      <w:r w:rsidR="00890724" w:rsidRPr="00FF0E38">
        <w:rPr>
          <w:bCs/>
          <w:lang w:val="en-US"/>
        </w:rPr>
        <w:t xml:space="preserve">attention of the Iranian authorities. </w:t>
      </w:r>
      <w:r w:rsidR="00B359F9" w:rsidRPr="00FF0E38">
        <w:rPr>
          <w:bCs/>
          <w:lang w:val="en-US"/>
        </w:rPr>
        <w:t xml:space="preserve">The Committee therefore considers that there are substantial grounds for believing that the complainant would </w:t>
      </w:r>
      <w:r w:rsidR="00890724" w:rsidRPr="00FF0E38">
        <w:rPr>
          <w:bCs/>
          <w:lang w:val="en-US"/>
        </w:rPr>
        <w:t xml:space="preserve">risk being </w:t>
      </w:r>
      <w:r w:rsidR="00B359F9" w:rsidRPr="00FF0E38">
        <w:rPr>
          <w:bCs/>
          <w:lang w:val="en-US"/>
        </w:rPr>
        <w:t xml:space="preserve">subjected to torture if returned to Iran. Moreover, the Committee notes that, since Iran is not a party to the Convention, </w:t>
      </w:r>
      <w:r w:rsidR="003203E8" w:rsidRPr="00FF0E38">
        <w:rPr>
          <w:bCs/>
          <w:lang w:val="en-US"/>
        </w:rPr>
        <w:t>in the event of</w:t>
      </w:r>
      <w:r w:rsidR="0042174D" w:rsidRPr="00FF0E38">
        <w:rPr>
          <w:bCs/>
          <w:lang w:val="en-US"/>
        </w:rPr>
        <w:t xml:space="preserve"> a</w:t>
      </w:r>
      <w:r w:rsidR="003203E8" w:rsidRPr="00FF0E38">
        <w:rPr>
          <w:bCs/>
          <w:lang w:val="en-US"/>
        </w:rPr>
        <w:t xml:space="preserve"> violation</w:t>
      </w:r>
      <w:r w:rsidR="006C49B5" w:rsidRPr="00FF0E38">
        <w:rPr>
          <w:bCs/>
          <w:lang w:val="en-US"/>
        </w:rPr>
        <w:t xml:space="preserve"> </w:t>
      </w:r>
      <w:r w:rsidR="003203E8" w:rsidRPr="00FF0E38">
        <w:rPr>
          <w:bCs/>
          <w:lang w:val="en-US"/>
        </w:rPr>
        <w:t xml:space="preserve">of </w:t>
      </w:r>
      <w:r w:rsidR="006C49B5" w:rsidRPr="00FF0E38">
        <w:rPr>
          <w:bCs/>
          <w:lang w:val="en-US"/>
        </w:rPr>
        <w:t>the complainant’s</w:t>
      </w:r>
      <w:r w:rsidR="003203E8" w:rsidRPr="00FF0E38">
        <w:rPr>
          <w:bCs/>
          <w:lang w:val="en-US"/>
        </w:rPr>
        <w:t xml:space="preserve"> Convention rights</w:t>
      </w:r>
      <w:r w:rsidR="0042174D" w:rsidRPr="00FF0E38">
        <w:rPr>
          <w:bCs/>
          <w:lang w:val="en-US"/>
        </w:rPr>
        <w:t xml:space="preserve"> in Iran,</w:t>
      </w:r>
      <w:r w:rsidR="003203E8" w:rsidRPr="00FF0E38">
        <w:rPr>
          <w:bCs/>
          <w:lang w:val="en-US"/>
        </w:rPr>
        <w:t xml:space="preserve"> he</w:t>
      </w:r>
      <w:r w:rsidR="00B359F9" w:rsidRPr="00FF0E38">
        <w:rPr>
          <w:bCs/>
          <w:lang w:val="en-US"/>
        </w:rPr>
        <w:t xml:space="preserve"> would be deprived of the legal option of recourse to the Committee for protection of any kind.</w:t>
      </w:r>
    </w:p>
    <w:p w:rsidR="00D036B5" w:rsidRPr="00FF0E38" w:rsidRDefault="00940E35" w:rsidP="00D036B5">
      <w:pPr>
        <w:pStyle w:val="SingleTxtG"/>
      </w:pPr>
      <w:r w:rsidRPr="00FF0E38">
        <w:t>8.</w:t>
      </w:r>
      <w:r w:rsidR="00D036B5" w:rsidRPr="00FF0E38">
        <w:tab/>
        <w:t xml:space="preserve">The Committee against Torture, acting under </w:t>
      </w:r>
      <w:r w:rsidR="0039490E" w:rsidRPr="00FF0E38">
        <w:t>article </w:t>
      </w:r>
      <w:r w:rsidR="00D036B5" w:rsidRPr="00FF0E38">
        <w:t xml:space="preserve">22, </w:t>
      </w:r>
      <w:r w:rsidR="0039490E" w:rsidRPr="00FF0E38">
        <w:t>paragraph </w:t>
      </w:r>
      <w:r w:rsidR="00D036B5" w:rsidRPr="00FF0E38">
        <w:t xml:space="preserve">7, of the Convention, concludes that the </w:t>
      </w:r>
      <w:r w:rsidR="00B359F9" w:rsidRPr="00FF0E38">
        <w:t xml:space="preserve">deportation of the complainant to Iran would constitute </w:t>
      </w:r>
      <w:r w:rsidR="00D036B5" w:rsidRPr="00FF0E38">
        <w:t xml:space="preserve">a violation of </w:t>
      </w:r>
      <w:r w:rsidR="0039490E" w:rsidRPr="00FF0E38">
        <w:t>article </w:t>
      </w:r>
      <w:r w:rsidR="00476B49" w:rsidRPr="00FF0E38">
        <w:t>3</w:t>
      </w:r>
      <w:r w:rsidR="00D036B5" w:rsidRPr="00FF0E38">
        <w:t xml:space="preserve"> of the Convention against Torture and Other Cruel, Inhuman or Degrading Treatment or Punishment. </w:t>
      </w:r>
    </w:p>
    <w:p w:rsidR="00D036B5" w:rsidRPr="007F05ED" w:rsidRDefault="00D036B5" w:rsidP="00D036B5">
      <w:pPr>
        <w:pStyle w:val="SingleTxtG"/>
      </w:pPr>
      <w:r w:rsidRPr="00FF0E38">
        <w:t>9.</w:t>
      </w:r>
      <w:r w:rsidR="007C6947" w:rsidRPr="00FF0E38">
        <w:tab/>
        <w:t>Pursuant to rule </w:t>
      </w:r>
      <w:r w:rsidRPr="00FF0E38">
        <w:t>11</w:t>
      </w:r>
      <w:r w:rsidR="00764044" w:rsidRPr="00FF0E38">
        <w:t>8</w:t>
      </w:r>
      <w:r w:rsidRPr="00FF0E38">
        <w:t xml:space="preserve">, </w:t>
      </w:r>
      <w:r w:rsidR="0039490E" w:rsidRPr="00FF0E38">
        <w:t>paragraph </w:t>
      </w:r>
      <w:r w:rsidRPr="00FF0E38">
        <w:t>5, of its rules of procedure, the Committee urges the Stat</w:t>
      </w:r>
      <w:r w:rsidR="007C6947" w:rsidRPr="00FF0E38">
        <w:t>e party to inform it, within 90 </w:t>
      </w:r>
      <w:r w:rsidRPr="00FF0E38">
        <w:t xml:space="preserve">days from the date of the transmittal of this decision, of the steps it has taken in </w:t>
      </w:r>
      <w:r w:rsidR="0060181D" w:rsidRPr="00FF0E38">
        <w:t>response to the decision expressed above</w:t>
      </w:r>
      <w:r w:rsidRPr="00FF0E38">
        <w:t>.</w:t>
      </w:r>
    </w:p>
    <w:p w:rsidR="00D036B5" w:rsidRPr="00106A43" w:rsidRDefault="00D036B5" w:rsidP="00D036B5">
      <w:pPr>
        <w:spacing w:before="240"/>
        <w:jc w:val="center"/>
        <w:rPr>
          <w:u w:val="single"/>
        </w:rPr>
      </w:pPr>
      <w:r>
        <w:rPr>
          <w:u w:val="single"/>
        </w:rPr>
        <w:tab/>
      </w:r>
      <w:r>
        <w:rPr>
          <w:u w:val="single"/>
        </w:rPr>
        <w:tab/>
      </w:r>
      <w:r>
        <w:rPr>
          <w:u w:val="single"/>
        </w:rPr>
        <w:tab/>
      </w:r>
    </w:p>
    <w:sectPr w:rsidR="00D036B5" w:rsidRPr="00106A43" w:rsidSect="00560821">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F2F" w:rsidRDefault="00925F2F"/>
  </w:endnote>
  <w:endnote w:type="continuationSeparator" w:id="0">
    <w:p w:rsidR="00925F2F" w:rsidRDefault="00925F2F"/>
  </w:endnote>
  <w:endnote w:type="continuationNotice" w:id="1">
    <w:p w:rsidR="00925F2F" w:rsidRDefault="00925F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295" w:rsidRPr="00560821" w:rsidRDefault="00CB6295" w:rsidP="00560821">
    <w:pPr>
      <w:pStyle w:val="Footer"/>
      <w:tabs>
        <w:tab w:val="right" w:pos="9598"/>
      </w:tabs>
    </w:pPr>
    <w:r w:rsidRPr="00560821">
      <w:rPr>
        <w:b/>
        <w:sz w:val="18"/>
      </w:rPr>
      <w:fldChar w:fldCharType="begin"/>
    </w:r>
    <w:r w:rsidRPr="00560821">
      <w:rPr>
        <w:b/>
        <w:sz w:val="18"/>
      </w:rPr>
      <w:instrText xml:space="preserve"> PAGE  \* MERGEFORMAT </w:instrText>
    </w:r>
    <w:r w:rsidRPr="00560821">
      <w:rPr>
        <w:b/>
        <w:sz w:val="18"/>
      </w:rPr>
      <w:fldChar w:fldCharType="separate"/>
    </w:r>
    <w:r w:rsidR="00C95AF1">
      <w:rPr>
        <w:b/>
        <w:noProof/>
        <w:sz w:val="18"/>
      </w:rPr>
      <w:t>2</w:t>
    </w:r>
    <w:r w:rsidRPr="00560821">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295" w:rsidRPr="00560821" w:rsidRDefault="00CB6295" w:rsidP="00560821">
    <w:pPr>
      <w:pStyle w:val="Footer"/>
      <w:tabs>
        <w:tab w:val="right" w:pos="9598"/>
      </w:tabs>
      <w:rPr>
        <w:b/>
        <w:sz w:val="18"/>
      </w:rPr>
    </w:pPr>
    <w:r>
      <w:tab/>
    </w:r>
    <w:r w:rsidRPr="00560821">
      <w:rPr>
        <w:b/>
        <w:sz w:val="18"/>
      </w:rPr>
      <w:fldChar w:fldCharType="begin"/>
    </w:r>
    <w:r w:rsidRPr="00560821">
      <w:rPr>
        <w:b/>
        <w:sz w:val="18"/>
      </w:rPr>
      <w:instrText xml:space="preserve"> PAGE  \* MERGEFORMAT </w:instrText>
    </w:r>
    <w:r w:rsidRPr="00560821">
      <w:rPr>
        <w:b/>
        <w:sz w:val="18"/>
      </w:rPr>
      <w:fldChar w:fldCharType="separate"/>
    </w:r>
    <w:r w:rsidR="00C95AF1">
      <w:rPr>
        <w:b/>
        <w:noProof/>
        <w:sz w:val="18"/>
      </w:rPr>
      <w:t>3</w:t>
    </w:r>
    <w:r w:rsidRPr="00560821">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510" w:rsidRDefault="00925F2F" w:rsidP="00B7051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49" type="#_x0000_t75" alt="recycle_English" style="position:absolute;margin-left:340.9pt;margin-top:18.85pt;width:73.25pt;height:18.15pt;z-index:1;visibility:visible">
          <v:imagedata r:id="rId1" o:title="recycle_English"/>
          <w10:anchorlock/>
        </v:shape>
      </w:pict>
    </w:r>
    <w:r w:rsidR="005132F2">
      <w:t>GE.15</w:t>
    </w:r>
    <w:r w:rsidR="00B70510">
      <w:t>-</w:t>
    </w:r>
    <w:r w:rsidR="003223A7">
      <w:t>00689</w:t>
    </w:r>
    <w:r w:rsidR="00C50C2E">
      <w:t xml:space="preserve">  (E)</w:t>
    </w:r>
    <w:r w:rsidR="00C50C2E">
      <w:br/>
    </w:r>
    <w:r w:rsidR="00C50C2E" w:rsidRPr="00C50C2E">
      <w:rPr>
        <w:rFonts w:ascii="C39T30Lfz" w:hAnsi="C39T30Lfz"/>
        <w:sz w:val="56"/>
      </w:rPr>
      <w:t></w:t>
    </w:r>
    <w:r w:rsidR="00C50C2E" w:rsidRPr="00C50C2E">
      <w:rPr>
        <w:rFonts w:ascii="C39T30Lfz" w:hAnsi="C39T30Lfz"/>
        <w:sz w:val="56"/>
      </w:rPr>
      <w:t></w:t>
    </w:r>
    <w:r w:rsidR="00C50C2E" w:rsidRPr="00C50C2E">
      <w:rPr>
        <w:rFonts w:ascii="C39T30Lfz" w:hAnsi="C39T30Lfz"/>
        <w:sz w:val="56"/>
      </w:rPr>
      <w:t></w:t>
    </w:r>
    <w:r w:rsidR="00C50C2E" w:rsidRPr="00C50C2E">
      <w:rPr>
        <w:rFonts w:ascii="C39T30Lfz" w:hAnsi="C39T30Lfz"/>
        <w:sz w:val="56"/>
      </w:rPr>
      <w:t></w:t>
    </w:r>
    <w:r w:rsidR="00C50C2E" w:rsidRPr="00C50C2E">
      <w:rPr>
        <w:rFonts w:ascii="C39T30Lfz" w:hAnsi="C39T30Lfz"/>
        <w:sz w:val="56"/>
      </w:rPr>
      <w:t></w:t>
    </w:r>
    <w:r w:rsidR="00C50C2E" w:rsidRPr="00C50C2E">
      <w:rPr>
        <w:rFonts w:ascii="C39T30Lfz" w:hAnsi="C39T30Lfz"/>
        <w:sz w:val="56"/>
      </w:rPr>
      <w:t></w:t>
    </w:r>
    <w:r w:rsidR="00C50C2E" w:rsidRPr="00C50C2E">
      <w:rPr>
        <w:rFonts w:ascii="C39T30Lfz" w:hAnsi="C39T30Lfz"/>
        <w:sz w:val="56"/>
      </w:rPr>
      <w:t></w:t>
    </w:r>
    <w:r w:rsidR="00C50C2E" w:rsidRPr="00C50C2E">
      <w:rPr>
        <w:rFonts w:ascii="C39T30Lfz" w:hAnsi="C39T30Lfz"/>
        <w:sz w:val="56"/>
      </w:rPr>
      <w:t></w:t>
    </w:r>
    <w:r w:rsidR="00C50C2E" w:rsidRPr="00C50C2E">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F2F" w:rsidRPr="000B175B" w:rsidRDefault="00925F2F" w:rsidP="000B175B">
      <w:pPr>
        <w:tabs>
          <w:tab w:val="right" w:pos="2155"/>
        </w:tabs>
        <w:spacing w:after="80"/>
        <w:ind w:left="680"/>
        <w:rPr>
          <w:u w:val="single"/>
        </w:rPr>
      </w:pPr>
      <w:r>
        <w:rPr>
          <w:u w:val="single"/>
        </w:rPr>
        <w:tab/>
      </w:r>
    </w:p>
  </w:footnote>
  <w:footnote w:type="continuationSeparator" w:id="0">
    <w:p w:rsidR="00925F2F" w:rsidRPr="00FC68B7" w:rsidRDefault="00925F2F" w:rsidP="00FC68B7">
      <w:pPr>
        <w:tabs>
          <w:tab w:val="left" w:pos="2155"/>
        </w:tabs>
        <w:spacing w:after="80"/>
        <w:ind w:left="680"/>
        <w:rPr>
          <w:u w:val="single"/>
        </w:rPr>
      </w:pPr>
      <w:r>
        <w:rPr>
          <w:u w:val="single"/>
        </w:rPr>
        <w:tab/>
      </w:r>
    </w:p>
  </w:footnote>
  <w:footnote w:type="continuationNotice" w:id="1">
    <w:p w:rsidR="00925F2F" w:rsidRDefault="00925F2F"/>
  </w:footnote>
  <w:footnote w:id="2">
    <w:p w:rsidR="00CD59D1" w:rsidRPr="002768DA" w:rsidRDefault="00CD59D1" w:rsidP="0044091C">
      <w:pPr>
        <w:pStyle w:val="FootnoteText"/>
        <w:widowControl w:val="0"/>
        <w:tabs>
          <w:tab w:val="clear" w:pos="1021"/>
          <w:tab w:val="right" w:pos="1020"/>
        </w:tabs>
      </w:pPr>
      <w:r>
        <w:tab/>
      </w:r>
      <w:r w:rsidRPr="002768DA">
        <w:rPr>
          <w:rStyle w:val="FootnoteReference"/>
        </w:rPr>
        <w:footnoteRef/>
      </w:r>
      <w:r w:rsidRPr="002768DA">
        <w:tab/>
      </w:r>
      <w:r w:rsidR="0044091C" w:rsidRPr="002768DA">
        <w:rPr>
          <w:i/>
        </w:rPr>
        <w:t xml:space="preserve">R.C. </w:t>
      </w:r>
      <w:r w:rsidR="0044091C" w:rsidRPr="002768DA">
        <w:rPr>
          <w:iCs/>
        </w:rPr>
        <w:t>v.</w:t>
      </w:r>
      <w:r w:rsidR="0044091C" w:rsidRPr="002768DA">
        <w:rPr>
          <w:i/>
        </w:rPr>
        <w:t xml:space="preserve"> Sweden</w:t>
      </w:r>
      <w:r w:rsidR="0044091C" w:rsidRPr="002768DA">
        <w:t>, a</w:t>
      </w:r>
      <w:r w:rsidRPr="002768DA">
        <w:t>pplication No.</w:t>
      </w:r>
      <w:r w:rsidR="0039490E" w:rsidRPr="002768DA">
        <w:t> </w:t>
      </w:r>
      <w:r w:rsidRPr="002768DA">
        <w:t xml:space="preserve">41827/07, </w:t>
      </w:r>
      <w:r w:rsidR="00491979" w:rsidRPr="002768DA">
        <w:t xml:space="preserve">judgment </w:t>
      </w:r>
      <w:r w:rsidRPr="002768DA">
        <w:t xml:space="preserve">adopted on 9 March 2010. </w:t>
      </w:r>
    </w:p>
  </w:footnote>
  <w:footnote w:id="3">
    <w:p w:rsidR="00CD59D1" w:rsidRPr="002768DA" w:rsidRDefault="00CD59D1" w:rsidP="00FA10D3">
      <w:pPr>
        <w:pStyle w:val="FootnoteText"/>
        <w:widowControl w:val="0"/>
        <w:tabs>
          <w:tab w:val="clear" w:pos="1021"/>
          <w:tab w:val="right" w:pos="1020"/>
        </w:tabs>
      </w:pPr>
      <w:r w:rsidRPr="002768DA">
        <w:tab/>
      </w:r>
      <w:r w:rsidRPr="002768DA">
        <w:rPr>
          <w:rStyle w:val="FootnoteReference"/>
        </w:rPr>
        <w:footnoteRef/>
      </w:r>
      <w:r w:rsidRPr="002768DA">
        <w:tab/>
        <w:t>The State pa</w:t>
      </w:r>
      <w:r w:rsidR="0039490E" w:rsidRPr="002768DA">
        <w:t>rty refers to communication No. </w:t>
      </w:r>
      <w:r w:rsidRPr="002768DA">
        <w:t xml:space="preserve">419/2010, </w:t>
      </w:r>
      <w:r w:rsidRPr="002768DA">
        <w:rPr>
          <w:i/>
        </w:rPr>
        <w:t xml:space="preserve">Ktiti </w:t>
      </w:r>
      <w:r w:rsidRPr="002768DA">
        <w:rPr>
          <w:iCs/>
        </w:rPr>
        <w:t>v.</w:t>
      </w:r>
      <w:r w:rsidRPr="002768DA">
        <w:rPr>
          <w:i/>
        </w:rPr>
        <w:t xml:space="preserve"> Morocco</w:t>
      </w:r>
      <w:r w:rsidRPr="002768DA">
        <w:t>, decision a</w:t>
      </w:r>
      <w:r w:rsidR="0039490E" w:rsidRPr="002768DA">
        <w:t xml:space="preserve">dopted on </w:t>
      </w:r>
      <w:r w:rsidR="00FA10D3" w:rsidRPr="002768DA">
        <w:t xml:space="preserve">26 </w:t>
      </w:r>
      <w:r w:rsidR="0039490E" w:rsidRPr="002768DA">
        <w:t>May 2008, para. </w:t>
      </w:r>
      <w:r w:rsidR="005C1CF1" w:rsidRPr="002768DA">
        <w:t>8.7.</w:t>
      </w:r>
    </w:p>
  </w:footnote>
  <w:footnote w:id="4">
    <w:p w:rsidR="00CD59D1" w:rsidRPr="002768DA" w:rsidRDefault="00CD59D1" w:rsidP="00CD59D1">
      <w:pPr>
        <w:pStyle w:val="FootnoteText"/>
        <w:widowControl w:val="0"/>
        <w:tabs>
          <w:tab w:val="clear" w:pos="1021"/>
          <w:tab w:val="right" w:pos="1020"/>
        </w:tabs>
      </w:pPr>
      <w:r w:rsidRPr="002768DA">
        <w:tab/>
      </w:r>
      <w:r w:rsidRPr="002768DA">
        <w:rPr>
          <w:rStyle w:val="FootnoteReference"/>
        </w:rPr>
        <w:footnoteRef/>
      </w:r>
      <w:r w:rsidRPr="002768DA">
        <w:tab/>
        <w:t xml:space="preserve">Ibid. </w:t>
      </w:r>
    </w:p>
  </w:footnote>
  <w:footnote w:id="5">
    <w:p w:rsidR="00CD59D1" w:rsidRPr="002768DA" w:rsidRDefault="00CD59D1" w:rsidP="004638E4">
      <w:pPr>
        <w:pStyle w:val="FootnoteText"/>
        <w:widowControl w:val="0"/>
        <w:tabs>
          <w:tab w:val="clear" w:pos="1021"/>
          <w:tab w:val="right" w:pos="1020"/>
        </w:tabs>
      </w:pPr>
      <w:r w:rsidRPr="002768DA">
        <w:tab/>
      </w:r>
      <w:r w:rsidRPr="002768DA">
        <w:rPr>
          <w:rStyle w:val="FootnoteReference"/>
        </w:rPr>
        <w:footnoteRef/>
      </w:r>
      <w:r w:rsidRPr="002768DA">
        <w:tab/>
      </w:r>
      <w:r w:rsidR="004638E4" w:rsidRPr="002768DA">
        <w:t>S</w:t>
      </w:r>
      <w:r w:rsidRPr="002768DA">
        <w:t>ee footnote</w:t>
      </w:r>
      <w:r w:rsidR="005C1CF1" w:rsidRPr="002768DA">
        <w:t> </w:t>
      </w:r>
      <w:r w:rsidRPr="002768DA">
        <w:t xml:space="preserve">1. </w:t>
      </w:r>
    </w:p>
  </w:footnote>
  <w:footnote w:id="6">
    <w:p w:rsidR="00E745BA" w:rsidRPr="002768DA" w:rsidRDefault="00E745BA" w:rsidP="0044091C">
      <w:pPr>
        <w:pStyle w:val="FootnoteText"/>
        <w:widowControl w:val="0"/>
        <w:tabs>
          <w:tab w:val="clear" w:pos="1021"/>
          <w:tab w:val="right" w:pos="1020"/>
        </w:tabs>
      </w:pPr>
      <w:r w:rsidRPr="002768DA">
        <w:tab/>
      </w:r>
      <w:r w:rsidRPr="002768DA">
        <w:rPr>
          <w:rStyle w:val="FootnoteReference"/>
        </w:rPr>
        <w:footnoteRef/>
      </w:r>
      <w:r w:rsidRPr="002768DA">
        <w:tab/>
        <w:t xml:space="preserve">The complainant refers to the recent decision of the European Court </w:t>
      </w:r>
      <w:r w:rsidR="00666842" w:rsidRPr="002768DA">
        <w:t xml:space="preserve">of </w:t>
      </w:r>
      <w:r w:rsidRPr="002768DA">
        <w:t xml:space="preserve">Human Rights in </w:t>
      </w:r>
      <w:r w:rsidR="0044091C" w:rsidRPr="002768DA">
        <w:rPr>
          <w:i/>
          <w:iCs/>
        </w:rPr>
        <w:t>S.F. and others</w:t>
      </w:r>
      <w:r w:rsidR="0044091C" w:rsidRPr="002768DA">
        <w:t xml:space="preserve"> v. </w:t>
      </w:r>
      <w:r w:rsidR="0044091C" w:rsidRPr="002768DA">
        <w:rPr>
          <w:i/>
          <w:iCs/>
        </w:rPr>
        <w:t>Sweden</w:t>
      </w:r>
      <w:r w:rsidR="0044091C" w:rsidRPr="002768DA">
        <w:t>, application</w:t>
      </w:r>
      <w:r w:rsidRPr="002768DA">
        <w:t xml:space="preserve"> </w:t>
      </w:r>
      <w:r w:rsidR="0039490E" w:rsidRPr="002768DA">
        <w:t>No. </w:t>
      </w:r>
      <w:r w:rsidRPr="002768DA">
        <w:t>52077/10, adopted on 15 May 2012, where the Court referred to Iran as “a country where on all accounts the human rights situation gives rise to grave concern. It is noted that the country information has changed and that the situation appears to have deteriorated in Iran since the domestic authorities determined the case. It is evident from the current information available on Iran that the Iranian authorities frequently detain and ill-treat persons who peacefully participate in oppositional or human rights activities in the country. The Court notes that it is not only the leaders of the political organizations or other high-profile persons who are detained but that anyone who demonstrates or in any way opposes the current regime may be at risk of being detained or ill-treated or tortured.”</w:t>
      </w:r>
      <w:r w:rsidR="0044091C" w:rsidRPr="002768DA">
        <w:t xml:space="preserve"> (para. 63).</w:t>
      </w:r>
      <w:r w:rsidRPr="002768DA">
        <w:t xml:space="preserve"> </w:t>
      </w:r>
    </w:p>
  </w:footnote>
  <w:footnote w:id="7">
    <w:p w:rsidR="00A26D85" w:rsidRPr="002768DA" w:rsidRDefault="00A26D85" w:rsidP="00346714">
      <w:pPr>
        <w:pStyle w:val="FootnoteText"/>
        <w:jc w:val="both"/>
      </w:pPr>
      <w:r w:rsidRPr="002768DA">
        <w:tab/>
      </w:r>
      <w:r w:rsidRPr="002768DA">
        <w:rPr>
          <w:rStyle w:val="FootnoteReference"/>
          <w:szCs w:val="18"/>
        </w:rPr>
        <w:footnoteRef/>
      </w:r>
      <w:r w:rsidRPr="002768DA">
        <w:tab/>
        <w:t>Conversely, the absence of a consistent pattern of flagrant violations of human rights does not mean that a person might not be subjected to torture in his or her specific circumstances.</w:t>
      </w:r>
    </w:p>
  </w:footnote>
  <w:footnote w:id="8">
    <w:p w:rsidR="00A26D85" w:rsidRPr="002768DA" w:rsidRDefault="00A26D85" w:rsidP="007C6947">
      <w:pPr>
        <w:pStyle w:val="FootnoteText"/>
        <w:rPr>
          <w:szCs w:val="18"/>
        </w:rPr>
      </w:pPr>
      <w:r w:rsidRPr="002768DA">
        <w:rPr>
          <w:szCs w:val="18"/>
        </w:rPr>
        <w:tab/>
      </w:r>
      <w:r w:rsidRPr="002768DA">
        <w:rPr>
          <w:rStyle w:val="FootnoteReference"/>
          <w:szCs w:val="18"/>
        </w:rPr>
        <w:footnoteRef/>
      </w:r>
      <w:r w:rsidRPr="002768DA">
        <w:rPr>
          <w:szCs w:val="18"/>
        </w:rPr>
        <w:tab/>
        <w:t xml:space="preserve">See, inter alia, communications No. 258/2004, </w:t>
      </w:r>
      <w:r w:rsidRPr="002768DA">
        <w:rPr>
          <w:i/>
          <w:szCs w:val="18"/>
        </w:rPr>
        <w:t xml:space="preserve">Dadar </w:t>
      </w:r>
      <w:r w:rsidR="007C6947" w:rsidRPr="002768DA">
        <w:rPr>
          <w:szCs w:val="18"/>
        </w:rPr>
        <w:t>v.</w:t>
      </w:r>
      <w:r w:rsidRPr="002768DA">
        <w:rPr>
          <w:szCs w:val="18"/>
        </w:rPr>
        <w:t xml:space="preserve"> </w:t>
      </w:r>
      <w:r w:rsidRPr="002768DA">
        <w:rPr>
          <w:i/>
          <w:szCs w:val="18"/>
        </w:rPr>
        <w:t>Canada</w:t>
      </w:r>
      <w:r w:rsidRPr="002768DA">
        <w:rPr>
          <w:szCs w:val="18"/>
        </w:rPr>
        <w:t xml:space="preserve">, decision adopted on 23 November 2005, and No. 226/2003, </w:t>
      </w:r>
      <w:r w:rsidRPr="002768DA">
        <w:rPr>
          <w:i/>
          <w:szCs w:val="18"/>
        </w:rPr>
        <w:t xml:space="preserve">T.A. </w:t>
      </w:r>
      <w:r w:rsidRPr="002768DA">
        <w:rPr>
          <w:szCs w:val="18"/>
        </w:rPr>
        <w:t>v.</w:t>
      </w:r>
      <w:r w:rsidRPr="002768DA">
        <w:rPr>
          <w:i/>
          <w:szCs w:val="18"/>
        </w:rPr>
        <w:t xml:space="preserve"> Sweden</w:t>
      </w:r>
      <w:r w:rsidRPr="002768DA">
        <w:rPr>
          <w:szCs w:val="18"/>
        </w:rPr>
        <w:t>, decision adopted on 6 May 2005.</w:t>
      </w:r>
    </w:p>
  </w:footnote>
  <w:footnote w:id="9">
    <w:p w:rsidR="00A26D85" w:rsidRPr="002768DA" w:rsidRDefault="00A26D85" w:rsidP="007C6947">
      <w:pPr>
        <w:pStyle w:val="FootnoteText"/>
        <w:rPr>
          <w:szCs w:val="18"/>
        </w:rPr>
      </w:pPr>
      <w:r w:rsidRPr="002768DA">
        <w:rPr>
          <w:szCs w:val="18"/>
        </w:rPr>
        <w:tab/>
      </w:r>
      <w:r w:rsidRPr="002768DA">
        <w:rPr>
          <w:rStyle w:val="FootnoteReference"/>
          <w:szCs w:val="18"/>
        </w:rPr>
        <w:footnoteRef/>
      </w:r>
      <w:r w:rsidRPr="002768DA">
        <w:rPr>
          <w:szCs w:val="18"/>
        </w:rPr>
        <w:tab/>
        <w:t>General comment No. 1</w:t>
      </w:r>
      <w:r w:rsidR="001C737D" w:rsidRPr="002768DA">
        <w:rPr>
          <w:szCs w:val="18"/>
        </w:rPr>
        <w:t xml:space="preserve"> (1997) on the implementation of article 3 of the Convention in the context of article 22</w:t>
      </w:r>
      <w:r w:rsidRPr="002768DA">
        <w:rPr>
          <w:szCs w:val="18"/>
        </w:rPr>
        <w:t xml:space="preserve">, para. 9; communication No. 375/2009, </w:t>
      </w:r>
      <w:r w:rsidRPr="002768DA">
        <w:rPr>
          <w:i/>
          <w:szCs w:val="18"/>
        </w:rPr>
        <w:t xml:space="preserve">T.D. </w:t>
      </w:r>
      <w:r w:rsidR="007C6947" w:rsidRPr="002768DA">
        <w:rPr>
          <w:szCs w:val="18"/>
        </w:rPr>
        <w:t>v.</w:t>
      </w:r>
      <w:r w:rsidRPr="002768DA">
        <w:rPr>
          <w:i/>
          <w:szCs w:val="18"/>
        </w:rPr>
        <w:t xml:space="preserve"> Switzerland</w:t>
      </w:r>
      <w:r w:rsidRPr="002768DA">
        <w:rPr>
          <w:szCs w:val="18"/>
        </w:rPr>
        <w:t>, decision adopted on 26 May 2011, para. 7.7.</w:t>
      </w:r>
    </w:p>
  </w:footnote>
  <w:footnote w:id="10">
    <w:p w:rsidR="006D3DA6" w:rsidRPr="002768DA" w:rsidRDefault="006D3DA6" w:rsidP="00525DC7">
      <w:pPr>
        <w:pStyle w:val="FootnoteText"/>
        <w:widowControl w:val="0"/>
        <w:tabs>
          <w:tab w:val="clear" w:pos="1021"/>
          <w:tab w:val="right" w:pos="1020"/>
        </w:tabs>
      </w:pPr>
      <w:r w:rsidRPr="002768DA">
        <w:tab/>
      </w:r>
      <w:r w:rsidRPr="002768DA">
        <w:rPr>
          <w:rStyle w:val="FootnoteReference"/>
        </w:rPr>
        <w:footnoteRef/>
      </w:r>
      <w:r w:rsidR="0039490E" w:rsidRPr="002768DA">
        <w:tab/>
        <w:t>See communication</w:t>
      </w:r>
      <w:r w:rsidR="00525DC7" w:rsidRPr="002768DA">
        <w:t>s</w:t>
      </w:r>
      <w:r w:rsidR="0039490E" w:rsidRPr="002768DA">
        <w:t xml:space="preserve"> No. </w:t>
      </w:r>
      <w:r w:rsidRPr="002768DA">
        <w:t xml:space="preserve">481/2011, </w:t>
      </w:r>
      <w:r w:rsidRPr="002768DA">
        <w:rPr>
          <w:i/>
        </w:rPr>
        <w:t xml:space="preserve">K.N., F.W. and S.N. </w:t>
      </w:r>
      <w:r w:rsidRPr="002768DA">
        <w:rPr>
          <w:iCs/>
        </w:rPr>
        <w:t>v.</w:t>
      </w:r>
      <w:r w:rsidRPr="002768DA">
        <w:rPr>
          <w:i/>
        </w:rPr>
        <w:t xml:space="preserve"> Switzerland</w:t>
      </w:r>
      <w:r w:rsidRPr="002768DA">
        <w:t>, decision adopted on 19 May 2014; No.</w:t>
      </w:r>
      <w:r w:rsidR="0039490E" w:rsidRPr="002768DA">
        <w:t> </w:t>
      </w:r>
      <w:r w:rsidRPr="002768DA">
        <w:t xml:space="preserve">357/2008, </w:t>
      </w:r>
      <w:r w:rsidRPr="002768DA">
        <w:rPr>
          <w:i/>
        </w:rPr>
        <w:t xml:space="preserve">Jahani </w:t>
      </w:r>
      <w:r w:rsidRPr="002768DA">
        <w:rPr>
          <w:iCs/>
        </w:rPr>
        <w:t>v.</w:t>
      </w:r>
      <w:r w:rsidRPr="002768DA">
        <w:rPr>
          <w:i/>
        </w:rPr>
        <w:t xml:space="preserve"> Switzerland</w:t>
      </w:r>
      <w:r w:rsidRPr="002768DA">
        <w:t>, decision adopted on</w:t>
      </w:r>
      <w:r w:rsidR="0039490E" w:rsidRPr="002768DA">
        <w:t xml:space="preserve"> 23 May 2011; No. </w:t>
      </w:r>
      <w:r w:rsidRPr="002768DA">
        <w:t xml:space="preserve">381/2009, </w:t>
      </w:r>
      <w:r w:rsidRPr="002768DA">
        <w:rPr>
          <w:i/>
        </w:rPr>
        <w:t xml:space="preserve">Faragollah et al. </w:t>
      </w:r>
      <w:r w:rsidRPr="002768DA">
        <w:rPr>
          <w:iCs/>
        </w:rPr>
        <w:t>v.</w:t>
      </w:r>
      <w:r w:rsidRPr="002768DA">
        <w:rPr>
          <w:i/>
        </w:rPr>
        <w:t xml:space="preserve"> Switzerland</w:t>
      </w:r>
      <w:r w:rsidRPr="002768DA">
        <w:t xml:space="preserve">, decision adopted on 21 November 2011. </w:t>
      </w:r>
    </w:p>
  </w:footnote>
  <w:footnote w:id="11">
    <w:p w:rsidR="003637DA" w:rsidRPr="002768DA" w:rsidRDefault="007C6947" w:rsidP="004855F2">
      <w:pPr>
        <w:pStyle w:val="FootnoteText"/>
        <w:widowControl w:val="0"/>
      </w:pPr>
      <w:r w:rsidRPr="002768DA">
        <w:tab/>
      </w:r>
      <w:r w:rsidR="003637DA" w:rsidRPr="002768DA">
        <w:rPr>
          <w:rStyle w:val="FootnoteReference"/>
        </w:rPr>
        <w:footnoteRef/>
      </w:r>
      <w:r w:rsidRPr="002768DA">
        <w:tab/>
      </w:r>
      <w:r w:rsidR="003637DA" w:rsidRPr="002768DA">
        <w:t xml:space="preserve">See </w:t>
      </w:r>
      <w:r w:rsidR="004855F2" w:rsidRPr="002768DA">
        <w:t>the r</w:t>
      </w:r>
      <w:r w:rsidR="003637DA" w:rsidRPr="002768DA">
        <w:t xml:space="preserve">eport of the Special Rapporteur on the situation of human rights in the Islamic Republic of Iran </w:t>
      </w:r>
      <w:r w:rsidR="00525DC7" w:rsidRPr="002768DA">
        <w:t>(</w:t>
      </w:r>
      <w:r w:rsidR="003637DA" w:rsidRPr="002768DA">
        <w:t>A/69/356</w:t>
      </w:r>
      <w:r w:rsidR="00525DC7" w:rsidRPr="002768DA">
        <w:t>)</w:t>
      </w:r>
      <w:r w:rsidR="003637DA" w:rsidRPr="002768DA">
        <w:t>, para</w:t>
      </w:r>
      <w:r w:rsidR="0039490E" w:rsidRPr="002768DA">
        <w:t>. </w:t>
      </w:r>
      <w:r w:rsidR="003637DA" w:rsidRPr="002768DA">
        <w:t>16.</w:t>
      </w:r>
    </w:p>
  </w:footnote>
  <w:footnote w:id="12">
    <w:p w:rsidR="0095775F" w:rsidRPr="002768DA" w:rsidRDefault="0095775F" w:rsidP="004855F2">
      <w:pPr>
        <w:pStyle w:val="FootnoteText"/>
        <w:widowControl w:val="0"/>
        <w:tabs>
          <w:tab w:val="clear" w:pos="1021"/>
          <w:tab w:val="right" w:pos="1020"/>
        </w:tabs>
      </w:pPr>
      <w:r w:rsidRPr="002768DA">
        <w:tab/>
      </w:r>
      <w:r w:rsidRPr="002768DA">
        <w:rPr>
          <w:rStyle w:val="FootnoteReference"/>
        </w:rPr>
        <w:footnoteRef/>
      </w:r>
      <w:r w:rsidRPr="002768DA">
        <w:tab/>
        <w:t xml:space="preserve">See </w:t>
      </w:r>
      <w:r w:rsidR="004855F2" w:rsidRPr="002768DA">
        <w:t>the r</w:t>
      </w:r>
      <w:r w:rsidRPr="002768DA">
        <w:t xml:space="preserve">eport of the Special Rapporteur on the </w:t>
      </w:r>
      <w:r w:rsidR="00392537" w:rsidRPr="002768DA">
        <w:t>s</w:t>
      </w:r>
      <w:r w:rsidRPr="002768DA">
        <w:t xml:space="preserve">ituation of human rights in the Islamic Republic of Iran </w:t>
      </w:r>
      <w:r w:rsidR="00525DC7" w:rsidRPr="002768DA">
        <w:t>(</w:t>
      </w:r>
      <w:r w:rsidRPr="002768DA">
        <w:t>A/HRC/25/61</w:t>
      </w:r>
      <w:r w:rsidR="00525DC7" w:rsidRPr="002768DA">
        <w:t>)</w:t>
      </w:r>
      <w:r w:rsidRPr="002768DA">
        <w:t xml:space="preserve">, </w:t>
      </w:r>
      <w:r w:rsidR="0039490E" w:rsidRPr="002768DA">
        <w:t>paras. </w:t>
      </w:r>
      <w:r w:rsidRPr="002768DA">
        <w:t>23</w:t>
      </w:r>
      <w:r w:rsidR="00392537" w:rsidRPr="002768DA">
        <w:t>–</w:t>
      </w:r>
      <w:r w:rsidRPr="002768DA">
        <w:t xml:space="preserve">29; Note by the Secretary-General on the </w:t>
      </w:r>
      <w:r w:rsidR="00392537" w:rsidRPr="002768DA">
        <w:t>s</w:t>
      </w:r>
      <w:r w:rsidRPr="002768DA">
        <w:t xml:space="preserve">ituation of human rights in the Islamic Republic of Iran </w:t>
      </w:r>
      <w:r w:rsidR="00392537" w:rsidRPr="002768DA">
        <w:t>(</w:t>
      </w:r>
      <w:r w:rsidRPr="002768DA">
        <w:t>A/68/503</w:t>
      </w:r>
      <w:r w:rsidR="00392537" w:rsidRPr="002768DA">
        <w:t>)</w:t>
      </w:r>
      <w:r w:rsidRPr="002768DA">
        <w:t xml:space="preserve">, </w:t>
      </w:r>
      <w:r w:rsidR="0039490E" w:rsidRPr="002768DA">
        <w:t>paras. </w:t>
      </w:r>
      <w:r w:rsidRPr="002768DA">
        <w:t>1,</w:t>
      </w:r>
      <w:r w:rsidR="00392537" w:rsidRPr="002768DA">
        <w:t> </w:t>
      </w:r>
      <w:r w:rsidRPr="002768DA">
        <w:t>6,</w:t>
      </w:r>
      <w:r w:rsidR="00392537" w:rsidRPr="002768DA">
        <w:t> </w:t>
      </w:r>
      <w:r w:rsidRPr="002768DA">
        <w:t>8</w:t>
      </w:r>
      <w:r w:rsidR="00392537" w:rsidRPr="002768DA">
        <w:t xml:space="preserve"> and</w:t>
      </w:r>
      <w:r w:rsidR="00525DC7" w:rsidRPr="002768DA">
        <w:t xml:space="preserve"> </w:t>
      </w:r>
      <w:r w:rsidRPr="002768DA">
        <w:t xml:space="preserve">30. </w:t>
      </w:r>
    </w:p>
  </w:footnote>
  <w:footnote w:id="13">
    <w:p w:rsidR="0095775F" w:rsidRPr="002768DA" w:rsidRDefault="0095775F" w:rsidP="00224FD8">
      <w:pPr>
        <w:pStyle w:val="FootnoteText"/>
        <w:widowControl w:val="0"/>
        <w:tabs>
          <w:tab w:val="clear" w:pos="1021"/>
          <w:tab w:val="right" w:pos="1020"/>
        </w:tabs>
      </w:pPr>
      <w:r w:rsidRPr="002768DA">
        <w:tab/>
      </w:r>
      <w:r w:rsidRPr="002768DA">
        <w:rPr>
          <w:rStyle w:val="FootnoteReference"/>
        </w:rPr>
        <w:footnoteRef/>
      </w:r>
      <w:r w:rsidRPr="002768DA">
        <w:tab/>
        <w:t xml:space="preserve">See </w:t>
      </w:r>
      <w:r w:rsidR="00224FD8" w:rsidRPr="002768DA">
        <w:t>A/HRC/25/61</w:t>
      </w:r>
      <w:r w:rsidR="007C6947" w:rsidRPr="002768DA">
        <w:t xml:space="preserve"> </w:t>
      </w:r>
      <w:r w:rsidR="00224FD8" w:rsidRPr="002768DA">
        <w:t>(</w:t>
      </w:r>
      <w:r w:rsidR="007C6947" w:rsidRPr="002768DA">
        <w:t>see footnote </w:t>
      </w:r>
      <w:r w:rsidRPr="002768DA">
        <w:t>1</w:t>
      </w:r>
      <w:r w:rsidR="003E60DB" w:rsidRPr="002768DA">
        <w:t>1</w:t>
      </w:r>
      <w:r w:rsidR="00224FD8" w:rsidRPr="002768DA">
        <w:t>)</w:t>
      </w:r>
      <w:r w:rsidRPr="002768DA">
        <w:t xml:space="preserve">, </w:t>
      </w:r>
      <w:r w:rsidR="0039490E" w:rsidRPr="002768DA">
        <w:t>paras. </w:t>
      </w:r>
      <w:r w:rsidR="009C2A1C" w:rsidRPr="002768DA">
        <w:t>6</w:t>
      </w:r>
      <w:r w:rsidR="00224FD8" w:rsidRPr="002768DA">
        <w:t>–</w:t>
      </w:r>
      <w:r w:rsidR="009C2A1C" w:rsidRPr="002768DA">
        <w:t>12</w:t>
      </w:r>
      <w:r w:rsidR="00525DC7" w:rsidRPr="002768DA">
        <w:t xml:space="preserve"> and</w:t>
      </w:r>
      <w:r w:rsidR="0039490E" w:rsidRPr="002768DA">
        <w:t xml:space="preserve"> 84; See also communication No. </w:t>
      </w:r>
      <w:r w:rsidRPr="002768DA">
        <w:t xml:space="preserve">481/2011, </w:t>
      </w:r>
      <w:r w:rsidRPr="002768DA">
        <w:rPr>
          <w:i/>
        </w:rPr>
        <w:t xml:space="preserve">K.N., F.W. and S.N. </w:t>
      </w:r>
      <w:r w:rsidRPr="002768DA">
        <w:rPr>
          <w:iCs/>
        </w:rPr>
        <w:t>v.</w:t>
      </w:r>
      <w:r w:rsidRPr="002768DA">
        <w:rPr>
          <w:i/>
        </w:rPr>
        <w:t xml:space="preserve"> Switzerland</w:t>
      </w:r>
      <w:r w:rsidR="000A4AB2" w:rsidRPr="002768DA">
        <w:t xml:space="preserve"> (see</w:t>
      </w:r>
      <w:r w:rsidRPr="002768DA">
        <w:t xml:space="preserve"> footnote</w:t>
      </w:r>
      <w:r w:rsidR="007C6947" w:rsidRPr="002768DA">
        <w:t> </w:t>
      </w:r>
      <w:r w:rsidRPr="002768DA">
        <w:t>11</w:t>
      </w:r>
      <w:r w:rsidR="000A4AB2" w:rsidRPr="002768DA">
        <w:t>)</w:t>
      </w:r>
      <w:r w:rsidRPr="002768DA">
        <w:t>, para</w:t>
      </w:r>
      <w:r w:rsidR="0039490E" w:rsidRPr="002768DA">
        <w:t>. </w:t>
      </w:r>
      <w:r w:rsidRPr="002768DA">
        <w:t xml:space="preserve">7.6. </w:t>
      </w:r>
    </w:p>
  </w:footnote>
  <w:footnote w:id="14">
    <w:p w:rsidR="00BA2935" w:rsidRPr="002768DA" w:rsidRDefault="00BA2935" w:rsidP="0000125F">
      <w:pPr>
        <w:pStyle w:val="FootnoteText"/>
        <w:widowControl w:val="0"/>
        <w:tabs>
          <w:tab w:val="clear" w:pos="1021"/>
          <w:tab w:val="right" w:pos="1020"/>
        </w:tabs>
      </w:pPr>
      <w:r w:rsidRPr="002768DA">
        <w:tab/>
      </w:r>
      <w:r w:rsidRPr="002768DA">
        <w:rPr>
          <w:rStyle w:val="FootnoteReference"/>
        </w:rPr>
        <w:footnoteRef/>
      </w:r>
      <w:r w:rsidRPr="002768DA">
        <w:tab/>
        <w:t>See A/HRC/25/61</w:t>
      </w:r>
      <w:r w:rsidR="00A67DCE" w:rsidRPr="002768DA">
        <w:t xml:space="preserve"> (see footnote </w:t>
      </w:r>
      <w:r w:rsidR="003E60DB" w:rsidRPr="002768DA">
        <w:t>11</w:t>
      </w:r>
      <w:r w:rsidR="00A67DCE" w:rsidRPr="002768DA">
        <w:t>)</w:t>
      </w:r>
      <w:r w:rsidRPr="002768DA">
        <w:t xml:space="preserve">, </w:t>
      </w:r>
      <w:r w:rsidR="0039490E" w:rsidRPr="002768DA">
        <w:t>paras. </w:t>
      </w:r>
      <w:r w:rsidRPr="002768DA">
        <w:t>88</w:t>
      </w:r>
      <w:r w:rsidR="00392537" w:rsidRPr="002768DA">
        <w:t>–</w:t>
      </w:r>
      <w:r w:rsidRPr="002768DA">
        <w:t>90; A/68/503</w:t>
      </w:r>
      <w:r w:rsidR="003E60DB" w:rsidRPr="002768DA">
        <w:t xml:space="preserve"> (see footnote 11)</w:t>
      </w:r>
      <w:r w:rsidRPr="002768DA">
        <w:t xml:space="preserve">, </w:t>
      </w:r>
      <w:r w:rsidR="0039490E" w:rsidRPr="002768DA">
        <w:t>paras. </w:t>
      </w:r>
      <w:r w:rsidRPr="002768DA">
        <w:t>6</w:t>
      </w:r>
      <w:r w:rsidR="00392537" w:rsidRPr="002768DA">
        <w:t>–</w:t>
      </w:r>
      <w:r w:rsidRPr="002768DA">
        <w:t xml:space="preserve">15. </w:t>
      </w:r>
    </w:p>
  </w:footnote>
  <w:footnote w:id="15">
    <w:p w:rsidR="00BA2935" w:rsidRPr="002768DA" w:rsidRDefault="00BA2935" w:rsidP="00776435">
      <w:pPr>
        <w:pStyle w:val="FootnoteText"/>
        <w:widowControl w:val="0"/>
        <w:tabs>
          <w:tab w:val="clear" w:pos="1021"/>
          <w:tab w:val="right" w:pos="1020"/>
        </w:tabs>
      </w:pPr>
      <w:r w:rsidRPr="002768DA">
        <w:tab/>
      </w:r>
      <w:r w:rsidRPr="002768DA">
        <w:rPr>
          <w:rStyle w:val="FootnoteReference"/>
        </w:rPr>
        <w:footnoteRef/>
      </w:r>
      <w:r w:rsidR="0039490E" w:rsidRPr="002768DA">
        <w:tab/>
      </w:r>
      <w:r w:rsidR="00B07377" w:rsidRPr="002768DA">
        <w:rPr>
          <w:i/>
        </w:rPr>
        <w:t xml:space="preserve">S.F. and others </w:t>
      </w:r>
      <w:r w:rsidR="00B07377" w:rsidRPr="002768DA">
        <w:rPr>
          <w:iCs/>
        </w:rPr>
        <w:t>v.</w:t>
      </w:r>
      <w:r w:rsidR="00B07377" w:rsidRPr="002768DA">
        <w:rPr>
          <w:i/>
        </w:rPr>
        <w:t xml:space="preserve"> Sweden</w:t>
      </w:r>
      <w:r w:rsidR="00776435" w:rsidRPr="002768DA">
        <w:t xml:space="preserve"> (see footnote 6)</w:t>
      </w:r>
      <w:r w:rsidRPr="002768DA">
        <w:t xml:space="preserve">. </w:t>
      </w:r>
    </w:p>
  </w:footnote>
  <w:footnote w:id="16">
    <w:p w:rsidR="00BA2935" w:rsidRPr="00464A36" w:rsidRDefault="00BA2935" w:rsidP="005E15DC">
      <w:pPr>
        <w:pStyle w:val="FootnoteText"/>
        <w:widowControl w:val="0"/>
        <w:tabs>
          <w:tab w:val="clear" w:pos="1021"/>
          <w:tab w:val="right" w:pos="1020"/>
        </w:tabs>
      </w:pPr>
      <w:r w:rsidRPr="002768DA">
        <w:tab/>
      </w:r>
      <w:r w:rsidRPr="002768DA">
        <w:rPr>
          <w:rStyle w:val="FootnoteReference"/>
        </w:rPr>
        <w:footnoteRef/>
      </w:r>
      <w:r w:rsidRPr="002768DA">
        <w:tab/>
        <w:t>See the Committee’s communications No.</w:t>
      </w:r>
      <w:r w:rsidR="0039490E" w:rsidRPr="002768DA">
        <w:t> </w:t>
      </w:r>
      <w:r w:rsidRPr="002768DA">
        <w:t xml:space="preserve">339/2008, </w:t>
      </w:r>
      <w:r w:rsidRPr="002768DA">
        <w:rPr>
          <w:i/>
        </w:rPr>
        <w:t xml:space="preserve">Amini </w:t>
      </w:r>
      <w:r w:rsidRPr="002768DA">
        <w:rPr>
          <w:iCs/>
        </w:rPr>
        <w:t>v.</w:t>
      </w:r>
      <w:r w:rsidR="007C6947" w:rsidRPr="002768DA">
        <w:rPr>
          <w:i/>
        </w:rPr>
        <w:t xml:space="preserve"> </w:t>
      </w:r>
      <w:r w:rsidRPr="002768DA">
        <w:rPr>
          <w:i/>
        </w:rPr>
        <w:t>Denmark</w:t>
      </w:r>
      <w:r w:rsidRPr="002768DA">
        <w:t xml:space="preserve">, decision adopted on </w:t>
      </w:r>
      <w:r w:rsidR="0039490E" w:rsidRPr="002768DA">
        <w:t>15 November 2010, para. 9.8, No. </w:t>
      </w:r>
      <w:r w:rsidRPr="002768DA">
        <w:t xml:space="preserve">357/2008 </w:t>
      </w:r>
      <w:r w:rsidRPr="002768DA">
        <w:rPr>
          <w:i/>
        </w:rPr>
        <w:t xml:space="preserve">Jahani </w:t>
      </w:r>
      <w:r w:rsidRPr="002768DA">
        <w:rPr>
          <w:iCs/>
        </w:rPr>
        <w:t>v.</w:t>
      </w:r>
      <w:r w:rsidRPr="002768DA">
        <w:rPr>
          <w:i/>
        </w:rPr>
        <w:t xml:space="preserve"> Switzerland</w:t>
      </w:r>
      <w:r w:rsidR="00FA10D3" w:rsidRPr="002768DA">
        <w:t xml:space="preserve"> </w:t>
      </w:r>
      <w:r w:rsidR="00B07377" w:rsidRPr="002768DA">
        <w:t>(</w:t>
      </w:r>
      <w:r w:rsidR="0039490E" w:rsidRPr="002768DA">
        <w:t>see footnote 11</w:t>
      </w:r>
      <w:r w:rsidR="00B07377" w:rsidRPr="002768DA">
        <w:t>)</w:t>
      </w:r>
      <w:r w:rsidR="0039490E" w:rsidRPr="002768DA">
        <w:t>, para. 9.4, No. </w:t>
      </w:r>
      <w:r w:rsidRPr="002768DA">
        <w:t xml:space="preserve">381/2009, </w:t>
      </w:r>
      <w:r w:rsidRPr="002768DA">
        <w:rPr>
          <w:i/>
        </w:rPr>
        <w:t xml:space="preserve">Faragollah et al. </w:t>
      </w:r>
      <w:r w:rsidRPr="002768DA">
        <w:rPr>
          <w:iCs/>
        </w:rPr>
        <w:t>v.</w:t>
      </w:r>
      <w:r w:rsidRPr="002768DA">
        <w:rPr>
          <w:i/>
        </w:rPr>
        <w:t xml:space="preserve"> Switzerland</w:t>
      </w:r>
      <w:r w:rsidRPr="002768DA">
        <w:t xml:space="preserve"> </w:t>
      </w:r>
      <w:r w:rsidR="00B07377" w:rsidRPr="002768DA">
        <w:t>(</w:t>
      </w:r>
      <w:r w:rsidRPr="002768DA">
        <w:t>see footnote 11</w:t>
      </w:r>
      <w:r w:rsidR="00B07377" w:rsidRPr="002768DA">
        <w:t>)</w:t>
      </w:r>
      <w:r w:rsidRPr="002768DA">
        <w:t xml:space="preserve">, </w:t>
      </w:r>
      <w:r w:rsidR="0039490E" w:rsidRPr="002768DA">
        <w:t>para. </w:t>
      </w:r>
      <w:r w:rsidRPr="002768DA">
        <w:t>9.6.</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295" w:rsidRPr="00560821" w:rsidRDefault="00CB6295" w:rsidP="00560821">
    <w:pPr>
      <w:pStyle w:val="Header"/>
    </w:pPr>
    <w:r w:rsidRPr="00560821">
      <w:t>CAT/C/5</w:t>
    </w:r>
    <w:r w:rsidR="007C01BE">
      <w:t>3</w:t>
    </w:r>
    <w:r w:rsidRPr="00560821">
      <w:t>/D/</w:t>
    </w:r>
    <w:r w:rsidR="007C01BE">
      <w:t>489</w:t>
    </w:r>
    <w:r w:rsidRPr="00560821">
      <w:t>/20</w:t>
    </w:r>
    <w:r w:rsidR="007C01BE">
      <w:t>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295" w:rsidRPr="00560821" w:rsidRDefault="00CB6295" w:rsidP="00560821">
    <w:pPr>
      <w:pStyle w:val="Header"/>
      <w:jc w:val="right"/>
    </w:pPr>
    <w:r w:rsidRPr="00560821">
      <w:t>CAT/C/5</w:t>
    </w:r>
    <w:r w:rsidR="007C01BE">
      <w:t>3</w:t>
    </w:r>
    <w:r w:rsidRPr="00560821">
      <w:t>/D/</w:t>
    </w:r>
    <w:r w:rsidR="007C01BE">
      <w:t>489</w:t>
    </w:r>
    <w:r w:rsidRPr="00560821">
      <w:t>/20</w:t>
    </w:r>
    <w:r w:rsidR="007C01BE">
      <w:t>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57E679C2"/>
    <w:lvl w:ilvl="0" w:tplc="075A6416">
      <w:start w:val="1"/>
      <w:numFmt w:val="decimal"/>
      <w:pStyle w:val="ParaNoG"/>
      <w:lvlText w:val="%1."/>
      <w:lvlJc w:val="left"/>
      <w:pPr>
        <w:tabs>
          <w:tab w:val="num" w:pos="1494"/>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C05691"/>
    <w:multiLevelType w:val="singleLevel"/>
    <w:tmpl w:val="36084DBE"/>
    <w:lvl w:ilvl="0">
      <w:start w:val="1"/>
      <w:numFmt w:val="decimal"/>
      <w:lvlText w:val="%1."/>
      <w:lvlJc w:val="left"/>
      <w:pPr>
        <w:tabs>
          <w:tab w:val="num" w:pos="1440"/>
        </w:tabs>
        <w:ind w:left="1440" w:hanging="720"/>
      </w:pPr>
    </w:lvl>
  </w:abstractNum>
  <w:abstractNum w:abstractNumId="12"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8CE72D2"/>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0AC26C62"/>
    <w:multiLevelType w:val="singleLevel"/>
    <w:tmpl w:val="561E0F3E"/>
    <w:lvl w:ilvl="0">
      <w:start w:val="1"/>
      <w:numFmt w:val="decimal"/>
      <w:lvlText w:val="%1."/>
      <w:lvlJc w:val="left"/>
      <w:pPr>
        <w:tabs>
          <w:tab w:val="num" w:pos="720"/>
        </w:tabs>
        <w:ind w:left="720" w:hanging="720"/>
      </w:pPr>
    </w:lvl>
  </w:abstractNum>
  <w:abstractNum w:abstractNumId="15" w15:restartNumberingAfterBreak="0">
    <w:nsid w:val="0C2069F6"/>
    <w:multiLevelType w:val="hybridMultilevel"/>
    <w:tmpl w:val="AD0A083E"/>
    <w:lvl w:ilvl="0" w:tplc="50A07FE0">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70C549E"/>
    <w:multiLevelType w:val="singleLevel"/>
    <w:tmpl w:val="01325DD6"/>
    <w:lvl w:ilvl="0">
      <w:start w:val="1"/>
      <w:numFmt w:val="lowerLetter"/>
      <w:lvlText w:val="(%1)"/>
      <w:lvlJc w:val="left"/>
      <w:pPr>
        <w:tabs>
          <w:tab w:val="num" w:pos="720"/>
        </w:tabs>
        <w:ind w:left="720" w:hanging="720"/>
      </w:pPr>
    </w:lvl>
  </w:abstractNum>
  <w:abstractNum w:abstractNumId="18"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C222FB"/>
    <w:multiLevelType w:val="multilevel"/>
    <w:tmpl w:val="1E889F86"/>
    <w:lvl w:ilvl="0">
      <w:start w:val="1"/>
      <w:numFmt w:val="bullet"/>
      <w:lvlText w:val="•"/>
      <w:lvlJc w:val="left"/>
      <w:pPr>
        <w:tabs>
          <w:tab w:val="num" w:pos="1701"/>
        </w:tabs>
        <w:ind w:left="1701"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1212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9431D71"/>
    <w:multiLevelType w:val="hybridMultilevel"/>
    <w:tmpl w:val="4B00A394"/>
    <w:lvl w:ilvl="0" w:tplc="F558ED82">
      <w:start w:val="1"/>
      <w:numFmt w:val="bullet"/>
      <w:lvlText w:val=""/>
      <w:lvlJc w:val="left"/>
      <w:pPr>
        <w:tabs>
          <w:tab w:val="num" w:pos="2345"/>
        </w:tabs>
        <w:ind w:left="2268"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3F49C6"/>
    <w:multiLevelType w:val="singleLevel"/>
    <w:tmpl w:val="720CB540"/>
    <w:lvl w:ilvl="0">
      <w:start w:val="1"/>
      <w:numFmt w:val="lowerRoman"/>
      <w:lvlText w:val="(%1)"/>
      <w:lvlJc w:val="right"/>
      <w:pPr>
        <w:tabs>
          <w:tab w:val="num" w:pos="2160"/>
        </w:tabs>
        <w:ind w:left="2160" w:hanging="516"/>
      </w:pPr>
    </w:lvl>
  </w:abstractNum>
  <w:abstractNum w:abstractNumId="23" w15:restartNumberingAfterBreak="0">
    <w:nsid w:val="2B645B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EE137A6"/>
    <w:multiLevelType w:val="hybridMultilevel"/>
    <w:tmpl w:val="32E840B0"/>
    <w:lvl w:ilvl="0" w:tplc="19D69D98">
      <w:start w:val="1"/>
      <w:numFmt w:val="bullet"/>
      <w:lvlText w:val=""/>
      <w:lvlJc w:val="left"/>
      <w:pPr>
        <w:tabs>
          <w:tab w:val="num" w:pos="1778"/>
        </w:tabs>
        <w:ind w:left="1701"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02A75A7"/>
    <w:multiLevelType w:val="singleLevel"/>
    <w:tmpl w:val="3496DD40"/>
    <w:lvl w:ilvl="0">
      <w:start w:val="1"/>
      <w:numFmt w:val="decimal"/>
      <w:lvlText w:val="(%1)"/>
      <w:lvlJc w:val="left"/>
      <w:pPr>
        <w:tabs>
          <w:tab w:val="num" w:pos="1440"/>
        </w:tabs>
        <w:ind w:left="1440" w:hanging="720"/>
      </w:pPr>
    </w:lvl>
  </w:abstractNum>
  <w:abstractNum w:abstractNumId="26"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6255761"/>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3CB061AB"/>
    <w:multiLevelType w:val="singleLevel"/>
    <w:tmpl w:val="11B83F58"/>
    <w:lvl w:ilvl="0">
      <w:start w:val="1"/>
      <w:numFmt w:val="decimal"/>
      <w:lvlText w:val="%1."/>
      <w:lvlJc w:val="left"/>
      <w:pPr>
        <w:tabs>
          <w:tab w:val="num" w:pos="1494"/>
        </w:tabs>
        <w:ind w:left="1133" w:firstLine="1"/>
      </w:pPr>
      <w:rPr>
        <w:rFonts w:hint="default"/>
      </w:rPr>
    </w:lvl>
  </w:abstractNum>
  <w:abstractNum w:abstractNumId="29" w15:restartNumberingAfterBreak="0">
    <w:nsid w:val="40221049"/>
    <w:multiLevelType w:val="singleLevel"/>
    <w:tmpl w:val="04D4B0C4"/>
    <w:lvl w:ilvl="0">
      <w:start w:val="1"/>
      <w:numFmt w:val="decimal"/>
      <w:lvlText w:val="%1."/>
      <w:lvlJc w:val="left"/>
      <w:pPr>
        <w:tabs>
          <w:tab w:val="num" w:pos="360"/>
        </w:tabs>
        <w:ind w:left="360" w:hanging="360"/>
      </w:pPr>
    </w:lvl>
  </w:abstractNum>
  <w:abstractNum w:abstractNumId="30" w15:restartNumberingAfterBreak="0">
    <w:nsid w:val="452D144C"/>
    <w:multiLevelType w:val="singleLevel"/>
    <w:tmpl w:val="7C4C0A7C"/>
    <w:lvl w:ilvl="0">
      <w:start w:val="1"/>
      <w:numFmt w:val="decimal"/>
      <w:lvlText w:val="(%1)"/>
      <w:lvlJc w:val="left"/>
      <w:pPr>
        <w:tabs>
          <w:tab w:val="num" w:pos="720"/>
        </w:tabs>
        <w:ind w:left="720" w:hanging="720"/>
      </w:pPr>
    </w:lvl>
  </w:abstractNum>
  <w:abstractNum w:abstractNumId="31" w15:restartNumberingAfterBreak="0">
    <w:nsid w:val="489F3657"/>
    <w:multiLevelType w:val="singleLevel"/>
    <w:tmpl w:val="2AB2508E"/>
    <w:lvl w:ilvl="0">
      <w:start w:val="1"/>
      <w:numFmt w:val="decimal"/>
      <w:lvlText w:val="%1."/>
      <w:lvlJc w:val="left"/>
      <w:pPr>
        <w:tabs>
          <w:tab w:val="num" w:pos="360"/>
        </w:tabs>
        <w:ind w:left="-1" w:firstLine="1"/>
      </w:pPr>
      <w:rPr>
        <w:rFonts w:hint="default"/>
      </w:rPr>
    </w:lvl>
  </w:abstractNum>
  <w:abstractNum w:abstractNumId="32" w15:restartNumberingAfterBreak="0">
    <w:nsid w:val="4EFA2598"/>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53034E71"/>
    <w:multiLevelType w:val="hybridMultilevel"/>
    <w:tmpl w:val="163C6DCC"/>
    <w:lvl w:ilvl="0" w:tplc="7148736E">
      <w:start w:val="1"/>
      <w:numFmt w:val="bullet"/>
      <w:lvlText w:val=""/>
      <w:lvlJc w:val="left"/>
      <w:pPr>
        <w:tabs>
          <w:tab w:val="num" w:pos="1778"/>
        </w:tabs>
        <w:ind w:left="1701"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15788D"/>
    <w:multiLevelType w:val="singleLevel"/>
    <w:tmpl w:val="9ECEEF0E"/>
    <w:lvl w:ilvl="0">
      <w:start w:val="1"/>
      <w:numFmt w:val="bullet"/>
      <w:lvlText w:val="-"/>
      <w:lvlJc w:val="left"/>
      <w:pPr>
        <w:tabs>
          <w:tab w:val="num" w:pos="360"/>
        </w:tabs>
        <w:ind w:left="360" w:hanging="360"/>
      </w:pPr>
      <w:rPr>
        <w:rFonts w:ascii="Times New Roman" w:hAnsi="Times New Roman" w:hint="default"/>
        <w:sz w:val="24"/>
      </w:rPr>
    </w:lvl>
  </w:abstractNum>
  <w:abstractNum w:abstractNumId="35" w15:restartNumberingAfterBreak="0">
    <w:nsid w:val="5DBD60B6"/>
    <w:multiLevelType w:val="multilevel"/>
    <w:tmpl w:val="56E2A324"/>
    <w:lvl w:ilvl="0">
      <w:start w:val="1"/>
      <w:numFmt w:val="bullet"/>
      <w:lvlText w:val="•"/>
      <w:lvlJc w:val="left"/>
      <w:pPr>
        <w:tabs>
          <w:tab w:val="num" w:pos="1701"/>
        </w:tabs>
        <w:ind w:left="1701"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15:restartNumberingAfterBreak="0">
    <w:nsid w:val="65D15DFE"/>
    <w:multiLevelType w:val="singleLevel"/>
    <w:tmpl w:val="475E6D3C"/>
    <w:lvl w:ilvl="0">
      <w:start w:val="1"/>
      <w:numFmt w:val="decimal"/>
      <w:lvlText w:val="%1."/>
      <w:lvlJc w:val="left"/>
      <w:pPr>
        <w:tabs>
          <w:tab w:val="num" w:pos="360"/>
        </w:tabs>
        <w:ind w:left="360" w:hanging="360"/>
      </w:pPr>
    </w:lvl>
  </w:abstractNum>
  <w:abstractNum w:abstractNumId="38" w15:restartNumberingAfterBreak="0">
    <w:nsid w:val="7541052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ACA643D"/>
    <w:multiLevelType w:val="singleLevel"/>
    <w:tmpl w:val="0409000F"/>
    <w:lvl w:ilvl="0">
      <w:start w:val="1"/>
      <w:numFmt w:val="decimal"/>
      <w:lvlText w:val="%1."/>
      <w:lvlJc w:val="left"/>
      <w:pPr>
        <w:tabs>
          <w:tab w:val="num" w:pos="360"/>
        </w:tabs>
        <w:ind w:left="360" w:hanging="360"/>
      </w:pPr>
    </w:lvl>
  </w:abstractNum>
  <w:abstractNum w:abstractNumId="40" w15:restartNumberingAfterBreak="0">
    <w:nsid w:val="7C9538FD"/>
    <w:multiLevelType w:val="hybridMultilevel"/>
    <w:tmpl w:val="038A2DC0"/>
    <w:lvl w:ilvl="0" w:tplc="A5265396">
      <w:start w:val="1"/>
      <w:numFmt w:val="none"/>
      <w:lvlText w:val="%1"/>
      <w:lvlJc w:val="left"/>
      <w:pPr>
        <w:tabs>
          <w:tab w:val="num" w:pos="1134"/>
        </w:tabs>
        <w:ind w:left="1134" w:hanging="397"/>
      </w:pPr>
      <w:rPr>
        <w:rFonts w:hint="default"/>
        <w:b/>
        <w:i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CF349BD"/>
    <w:multiLevelType w:val="singleLevel"/>
    <w:tmpl w:val="51D4BF5A"/>
    <w:lvl w:ilvl="0">
      <w:start w:val="1"/>
      <w:numFmt w:val="lowerRoman"/>
      <w:lvlText w:val="(%1)"/>
      <w:lvlJc w:val="right"/>
      <w:pPr>
        <w:tabs>
          <w:tab w:val="num" w:pos="1440"/>
        </w:tabs>
        <w:ind w:left="1440" w:hanging="589"/>
      </w:pPr>
      <w:rPr>
        <w:rFonts w:hint="default"/>
      </w:rPr>
    </w:lvl>
  </w:abstractNum>
  <w:abstractNum w:abstractNumId="42" w15:restartNumberingAfterBreak="0">
    <w:nsid w:val="7DBF6B58"/>
    <w:multiLevelType w:val="singleLevel"/>
    <w:tmpl w:val="0409000F"/>
    <w:lvl w:ilvl="0">
      <w:start w:val="1"/>
      <w:numFmt w:val="decimal"/>
      <w:lvlText w:val="%1."/>
      <w:lvlJc w:val="left"/>
      <w:pPr>
        <w:tabs>
          <w:tab w:val="num" w:pos="360"/>
        </w:tabs>
        <w:ind w:left="360" w:hanging="360"/>
      </w:pPr>
    </w:lvl>
  </w:abstractNum>
  <w:num w:numId="1">
    <w:abstractNumId w:val="41"/>
  </w:num>
  <w:num w:numId="2">
    <w:abstractNumId w:val="22"/>
  </w:num>
  <w:num w:numId="3">
    <w:abstractNumId w:val="41"/>
  </w:num>
  <w:num w:numId="4">
    <w:abstractNumId w:val="22"/>
  </w:num>
  <w:num w:numId="5">
    <w:abstractNumId w:val="13"/>
  </w:num>
  <w:num w:numId="6">
    <w:abstractNumId w:val="27"/>
  </w:num>
  <w:num w:numId="7">
    <w:abstractNumId w:val="29"/>
  </w:num>
  <w:num w:numId="8">
    <w:abstractNumId w:val="39"/>
  </w:num>
  <w:num w:numId="9">
    <w:abstractNumId w:val="32"/>
  </w:num>
  <w:num w:numId="10">
    <w:abstractNumId w:val="42"/>
  </w:num>
  <w:num w:numId="11">
    <w:abstractNumId w:val="29"/>
  </w:num>
  <w:num w:numId="12">
    <w:abstractNumId w:val="31"/>
  </w:num>
  <w:num w:numId="13">
    <w:abstractNumId w:val="31"/>
  </w:num>
  <w:num w:numId="14">
    <w:abstractNumId w:val="37"/>
  </w:num>
  <w:num w:numId="15">
    <w:abstractNumId w:val="28"/>
  </w:num>
  <w:num w:numId="16">
    <w:abstractNumId w:val="28"/>
  </w:num>
  <w:num w:numId="17">
    <w:abstractNumId w:val="41"/>
  </w:num>
  <w:num w:numId="18">
    <w:abstractNumId w:val="22"/>
  </w:num>
  <w:num w:numId="19">
    <w:abstractNumId w:val="1"/>
  </w:num>
  <w:num w:numId="20">
    <w:abstractNumId w:val="0"/>
  </w:num>
  <w:num w:numId="21">
    <w:abstractNumId w:val="25"/>
  </w:num>
  <w:num w:numId="22">
    <w:abstractNumId w:val="11"/>
  </w:num>
  <w:num w:numId="23">
    <w:abstractNumId w:val="17"/>
  </w:num>
  <w:num w:numId="24">
    <w:abstractNumId w:val="14"/>
  </w:num>
  <w:num w:numId="25">
    <w:abstractNumId w:val="30"/>
  </w:num>
  <w:num w:numId="26">
    <w:abstractNumId w:val="34"/>
  </w:num>
  <w:num w:numId="27">
    <w:abstractNumId w:val="2"/>
  </w:num>
  <w:num w:numId="28">
    <w:abstractNumId w:val="3"/>
  </w:num>
  <w:num w:numId="29">
    <w:abstractNumId w:val="8"/>
  </w:num>
  <w:num w:numId="30">
    <w:abstractNumId w:val="9"/>
  </w:num>
  <w:num w:numId="31">
    <w:abstractNumId w:val="7"/>
  </w:num>
  <w:num w:numId="32">
    <w:abstractNumId w:val="6"/>
  </w:num>
  <w:num w:numId="33">
    <w:abstractNumId w:val="5"/>
  </w:num>
  <w:num w:numId="34">
    <w:abstractNumId w:val="4"/>
  </w:num>
  <w:num w:numId="35">
    <w:abstractNumId w:val="15"/>
  </w:num>
  <w:num w:numId="36">
    <w:abstractNumId w:val="40"/>
  </w:num>
  <w:num w:numId="37">
    <w:abstractNumId w:val="24"/>
  </w:num>
  <w:num w:numId="38">
    <w:abstractNumId w:val="21"/>
  </w:num>
  <w:num w:numId="39">
    <w:abstractNumId w:val="33"/>
  </w:num>
  <w:num w:numId="40">
    <w:abstractNumId w:val="26"/>
  </w:num>
  <w:num w:numId="41">
    <w:abstractNumId w:val="18"/>
  </w:num>
  <w:num w:numId="42">
    <w:abstractNumId w:val="10"/>
  </w:num>
  <w:num w:numId="43">
    <w:abstractNumId w:val="23"/>
  </w:num>
  <w:num w:numId="44">
    <w:abstractNumId w:val="20"/>
  </w:num>
  <w:num w:numId="45">
    <w:abstractNumId w:val="35"/>
  </w:num>
  <w:num w:numId="46">
    <w:abstractNumId w:val="19"/>
  </w:num>
  <w:num w:numId="47">
    <w:abstractNumId w:val="38"/>
  </w:num>
  <w:num w:numId="48">
    <w:abstractNumId w:val="36"/>
  </w:num>
  <w:num w:numId="49">
    <w:abstractNumId w:val="16"/>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6D6C"/>
    <w:rsid w:val="0000125F"/>
    <w:rsid w:val="00011DC1"/>
    <w:rsid w:val="00016C0A"/>
    <w:rsid w:val="00023F2B"/>
    <w:rsid w:val="00027F2B"/>
    <w:rsid w:val="00031614"/>
    <w:rsid w:val="00031F75"/>
    <w:rsid w:val="000413CF"/>
    <w:rsid w:val="000415CB"/>
    <w:rsid w:val="000432FA"/>
    <w:rsid w:val="00050F6B"/>
    <w:rsid w:val="00052EBC"/>
    <w:rsid w:val="00054D61"/>
    <w:rsid w:val="0006049C"/>
    <w:rsid w:val="00063027"/>
    <w:rsid w:val="00066D13"/>
    <w:rsid w:val="00072C8C"/>
    <w:rsid w:val="000733B5"/>
    <w:rsid w:val="00073A18"/>
    <w:rsid w:val="00085153"/>
    <w:rsid w:val="00085A72"/>
    <w:rsid w:val="000929DC"/>
    <w:rsid w:val="000931C0"/>
    <w:rsid w:val="000A4AB2"/>
    <w:rsid w:val="000B175B"/>
    <w:rsid w:val="000B3A0F"/>
    <w:rsid w:val="000B4EF7"/>
    <w:rsid w:val="000B6467"/>
    <w:rsid w:val="000C2D2E"/>
    <w:rsid w:val="000C6CD1"/>
    <w:rsid w:val="000D10EF"/>
    <w:rsid w:val="000E0415"/>
    <w:rsid w:val="000E3177"/>
    <w:rsid w:val="001103AA"/>
    <w:rsid w:val="00121EBE"/>
    <w:rsid w:val="00122EFB"/>
    <w:rsid w:val="00130539"/>
    <w:rsid w:val="001370F8"/>
    <w:rsid w:val="00143F45"/>
    <w:rsid w:val="001724BC"/>
    <w:rsid w:val="00182019"/>
    <w:rsid w:val="00186127"/>
    <w:rsid w:val="0018633C"/>
    <w:rsid w:val="0019563F"/>
    <w:rsid w:val="00197142"/>
    <w:rsid w:val="001B0C71"/>
    <w:rsid w:val="001B135F"/>
    <w:rsid w:val="001B4350"/>
    <w:rsid w:val="001B4B04"/>
    <w:rsid w:val="001C6663"/>
    <w:rsid w:val="001C737D"/>
    <w:rsid w:val="001C7895"/>
    <w:rsid w:val="001C7EF6"/>
    <w:rsid w:val="001D1CB2"/>
    <w:rsid w:val="001D26DF"/>
    <w:rsid w:val="001E0468"/>
    <w:rsid w:val="001E4E24"/>
    <w:rsid w:val="001E6639"/>
    <w:rsid w:val="001F05C1"/>
    <w:rsid w:val="00202DA8"/>
    <w:rsid w:val="002054D0"/>
    <w:rsid w:val="00211E0B"/>
    <w:rsid w:val="00217B30"/>
    <w:rsid w:val="00222C5B"/>
    <w:rsid w:val="00224FD8"/>
    <w:rsid w:val="002470D4"/>
    <w:rsid w:val="002524E4"/>
    <w:rsid w:val="002534C4"/>
    <w:rsid w:val="00257F1E"/>
    <w:rsid w:val="0026015A"/>
    <w:rsid w:val="002611EE"/>
    <w:rsid w:val="002768DA"/>
    <w:rsid w:val="00284C25"/>
    <w:rsid w:val="00292104"/>
    <w:rsid w:val="0029537D"/>
    <w:rsid w:val="002C0384"/>
    <w:rsid w:val="002C474A"/>
    <w:rsid w:val="002D4593"/>
    <w:rsid w:val="002E3FDD"/>
    <w:rsid w:val="002E4F41"/>
    <w:rsid w:val="002F175C"/>
    <w:rsid w:val="002F2963"/>
    <w:rsid w:val="00302D16"/>
    <w:rsid w:val="00305447"/>
    <w:rsid w:val="003203E8"/>
    <w:rsid w:val="0032118C"/>
    <w:rsid w:val="003223A7"/>
    <w:rsid w:val="003229D8"/>
    <w:rsid w:val="00325B86"/>
    <w:rsid w:val="00335D28"/>
    <w:rsid w:val="00344CD0"/>
    <w:rsid w:val="00345C49"/>
    <w:rsid w:val="00346714"/>
    <w:rsid w:val="00352709"/>
    <w:rsid w:val="003557DD"/>
    <w:rsid w:val="0036359E"/>
    <w:rsid w:val="003637DA"/>
    <w:rsid w:val="00365C96"/>
    <w:rsid w:val="00367D03"/>
    <w:rsid w:val="00371178"/>
    <w:rsid w:val="003753EB"/>
    <w:rsid w:val="0037757E"/>
    <w:rsid w:val="00392537"/>
    <w:rsid w:val="0039490E"/>
    <w:rsid w:val="003A0E65"/>
    <w:rsid w:val="003A6805"/>
    <w:rsid w:val="003A6810"/>
    <w:rsid w:val="003A77BC"/>
    <w:rsid w:val="003C0C4E"/>
    <w:rsid w:val="003C0E5D"/>
    <w:rsid w:val="003C2C98"/>
    <w:rsid w:val="003C2CC4"/>
    <w:rsid w:val="003D4B23"/>
    <w:rsid w:val="003D6776"/>
    <w:rsid w:val="003E2A01"/>
    <w:rsid w:val="003E312D"/>
    <w:rsid w:val="003E4058"/>
    <w:rsid w:val="003E60DB"/>
    <w:rsid w:val="003F0587"/>
    <w:rsid w:val="003F0898"/>
    <w:rsid w:val="003F1BE4"/>
    <w:rsid w:val="00410C89"/>
    <w:rsid w:val="00417AD5"/>
    <w:rsid w:val="0042174D"/>
    <w:rsid w:val="004257CD"/>
    <w:rsid w:val="00426B9B"/>
    <w:rsid w:val="00431BF0"/>
    <w:rsid w:val="0043216E"/>
    <w:rsid w:val="004325CB"/>
    <w:rsid w:val="00437A62"/>
    <w:rsid w:val="00437AF8"/>
    <w:rsid w:val="00440653"/>
    <w:rsid w:val="0044091C"/>
    <w:rsid w:val="00441597"/>
    <w:rsid w:val="00443F4C"/>
    <w:rsid w:val="00446F4C"/>
    <w:rsid w:val="004517E5"/>
    <w:rsid w:val="0045495B"/>
    <w:rsid w:val="00456549"/>
    <w:rsid w:val="004638E4"/>
    <w:rsid w:val="00464A36"/>
    <w:rsid w:val="00471570"/>
    <w:rsid w:val="00473630"/>
    <w:rsid w:val="00474AD8"/>
    <w:rsid w:val="0047693D"/>
    <w:rsid w:val="00476B49"/>
    <w:rsid w:val="00483514"/>
    <w:rsid w:val="00484858"/>
    <w:rsid w:val="004855F2"/>
    <w:rsid w:val="00491979"/>
    <w:rsid w:val="00492AFA"/>
    <w:rsid w:val="004A3664"/>
    <w:rsid w:val="004A3A3E"/>
    <w:rsid w:val="004A5C72"/>
    <w:rsid w:val="004B3330"/>
    <w:rsid w:val="004D4CD5"/>
    <w:rsid w:val="004E330E"/>
    <w:rsid w:val="00500402"/>
    <w:rsid w:val="00500A07"/>
    <w:rsid w:val="00507C86"/>
    <w:rsid w:val="00512C0A"/>
    <w:rsid w:val="005132F2"/>
    <w:rsid w:val="005165B1"/>
    <w:rsid w:val="00524C8C"/>
    <w:rsid w:val="00525DC7"/>
    <w:rsid w:val="005420F2"/>
    <w:rsid w:val="00543007"/>
    <w:rsid w:val="00551804"/>
    <w:rsid w:val="00560821"/>
    <w:rsid w:val="00564032"/>
    <w:rsid w:val="0058090C"/>
    <w:rsid w:val="005A1B38"/>
    <w:rsid w:val="005B1BF6"/>
    <w:rsid w:val="005B3DB3"/>
    <w:rsid w:val="005B5866"/>
    <w:rsid w:val="005B6006"/>
    <w:rsid w:val="005B63FE"/>
    <w:rsid w:val="005C1CF1"/>
    <w:rsid w:val="005D5E2A"/>
    <w:rsid w:val="005E05CD"/>
    <w:rsid w:val="005E15DC"/>
    <w:rsid w:val="005E7CBA"/>
    <w:rsid w:val="005F162C"/>
    <w:rsid w:val="005F3005"/>
    <w:rsid w:val="005F3830"/>
    <w:rsid w:val="006001EE"/>
    <w:rsid w:val="0060181D"/>
    <w:rsid w:val="00604917"/>
    <w:rsid w:val="00607B12"/>
    <w:rsid w:val="00607D2A"/>
    <w:rsid w:val="00611FC4"/>
    <w:rsid w:val="00616E62"/>
    <w:rsid w:val="006176FB"/>
    <w:rsid w:val="00624847"/>
    <w:rsid w:val="00626546"/>
    <w:rsid w:val="00631C38"/>
    <w:rsid w:val="006377DB"/>
    <w:rsid w:val="00640977"/>
    <w:rsid w:val="00640B26"/>
    <w:rsid w:val="006500BC"/>
    <w:rsid w:val="00650BCA"/>
    <w:rsid w:val="00652D0A"/>
    <w:rsid w:val="00666842"/>
    <w:rsid w:val="00672B7F"/>
    <w:rsid w:val="00676F25"/>
    <w:rsid w:val="00685E71"/>
    <w:rsid w:val="006A4F82"/>
    <w:rsid w:val="006C49B5"/>
    <w:rsid w:val="006D088C"/>
    <w:rsid w:val="006D0FAF"/>
    <w:rsid w:val="006D1FB2"/>
    <w:rsid w:val="006D3DA6"/>
    <w:rsid w:val="006D4F7C"/>
    <w:rsid w:val="006E4EE9"/>
    <w:rsid w:val="006E5459"/>
    <w:rsid w:val="006E564B"/>
    <w:rsid w:val="006E6E4C"/>
    <w:rsid w:val="006F75A4"/>
    <w:rsid w:val="00703157"/>
    <w:rsid w:val="00703CDA"/>
    <w:rsid w:val="00713467"/>
    <w:rsid w:val="0072200C"/>
    <w:rsid w:val="0072632A"/>
    <w:rsid w:val="00726E24"/>
    <w:rsid w:val="00764044"/>
    <w:rsid w:val="00765E88"/>
    <w:rsid w:val="0077428F"/>
    <w:rsid w:val="00776435"/>
    <w:rsid w:val="007806C6"/>
    <w:rsid w:val="00782BFB"/>
    <w:rsid w:val="0079190C"/>
    <w:rsid w:val="007B6BA5"/>
    <w:rsid w:val="007C01BE"/>
    <w:rsid w:val="007C1B71"/>
    <w:rsid w:val="007C3390"/>
    <w:rsid w:val="007C43E0"/>
    <w:rsid w:val="007C4F4B"/>
    <w:rsid w:val="007C6947"/>
    <w:rsid w:val="007D36AC"/>
    <w:rsid w:val="007D56AB"/>
    <w:rsid w:val="007E2A1D"/>
    <w:rsid w:val="007E36B7"/>
    <w:rsid w:val="007F3FAA"/>
    <w:rsid w:val="007F5E87"/>
    <w:rsid w:val="007F6611"/>
    <w:rsid w:val="007F6CAD"/>
    <w:rsid w:val="00813C8B"/>
    <w:rsid w:val="00814703"/>
    <w:rsid w:val="008242D7"/>
    <w:rsid w:val="0082622D"/>
    <w:rsid w:val="008314DC"/>
    <w:rsid w:val="00870908"/>
    <w:rsid w:val="008863A6"/>
    <w:rsid w:val="00890724"/>
    <w:rsid w:val="008979B1"/>
    <w:rsid w:val="008A0D64"/>
    <w:rsid w:val="008A6B25"/>
    <w:rsid w:val="008A6C4F"/>
    <w:rsid w:val="008A7D45"/>
    <w:rsid w:val="008B2335"/>
    <w:rsid w:val="008B2FDE"/>
    <w:rsid w:val="008B41B1"/>
    <w:rsid w:val="008C2EBC"/>
    <w:rsid w:val="008F248A"/>
    <w:rsid w:val="008F6259"/>
    <w:rsid w:val="009026B5"/>
    <w:rsid w:val="0090482F"/>
    <w:rsid w:val="00906C8D"/>
    <w:rsid w:val="009203B3"/>
    <w:rsid w:val="009223CA"/>
    <w:rsid w:val="009240AB"/>
    <w:rsid w:val="00925F2F"/>
    <w:rsid w:val="009332D1"/>
    <w:rsid w:val="00940E35"/>
    <w:rsid w:val="00940F93"/>
    <w:rsid w:val="0095705F"/>
    <w:rsid w:val="0095775F"/>
    <w:rsid w:val="00962982"/>
    <w:rsid w:val="00965FE5"/>
    <w:rsid w:val="0097444A"/>
    <w:rsid w:val="009824ED"/>
    <w:rsid w:val="00994288"/>
    <w:rsid w:val="00995E1A"/>
    <w:rsid w:val="00997E71"/>
    <w:rsid w:val="009A1A00"/>
    <w:rsid w:val="009C2A1C"/>
    <w:rsid w:val="009D4E48"/>
    <w:rsid w:val="009E4F57"/>
    <w:rsid w:val="00A00A94"/>
    <w:rsid w:val="00A01489"/>
    <w:rsid w:val="00A03DD4"/>
    <w:rsid w:val="00A0619C"/>
    <w:rsid w:val="00A10F41"/>
    <w:rsid w:val="00A22995"/>
    <w:rsid w:val="00A25068"/>
    <w:rsid w:val="00A26D85"/>
    <w:rsid w:val="00A43596"/>
    <w:rsid w:val="00A5384B"/>
    <w:rsid w:val="00A64AB6"/>
    <w:rsid w:val="00A66D6C"/>
    <w:rsid w:val="00A67DCE"/>
    <w:rsid w:val="00A72F22"/>
    <w:rsid w:val="00A732E2"/>
    <w:rsid w:val="00A748A6"/>
    <w:rsid w:val="00A776B4"/>
    <w:rsid w:val="00A94361"/>
    <w:rsid w:val="00AA1FFC"/>
    <w:rsid w:val="00AC3662"/>
    <w:rsid w:val="00AC552A"/>
    <w:rsid w:val="00AD22F3"/>
    <w:rsid w:val="00AD4DD9"/>
    <w:rsid w:val="00AE2136"/>
    <w:rsid w:val="00AE353C"/>
    <w:rsid w:val="00AE663B"/>
    <w:rsid w:val="00AE6864"/>
    <w:rsid w:val="00AF0682"/>
    <w:rsid w:val="00AF236C"/>
    <w:rsid w:val="00AF39BE"/>
    <w:rsid w:val="00B07377"/>
    <w:rsid w:val="00B07BEE"/>
    <w:rsid w:val="00B1443B"/>
    <w:rsid w:val="00B15DDA"/>
    <w:rsid w:val="00B20FFB"/>
    <w:rsid w:val="00B243D4"/>
    <w:rsid w:val="00B272CD"/>
    <w:rsid w:val="00B30179"/>
    <w:rsid w:val="00B33CB1"/>
    <w:rsid w:val="00B359F9"/>
    <w:rsid w:val="00B52B2B"/>
    <w:rsid w:val="00B541E4"/>
    <w:rsid w:val="00B56E9C"/>
    <w:rsid w:val="00B57A9E"/>
    <w:rsid w:val="00B64B1F"/>
    <w:rsid w:val="00B6553F"/>
    <w:rsid w:val="00B70510"/>
    <w:rsid w:val="00B765C1"/>
    <w:rsid w:val="00B81E12"/>
    <w:rsid w:val="00BA2303"/>
    <w:rsid w:val="00BA24A2"/>
    <w:rsid w:val="00BA276C"/>
    <w:rsid w:val="00BA2935"/>
    <w:rsid w:val="00BA6100"/>
    <w:rsid w:val="00BB6B22"/>
    <w:rsid w:val="00BB7C59"/>
    <w:rsid w:val="00BC74E9"/>
    <w:rsid w:val="00BD17F2"/>
    <w:rsid w:val="00BD3535"/>
    <w:rsid w:val="00BD7576"/>
    <w:rsid w:val="00BD76A9"/>
    <w:rsid w:val="00BE589F"/>
    <w:rsid w:val="00BE7C1F"/>
    <w:rsid w:val="00BF080A"/>
    <w:rsid w:val="00BF4171"/>
    <w:rsid w:val="00BF68A8"/>
    <w:rsid w:val="00C01FF8"/>
    <w:rsid w:val="00C05487"/>
    <w:rsid w:val="00C0768B"/>
    <w:rsid w:val="00C222A2"/>
    <w:rsid w:val="00C235B3"/>
    <w:rsid w:val="00C2794F"/>
    <w:rsid w:val="00C42384"/>
    <w:rsid w:val="00C433B5"/>
    <w:rsid w:val="00C463DD"/>
    <w:rsid w:val="00C46705"/>
    <w:rsid w:val="00C4724C"/>
    <w:rsid w:val="00C50C2E"/>
    <w:rsid w:val="00C53D7E"/>
    <w:rsid w:val="00C54F06"/>
    <w:rsid w:val="00C629A0"/>
    <w:rsid w:val="00C6559E"/>
    <w:rsid w:val="00C745C3"/>
    <w:rsid w:val="00C77FA0"/>
    <w:rsid w:val="00C87469"/>
    <w:rsid w:val="00C92DCA"/>
    <w:rsid w:val="00C95AF1"/>
    <w:rsid w:val="00CA19B5"/>
    <w:rsid w:val="00CA6EA7"/>
    <w:rsid w:val="00CB3F28"/>
    <w:rsid w:val="00CB6295"/>
    <w:rsid w:val="00CC14A1"/>
    <w:rsid w:val="00CD26E9"/>
    <w:rsid w:val="00CD59D1"/>
    <w:rsid w:val="00CE0E13"/>
    <w:rsid w:val="00CE2348"/>
    <w:rsid w:val="00CE4A8F"/>
    <w:rsid w:val="00CE7B27"/>
    <w:rsid w:val="00CF05FA"/>
    <w:rsid w:val="00CF2D46"/>
    <w:rsid w:val="00CF45A4"/>
    <w:rsid w:val="00D036B5"/>
    <w:rsid w:val="00D06875"/>
    <w:rsid w:val="00D06E7C"/>
    <w:rsid w:val="00D16130"/>
    <w:rsid w:val="00D2031B"/>
    <w:rsid w:val="00D24083"/>
    <w:rsid w:val="00D25FE2"/>
    <w:rsid w:val="00D34284"/>
    <w:rsid w:val="00D43252"/>
    <w:rsid w:val="00D47504"/>
    <w:rsid w:val="00D51D7E"/>
    <w:rsid w:val="00D651D5"/>
    <w:rsid w:val="00D66DD9"/>
    <w:rsid w:val="00D71C37"/>
    <w:rsid w:val="00D77230"/>
    <w:rsid w:val="00D85FF0"/>
    <w:rsid w:val="00D93FE0"/>
    <w:rsid w:val="00D95303"/>
    <w:rsid w:val="00D96876"/>
    <w:rsid w:val="00D978C6"/>
    <w:rsid w:val="00DA1060"/>
    <w:rsid w:val="00DA3C1C"/>
    <w:rsid w:val="00DB29FF"/>
    <w:rsid w:val="00DC0313"/>
    <w:rsid w:val="00DC0CC0"/>
    <w:rsid w:val="00DC2B26"/>
    <w:rsid w:val="00DC6C2C"/>
    <w:rsid w:val="00DD0AB2"/>
    <w:rsid w:val="00DD1946"/>
    <w:rsid w:val="00DD1965"/>
    <w:rsid w:val="00DD20A6"/>
    <w:rsid w:val="00DE01DF"/>
    <w:rsid w:val="00DE33A1"/>
    <w:rsid w:val="00DE5CF5"/>
    <w:rsid w:val="00DF6800"/>
    <w:rsid w:val="00DF6918"/>
    <w:rsid w:val="00E14FC7"/>
    <w:rsid w:val="00E24D8E"/>
    <w:rsid w:val="00E26D05"/>
    <w:rsid w:val="00E26E99"/>
    <w:rsid w:val="00E40934"/>
    <w:rsid w:val="00E418C1"/>
    <w:rsid w:val="00E43B87"/>
    <w:rsid w:val="00E461AA"/>
    <w:rsid w:val="00E50256"/>
    <w:rsid w:val="00E51B5E"/>
    <w:rsid w:val="00E520D2"/>
    <w:rsid w:val="00E569F0"/>
    <w:rsid w:val="00E7124F"/>
    <w:rsid w:val="00E71BC8"/>
    <w:rsid w:val="00E7260F"/>
    <w:rsid w:val="00E72E7A"/>
    <w:rsid w:val="00E745BA"/>
    <w:rsid w:val="00E803B3"/>
    <w:rsid w:val="00E8133C"/>
    <w:rsid w:val="00E852C4"/>
    <w:rsid w:val="00E874A0"/>
    <w:rsid w:val="00E91603"/>
    <w:rsid w:val="00E9580A"/>
    <w:rsid w:val="00E96630"/>
    <w:rsid w:val="00EB2995"/>
    <w:rsid w:val="00ED3A86"/>
    <w:rsid w:val="00ED7A2A"/>
    <w:rsid w:val="00EF1D7F"/>
    <w:rsid w:val="00EF6DFD"/>
    <w:rsid w:val="00F41EAB"/>
    <w:rsid w:val="00F82801"/>
    <w:rsid w:val="00F8364F"/>
    <w:rsid w:val="00F8529C"/>
    <w:rsid w:val="00F9096D"/>
    <w:rsid w:val="00F91E95"/>
    <w:rsid w:val="00F93573"/>
    <w:rsid w:val="00FA10D3"/>
    <w:rsid w:val="00FA620C"/>
    <w:rsid w:val="00FC68B7"/>
    <w:rsid w:val="00FD4E8F"/>
    <w:rsid w:val="00FE44A7"/>
    <w:rsid w:val="00FF0E38"/>
    <w:rsid w:val="00FF3D76"/>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13D399E-9EC1-468D-BF1F-4B78DE6EE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E9C"/>
    <w:pPr>
      <w:suppressAutoHyphens/>
      <w:spacing w:line="240" w:lineRule="atLeast"/>
    </w:pPr>
    <w:rPr>
      <w:lang w:val="en-GB"/>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pPr>
      <w:numPr>
        <w:numId w:val="42"/>
      </w:numPr>
      <w:tabs>
        <w:tab w:val="clear" w:pos="1494"/>
      </w:tabs>
    </w:pPr>
  </w:style>
  <w:style w:type="paragraph" w:customStyle="1" w:styleId="SingleTxtG">
    <w:name w:val="_ Single Txt_G"/>
    <w:basedOn w:val="Normal"/>
    <w:pPr>
      <w:spacing w:after="120"/>
      <w:ind w:left="1134" w:right="1134"/>
      <w:jc w:val="both"/>
    </w:pPr>
  </w:style>
  <w:style w:type="character" w:styleId="PageNumber">
    <w:name w:val="page number"/>
    <w:aliases w:val="7_G"/>
    <w:rsid w:val="008979B1"/>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Footnote number"/>
    <w:rsid w:val="007B6BA5"/>
    <w:rPr>
      <w:rFonts w:ascii="Times New Roman" w:hAnsi="Times New Roman"/>
      <w:sz w:val="18"/>
      <w:vertAlign w:val="superscript"/>
    </w:rPr>
  </w:style>
  <w:style w:type="paragraph" w:styleId="FootnoteText">
    <w:name w:val="footnote text"/>
    <w:aliases w:val="5_G,Footnote Text Char Char Char Char Char,Footnote Text Char Char Char Char,Footnote reference,FA Fu,Footnote Text Char Char Char"/>
    <w:basedOn w:val="Normal"/>
    <w:link w:val="FootnoteTextChar"/>
    <w:rsid w:val="0036359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rsid w:val="0072632A"/>
    <w:pPr>
      <w:numPr>
        <w:numId w:val="40"/>
      </w:numPr>
      <w:spacing w:after="120"/>
      <w:ind w:right="1134"/>
      <w:jc w:val="both"/>
    </w:pPr>
  </w:style>
  <w:style w:type="paragraph" w:styleId="EndnoteText">
    <w:name w:val="endnote text"/>
    <w:aliases w:val="2_G"/>
    <w:basedOn w:val="FootnoteText"/>
    <w:rsid w:val="007B6BA5"/>
  </w:style>
  <w:style w:type="character" w:styleId="CommentReference">
    <w:name w:val="annotation reference"/>
    <w:semiHidden/>
    <w:rPr>
      <w:sz w:val="6"/>
    </w:rPr>
  </w:style>
  <w:style w:type="paragraph" w:styleId="CommentText">
    <w:name w:val="annotation text"/>
    <w:basedOn w:val="Normal"/>
    <w:link w:val="CommentTextChar"/>
    <w:semiHidden/>
  </w:style>
  <w:style w:type="character" w:styleId="LineNumber">
    <w:name w:val="line number"/>
    <w:semiHidden/>
    <w:rPr>
      <w:sz w:val="14"/>
    </w:rPr>
  </w:style>
  <w:style w:type="paragraph" w:customStyle="1" w:styleId="Bullet2G">
    <w:name w:val="_Bullet 2_G"/>
    <w:basedOn w:val="Normal"/>
    <w:rsid w:val="003C2CC4"/>
    <w:pPr>
      <w:numPr>
        <w:numId w:val="41"/>
      </w:numPr>
      <w:spacing w:after="120"/>
      <w:ind w:right="1134"/>
      <w:jc w:val="both"/>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48"/>
      </w:numPr>
    </w:pPr>
  </w:style>
  <w:style w:type="numbering" w:styleId="1ai">
    <w:name w:val="Outline List 1"/>
    <w:basedOn w:val="NoList"/>
    <w:semiHidden/>
    <w:rsid w:val="008A6C4F"/>
    <w:pPr>
      <w:numPr>
        <w:numId w:val="49"/>
      </w:numPr>
    </w:pPr>
  </w:style>
  <w:style w:type="numbering" w:styleId="ArticleSection">
    <w:name w:val="Outline List 3"/>
    <w:basedOn w:val="NoList"/>
    <w:semiHidden/>
    <w:rsid w:val="008A6C4F"/>
    <w:pPr>
      <w:numPr>
        <w:numId w:val="50"/>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8A6C4F"/>
    <w:rPr>
      <w:color w:val="800080"/>
      <w:u w:val="singl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8A6C4F"/>
    <w:rPr>
      <w:color w:val="0000FF"/>
      <w:u w:val="singl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30"/>
      </w:numPr>
    </w:pPr>
  </w:style>
  <w:style w:type="paragraph" w:styleId="ListBullet2">
    <w:name w:val="List Bullet 2"/>
    <w:basedOn w:val="Normal"/>
    <w:semiHidden/>
    <w:rsid w:val="008A6C4F"/>
    <w:pPr>
      <w:numPr>
        <w:numId w:val="31"/>
      </w:numPr>
    </w:pPr>
  </w:style>
  <w:style w:type="paragraph" w:styleId="ListBullet3">
    <w:name w:val="List Bullet 3"/>
    <w:basedOn w:val="Normal"/>
    <w:semiHidden/>
    <w:rsid w:val="008A6C4F"/>
    <w:pPr>
      <w:numPr>
        <w:numId w:val="32"/>
      </w:numPr>
    </w:pPr>
  </w:style>
  <w:style w:type="paragraph" w:styleId="ListBullet4">
    <w:name w:val="List Bullet 4"/>
    <w:basedOn w:val="Normal"/>
    <w:semiHidden/>
    <w:rsid w:val="008A6C4F"/>
    <w:pPr>
      <w:numPr>
        <w:numId w:val="33"/>
      </w:numPr>
    </w:pPr>
  </w:style>
  <w:style w:type="paragraph" w:styleId="ListBullet5">
    <w:name w:val="List Bullet 5"/>
    <w:basedOn w:val="Normal"/>
    <w:semiHidden/>
    <w:rsid w:val="008A6C4F"/>
    <w:pPr>
      <w:numPr>
        <w:numId w:val="34"/>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29"/>
      </w:numPr>
    </w:pPr>
  </w:style>
  <w:style w:type="paragraph" w:styleId="ListNumber2">
    <w:name w:val="List Number 2"/>
    <w:basedOn w:val="Normal"/>
    <w:semiHidden/>
    <w:rsid w:val="008A6C4F"/>
    <w:pPr>
      <w:numPr>
        <w:numId w:val="28"/>
      </w:numPr>
    </w:pPr>
  </w:style>
  <w:style w:type="paragraph" w:styleId="ListNumber3">
    <w:name w:val="List Number 3"/>
    <w:basedOn w:val="Normal"/>
    <w:semiHidden/>
    <w:rsid w:val="008A6C4F"/>
    <w:pPr>
      <w:numPr>
        <w:numId w:val="27"/>
      </w:numPr>
    </w:pPr>
  </w:style>
  <w:style w:type="paragraph" w:styleId="ListNumber4">
    <w:name w:val="List Number 4"/>
    <w:basedOn w:val="Normal"/>
    <w:semiHidden/>
    <w:rsid w:val="008A6C4F"/>
    <w:pPr>
      <w:numPr>
        <w:numId w:val="19"/>
      </w:numPr>
    </w:pPr>
  </w:style>
  <w:style w:type="paragraph" w:styleId="ListNumber5">
    <w:name w:val="List Number 5"/>
    <w:basedOn w:val="Normal"/>
    <w:semiHidden/>
    <w:rsid w:val="008A6C4F"/>
    <w:pPr>
      <w:numPr>
        <w:numId w:val="20"/>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E803B3"/>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character" w:customStyle="1" w:styleId="FootnoteTextChar">
    <w:name w:val="Footnote Text Char"/>
    <w:aliases w:val="5_G Char,Footnote Text Char Char Char Char Char Char,Footnote Text Char Char Char Char Char1,Footnote reference Char,FA Fu Char,Footnote Text Char Char Char Char1"/>
    <w:link w:val="FootnoteText"/>
    <w:rsid w:val="00A26D85"/>
    <w:rPr>
      <w:sz w:val="18"/>
      <w:lang w:eastAsia="en-US"/>
    </w:rPr>
  </w:style>
  <w:style w:type="paragraph" w:styleId="BalloonText">
    <w:name w:val="Balloon Text"/>
    <w:basedOn w:val="Normal"/>
    <w:link w:val="BalloonTextChar"/>
    <w:rsid w:val="003753EB"/>
    <w:pPr>
      <w:spacing w:line="240" w:lineRule="auto"/>
    </w:pPr>
    <w:rPr>
      <w:rFonts w:ascii="Tahoma" w:hAnsi="Tahoma"/>
      <w:sz w:val="16"/>
      <w:szCs w:val="16"/>
    </w:rPr>
  </w:style>
  <w:style w:type="character" w:customStyle="1" w:styleId="BalloonTextChar">
    <w:name w:val="Balloon Text Char"/>
    <w:link w:val="BalloonText"/>
    <w:rsid w:val="003753EB"/>
    <w:rPr>
      <w:rFonts w:ascii="Tahoma" w:hAnsi="Tahoma" w:cs="Tahoma"/>
      <w:sz w:val="16"/>
      <w:szCs w:val="16"/>
      <w:lang w:eastAsia="en-US"/>
    </w:rPr>
  </w:style>
  <w:style w:type="paragraph" w:styleId="CommentSubject">
    <w:name w:val="annotation subject"/>
    <w:basedOn w:val="CommentText"/>
    <w:next w:val="CommentText"/>
    <w:link w:val="CommentSubjectChar"/>
    <w:rsid w:val="002054D0"/>
    <w:rPr>
      <w:b/>
      <w:bCs/>
    </w:rPr>
  </w:style>
  <w:style w:type="character" w:customStyle="1" w:styleId="CommentTextChar">
    <w:name w:val="Comment Text Char"/>
    <w:link w:val="CommentText"/>
    <w:semiHidden/>
    <w:rsid w:val="002054D0"/>
    <w:rPr>
      <w:lang w:val="en-GB" w:eastAsia="en-US"/>
    </w:rPr>
  </w:style>
  <w:style w:type="character" w:customStyle="1" w:styleId="CommentSubjectChar">
    <w:name w:val="Comment Subject Char"/>
    <w:link w:val="CommentSubject"/>
    <w:rsid w:val="002054D0"/>
    <w:rPr>
      <w:b/>
      <w:bCs/>
      <w:lang w:val="en-GB" w:eastAsia="en-US"/>
    </w:rPr>
  </w:style>
  <w:style w:type="paragraph" w:styleId="Revision">
    <w:name w:val="Revision"/>
    <w:hidden/>
    <w:uiPriority w:val="99"/>
    <w:semiHidden/>
    <w:rsid w:val="002054D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1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NEWFORMAT\COVER%20PAGES\CA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CAT</Template>
  <TotalTime>0</TotalTime>
  <Pages>8</Pages>
  <Words>3237</Words>
  <Characters>18454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1441274</vt:lpstr>
    </vt:vector>
  </TitlesOfParts>
  <Company>CSD</Company>
  <LinksUpToDate>false</LinksUpToDate>
  <CharactersWithSpaces>21648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1441274</dc:title>
  <dc:subject/>
  <dc:creator>Pool</dc:creator>
  <cp:keywords>CAT/C/52/DR/372/2009</cp:keywords>
  <dc:description>Final</dc:description>
  <cp:lastModifiedBy>Sarah Willig</cp:lastModifiedBy>
  <cp:revision>2</cp:revision>
  <cp:lastPrinted>2014-12-08T10:13:00Z</cp:lastPrinted>
  <dcterms:created xsi:type="dcterms:W3CDTF">2017-01-25T01:31:00Z</dcterms:created>
  <dcterms:modified xsi:type="dcterms:W3CDTF">2017-01-25T01:31:00Z</dcterms:modified>
</cp:coreProperties>
</file>