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9332D1">
        <w:trPr>
          <w:cantSplit/>
          <w:trHeight w:hRule="exact" w:val="851"/>
        </w:trPr>
        <w:tc>
          <w:tcPr>
            <w:tcW w:w="1276" w:type="dxa"/>
            <w:tcBorders>
              <w:bottom w:val="single" w:sz="4" w:space="0" w:color="auto"/>
            </w:tcBorders>
            <w:shd w:val="clear" w:color="auto" w:fill="auto"/>
            <w:vAlign w:val="bottom"/>
          </w:tcPr>
          <w:p w:rsidR="00B56E9C" w:rsidRDefault="00B56E9C" w:rsidP="009332D1">
            <w:pPr>
              <w:spacing w:after="80"/>
            </w:pPr>
            <w:bookmarkStart w:id="0" w:name="_GoBack"/>
            <w:bookmarkEnd w:id="0"/>
          </w:p>
        </w:tc>
        <w:tc>
          <w:tcPr>
            <w:tcW w:w="2268" w:type="dxa"/>
            <w:tcBorders>
              <w:bottom w:val="single" w:sz="4" w:space="0" w:color="auto"/>
            </w:tcBorders>
            <w:shd w:val="clear" w:color="auto" w:fill="auto"/>
            <w:vAlign w:val="bottom"/>
          </w:tcPr>
          <w:p w:rsidR="00B56E9C" w:rsidRPr="009332D1" w:rsidRDefault="00B56E9C" w:rsidP="009332D1">
            <w:pPr>
              <w:spacing w:after="80" w:line="300" w:lineRule="exact"/>
              <w:rPr>
                <w:b/>
                <w:sz w:val="24"/>
                <w:szCs w:val="24"/>
              </w:rPr>
            </w:pPr>
            <w:r w:rsidRPr="009332D1">
              <w:rPr>
                <w:sz w:val="28"/>
                <w:szCs w:val="28"/>
              </w:rPr>
              <w:t>United Nations</w:t>
            </w:r>
          </w:p>
        </w:tc>
        <w:tc>
          <w:tcPr>
            <w:tcW w:w="6095" w:type="dxa"/>
            <w:gridSpan w:val="2"/>
            <w:tcBorders>
              <w:bottom w:val="single" w:sz="4" w:space="0" w:color="auto"/>
            </w:tcBorders>
            <w:shd w:val="clear" w:color="auto" w:fill="auto"/>
            <w:vAlign w:val="bottom"/>
          </w:tcPr>
          <w:p w:rsidR="00B56E9C" w:rsidRPr="006E4EE9" w:rsidRDefault="00560821" w:rsidP="006921A1">
            <w:pPr>
              <w:suppressAutoHyphens w:val="0"/>
              <w:spacing w:after="20"/>
              <w:jc w:val="right"/>
            </w:pPr>
            <w:r w:rsidRPr="009332D1">
              <w:rPr>
                <w:sz w:val="40"/>
              </w:rPr>
              <w:t>CAT</w:t>
            </w:r>
            <w:r>
              <w:t>/C/5</w:t>
            </w:r>
            <w:r w:rsidR="007C01BE">
              <w:t>3</w:t>
            </w:r>
            <w:r>
              <w:t>/D/</w:t>
            </w:r>
            <w:r w:rsidR="000B6467">
              <w:t>4</w:t>
            </w:r>
            <w:r w:rsidR="001A327F">
              <w:t>92</w:t>
            </w:r>
            <w:r>
              <w:t>/20</w:t>
            </w:r>
            <w:r w:rsidR="000B6467">
              <w:t>12</w:t>
            </w:r>
          </w:p>
        </w:tc>
      </w:tr>
      <w:tr w:rsidR="00B56E9C" w:rsidTr="009332D1">
        <w:trPr>
          <w:cantSplit/>
          <w:trHeight w:hRule="exact" w:val="2835"/>
        </w:trPr>
        <w:tc>
          <w:tcPr>
            <w:tcW w:w="1276" w:type="dxa"/>
            <w:tcBorders>
              <w:top w:val="single" w:sz="4" w:space="0" w:color="auto"/>
              <w:bottom w:val="single" w:sz="12" w:space="0" w:color="auto"/>
            </w:tcBorders>
            <w:shd w:val="clear" w:color="auto" w:fill="auto"/>
          </w:tcPr>
          <w:p w:rsidR="00B56E9C" w:rsidRDefault="00FC282F" w:rsidP="009332D1">
            <w:pPr>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shd w:val="clear" w:color="auto" w:fill="auto"/>
          </w:tcPr>
          <w:p w:rsidR="00B56E9C" w:rsidRDefault="004D4CD5" w:rsidP="009332D1">
            <w:pPr>
              <w:spacing w:before="120" w:line="380" w:lineRule="exact"/>
            </w:pPr>
            <w:r w:rsidRPr="009332D1">
              <w:rPr>
                <w:b/>
                <w:sz w:val="34"/>
                <w:szCs w:val="40"/>
              </w:rPr>
              <w:t>Convention against Torture</w:t>
            </w:r>
            <w:r w:rsidRPr="009332D1">
              <w:rPr>
                <w:b/>
                <w:sz w:val="34"/>
                <w:szCs w:val="40"/>
              </w:rPr>
              <w:br/>
              <w:t>and Other Cruel, Inhuman</w:t>
            </w:r>
            <w:r w:rsidRPr="009332D1">
              <w:rPr>
                <w:b/>
                <w:sz w:val="34"/>
                <w:szCs w:val="40"/>
              </w:rPr>
              <w:br/>
              <w:t>or Degrading Treatment</w:t>
            </w:r>
            <w:r w:rsidRPr="009332D1">
              <w:rPr>
                <w:b/>
                <w:sz w:val="34"/>
                <w:szCs w:val="40"/>
              </w:rPr>
              <w:br/>
              <w:t>or Punishment</w:t>
            </w:r>
          </w:p>
        </w:tc>
        <w:tc>
          <w:tcPr>
            <w:tcW w:w="2835" w:type="dxa"/>
            <w:tcBorders>
              <w:top w:val="single" w:sz="4" w:space="0" w:color="auto"/>
              <w:bottom w:val="single" w:sz="12" w:space="0" w:color="auto"/>
            </w:tcBorders>
            <w:shd w:val="clear" w:color="auto" w:fill="auto"/>
          </w:tcPr>
          <w:p w:rsidR="00560821" w:rsidRDefault="00560821" w:rsidP="00E87506">
            <w:pPr>
              <w:suppressAutoHyphens w:val="0"/>
              <w:spacing w:before="240" w:line="240" w:lineRule="exact"/>
            </w:pPr>
            <w:r>
              <w:t xml:space="preserve">Distr.: </w:t>
            </w:r>
            <w:r w:rsidR="00E87506">
              <w:t>General</w:t>
            </w:r>
          </w:p>
          <w:p w:rsidR="00560821" w:rsidRDefault="00814EE5" w:rsidP="00E87506">
            <w:pPr>
              <w:suppressAutoHyphens w:val="0"/>
            </w:pPr>
            <w:r w:rsidRPr="00E87506">
              <w:t>1</w:t>
            </w:r>
            <w:r w:rsidR="00E87506" w:rsidRPr="004E3207">
              <w:t>9</w:t>
            </w:r>
            <w:r w:rsidR="00B966B4" w:rsidRPr="00E87506">
              <w:t xml:space="preserve"> </w:t>
            </w:r>
            <w:r w:rsidR="003B65F3" w:rsidRPr="00E87506">
              <w:t>January</w:t>
            </w:r>
            <w:r w:rsidR="00120788">
              <w:t xml:space="preserve"> 201</w:t>
            </w:r>
            <w:r w:rsidR="003B65F3">
              <w:t>5</w:t>
            </w:r>
          </w:p>
          <w:p w:rsidR="00560821" w:rsidRDefault="00560821" w:rsidP="009332D1">
            <w:pPr>
              <w:suppressAutoHyphens w:val="0"/>
            </w:pPr>
          </w:p>
          <w:p w:rsidR="00B56E9C" w:rsidRDefault="00560821" w:rsidP="000B6467">
            <w:pPr>
              <w:suppressAutoHyphens w:val="0"/>
            </w:pPr>
            <w:r>
              <w:t xml:space="preserve">Original: </w:t>
            </w:r>
            <w:r w:rsidR="000B6467">
              <w:t>English</w:t>
            </w:r>
          </w:p>
        </w:tc>
      </w:tr>
    </w:tbl>
    <w:p w:rsidR="00120788" w:rsidRPr="00120788" w:rsidRDefault="00120788" w:rsidP="00120788">
      <w:pPr>
        <w:spacing w:before="120"/>
        <w:rPr>
          <w:b/>
          <w:sz w:val="24"/>
          <w:szCs w:val="24"/>
        </w:rPr>
      </w:pPr>
      <w:r w:rsidRPr="00120788">
        <w:rPr>
          <w:b/>
          <w:sz w:val="24"/>
          <w:szCs w:val="24"/>
        </w:rPr>
        <w:t>Committee against Torture</w:t>
      </w:r>
      <w:r w:rsidR="00FC282F">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2&amp;Size=2 &amp;Lang=E"/>
            <w10:wrap anchorx="margin" anchory="margin"/>
          </v:shape>
        </w:pict>
      </w:r>
    </w:p>
    <w:p w:rsidR="00A25068" w:rsidRPr="0048237E" w:rsidRDefault="00A0619C" w:rsidP="00AA1FFC">
      <w:pPr>
        <w:pStyle w:val="HChG"/>
      </w:pPr>
      <w:r w:rsidRPr="005026FF">
        <w:tab/>
      </w:r>
      <w:r w:rsidR="00AA1FFC">
        <w:tab/>
      </w:r>
      <w:r w:rsidR="00A25068" w:rsidRPr="0048237E">
        <w:t>Communication</w:t>
      </w:r>
      <w:r w:rsidR="00A3595D">
        <w:t xml:space="preserve"> No. </w:t>
      </w:r>
      <w:r w:rsidR="000B6467">
        <w:t>49</w:t>
      </w:r>
      <w:r w:rsidR="00B21AFD">
        <w:t>2</w:t>
      </w:r>
      <w:r w:rsidR="00A25068" w:rsidRPr="0048237E">
        <w:t>/20</w:t>
      </w:r>
      <w:r w:rsidR="000B6467">
        <w:t>12</w:t>
      </w:r>
    </w:p>
    <w:p w:rsidR="00A0619C" w:rsidRDefault="00A25068" w:rsidP="004E3207">
      <w:pPr>
        <w:pStyle w:val="HChG"/>
      </w:pPr>
      <w:r w:rsidRPr="0048237E">
        <w:rPr>
          <w:rFonts w:eastAsia="SimSun"/>
        </w:rPr>
        <w:tab/>
      </w:r>
      <w:r w:rsidRPr="0048237E">
        <w:rPr>
          <w:rFonts w:eastAsia="SimSun"/>
        </w:rPr>
        <w:tab/>
      </w:r>
      <w:r w:rsidR="00E45A21" w:rsidRPr="00E45A21">
        <w:rPr>
          <w:rFonts w:eastAsia="SimSun"/>
        </w:rPr>
        <w:t xml:space="preserve">Decision adopted by the Committee at its fifty-third session, </w:t>
      </w:r>
      <w:r w:rsidR="001A1BF6">
        <w:rPr>
          <w:rFonts w:eastAsia="SimSun"/>
        </w:rPr>
        <w:br/>
      </w:r>
      <w:r w:rsidR="00E45A21" w:rsidRPr="00E45A21">
        <w:rPr>
          <w:rFonts w:eastAsia="SimSun"/>
        </w:rPr>
        <w:t>3</w:t>
      </w:r>
      <w:r w:rsidR="00D67A7D">
        <w:rPr>
          <w:rFonts w:eastAsia="SimSun"/>
        </w:rPr>
        <w:t>–</w:t>
      </w:r>
      <w:r w:rsidR="00E45A21" w:rsidRPr="00E45A21">
        <w:rPr>
          <w:rFonts w:eastAsia="SimSun"/>
        </w:rPr>
        <w:t>28 November 2014</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A0619C" w:rsidRPr="009332D1" w:rsidTr="00CE09CC">
        <w:tc>
          <w:tcPr>
            <w:tcW w:w="3402" w:type="dxa"/>
            <w:shd w:val="clear" w:color="auto" w:fill="auto"/>
          </w:tcPr>
          <w:p w:rsidR="00A0619C" w:rsidRPr="009332D1" w:rsidRDefault="00A0619C" w:rsidP="009332D1">
            <w:pPr>
              <w:pStyle w:val="SingleTxtG"/>
              <w:ind w:left="0" w:right="0"/>
              <w:jc w:val="left"/>
              <w:rPr>
                <w:i/>
              </w:rPr>
            </w:pPr>
            <w:r w:rsidRPr="009332D1">
              <w:rPr>
                <w:i/>
              </w:rPr>
              <w:t>Submitted by:</w:t>
            </w:r>
          </w:p>
        </w:tc>
        <w:tc>
          <w:tcPr>
            <w:tcW w:w="3969" w:type="dxa"/>
            <w:shd w:val="clear" w:color="auto" w:fill="auto"/>
          </w:tcPr>
          <w:p w:rsidR="00A0619C" w:rsidRPr="000D1ED1" w:rsidRDefault="001A327F" w:rsidP="00297B01">
            <w:pPr>
              <w:pStyle w:val="SingleTxtG"/>
              <w:ind w:left="0" w:right="0"/>
              <w:jc w:val="left"/>
            </w:pPr>
            <w:r w:rsidRPr="00120788">
              <w:rPr>
                <w:rFonts w:eastAsia="SimSun"/>
              </w:rPr>
              <w:t>Abed Azizi</w:t>
            </w:r>
            <w:r w:rsidR="003557DD" w:rsidRPr="00120788">
              <w:rPr>
                <w:rFonts w:eastAsia="SimSun"/>
              </w:rPr>
              <w:t xml:space="preserve"> </w:t>
            </w:r>
            <w:r w:rsidR="00297B01">
              <w:rPr>
                <w:rFonts w:eastAsia="SimSun"/>
              </w:rPr>
              <w:t>(</w:t>
            </w:r>
            <w:r w:rsidR="003557DD" w:rsidRPr="00120788">
              <w:rPr>
                <w:rFonts w:eastAsia="SimSun"/>
              </w:rPr>
              <w:t>represented</w:t>
            </w:r>
            <w:r w:rsidR="003557DD" w:rsidRPr="009332D1">
              <w:rPr>
                <w:rFonts w:eastAsia="SimSun"/>
              </w:rPr>
              <w:t xml:space="preserve"> </w:t>
            </w:r>
            <w:r w:rsidR="003557DD" w:rsidRPr="00120788">
              <w:rPr>
                <w:rFonts w:eastAsia="SimSun"/>
              </w:rPr>
              <w:t xml:space="preserve">by </w:t>
            </w:r>
            <w:r w:rsidR="007C01BE" w:rsidRPr="00120788">
              <w:rPr>
                <w:rFonts w:eastAsia="SimSun"/>
              </w:rPr>
              <w:t>counsel</w:t>
            </w:r>
            <w:r w:rsidR="00297B01">
              <w:rPr>
                <w:rFonts w:eastAsia="SimSun"/>
              </w:rPr>
              <w:t>,</w:t>
            </w:r>
            <w:r w:rsidR="007C01BE" w:rsidRPr="00120788">
              <w:rPr>
                <w:rFonts w:eastAsia="SimSun"/>
              </w:rPr>
              <w:t xml:space="preserve"> </w:t>
            </w:r>
            <w:r w:rsidR="000B6467" w:rsidRPr="00120788">
              <w:rPr>
                <w:rFonts w:eastAsia="SimSun"/>
              </w:rPr>
              <w:t>Urs</w:t>
            </w:r>
            <w:r w:rsidR="006921A1">
              <w:rPr>
                <w:rFonts w:eastAsia="SimSun"/>
              </w:rPr>
              <w:t> </w:t>
            </w:r>
            <w:r w:rsidR="000B6467" w:rsidRPr="00120788">
              <w:rPr>
                <w:rFonts w:eastAsia="SimSun"/>
              </w:rPr>
              <w:t>Ebnöther</w:t>
            </w:r>
            <w:r w:rsidR="00297B01">
              <w:rPr>
                <w:rFonts w:eastAsia="SimSun"/>
              </w:rPr>
              <w:t>)</w:t>
            </w:r>
          </w:p>
        </w:tc>
      </w:tr>
      <w:tr w:rsidR="00A0619C" w:rsidRPr="009332D1" w:rsidTr="00CE09CC">
        <w:tc>
          <w:tcPr>
            <w:tcW w:w="3402" w:type="dxa"/>
            <w:shd w:val="clear" w:color="auto" w:fill="auto"/>
          </w:tcPr>
          <w:p w:rsidR="00A0619C" w:rsidRPr="009332D1" w:rsidRDefault="00E87506" w:rsidP="00E87506">
            <w:pPr>
              <w:pStyle w:val="SingleTxtG"/>
              <w:ind w:left="0" w:right="0"/>
              <w:jc w:val="left"/>
              <w:rPr>
                <w:i/>
              </w:rPr>
            </w:pPr>
            <w:r>
              <w:rPr>
                <w:i/>
              </w:rPr>
              <w:t>Alleged victim</w:t>
            </w:r>
            <w:r w:rsidR="00A0619C" w:rsidRPr="009332D1">
              <w:rPr>
                <w:i/>
              </w:rPr>
              <w:t>:</w:t>
            </w:r>
          </w:p>
        </w:tc>
        <w:tc>
          <w:tcPr>
            <w:tcW w:w="3969" w:type="dxa"/>
            <w:shd w:val="clear" w:color="auto" w:fill="auto"/>
          </w:tcPr>
          <w:p w:rsidR="00A0619C" w:rsidRDefault="001A327F" w:rsidP="009332D1">
            <w:pPr>
              <w:pStyle w:val="SingleTxtG"/>
              <w:ind w:left="0" w:right="0"/>
              <w:jc w:val="left"/>
            </w:pPr>
            <w:r>
              <w:rPr>
                <w:rFonts w:eastAsia="SimSun"/>
              </w:rPr>
              <w:t>Abed Azizi</w:t>
            </w:r>
          </w:p>
        </w:tc>
      </w:tr>
      <w:tr w:rsidR="00A0619C" w:rsidRPr="009332D1" w:rsidTr="00CE09CC">
        <w:tc>
          <w:tcPr>
            <w:tcW w:w="3402" w:type="dxa"/>
            <w:shd w:val="clear" w:color="auto" w:fill="auto"/>
          </w:tcPr>
          <w:p w:rsidR="00A0619C" w:rsidRPr="009332D1" w:rsidRDefault="00A0619C" w:rsidP="009332D1">
            <w:pPr>
              <w:pStyle w:val="SingleTxtG"/>
              <w:ind w:left="0" w:right="0"/>
              <w:jc w:val="left"/>
              <w:rPr>
                <w:i/>
              </w:rPr>
            </w:pPr>
            <w:r w:rsidRPr="009332D1">
              <w:rPr>
                <w:i/>
              </w:rPr>
              <w:t>State party:</w:t>
            </w:r>
          </w:p>
        </w:tc>
        <w:tc>
          <w:tcPr>
            <w:tcW w:w="3969" w:type="dxa"/>
            <w:shd w:val="clear" w:color="auto" w:fill="auto"/>
          </w:tcPr>
          <w:p w:rsidR="00A0619C" w:rsidRPr="00120788" w:rsidRDefault="000B6467" w:rsidP="00120788">
            <w:pPr>
              <w:pStyle w:val="SingleTxtG"/>
              <w:ind w:left="0"/>
            </w:pPr>
            <w:r w:rsidRPr="00120788">
              <w:rPr>
                <w:rFonts w:eastAsia="SimSun"/>
              </w:rPr>
              <w:t>Switzerland</w:t>
            </w:r>
          </w:p>
        </w:tc>
      </w:tr>
      <w:tr w:rsidR="00A0619C" w:rsidRPr="009332D1" w:rsidTr="00CE09CC">
        <w:tc>
          <w:tcPr>
            <w:tcW w:w="3402" w:type="dxa"/>
            <w:shd w:val="clear" w:color="auto" w:fill="auto"/>
          </w:tcPr>
          <w:p w:rsidR="00A0619C" w:rsidRPr="009332D1" w:rsidRDefault="00A0619C" w:rsidP="009332D1">
            <w:pPr>
              <w:pStyle w:val="SingleTxtG"/>
              <w:ind w:left="0" w:right="0"/>
              <w:jc w:val="left"/>
              <w:rPr>
                <w:i/>
              </w:rPr>
            </w:pPr>
            <w:r w:rsidRPr="009332D1">
              <w:rPr>
                <w:i/>
              </w:rPr>
              <w:t>Date of complaint:</w:t>
            </w:r>
          </w:p>
        </w:tc>
        <w:tc>
          <w:tcPr>
            <w:tcW w:w="3969" w:type="dxa"/>
            <w:shd w:val="clear" w:color="auto" w:fill="auto"/>
          </w:tcPr>
          <w:p w:rsidR="00A0619C" w:rsidRDefault="000B6467" w:rsidP="001A327F">
            <w:pPr>
              <w:pStyle w:val="SingleTxtG"/>
              <w:ind w:left="0" w:right="0"/>
              <w:jc w:val="left"/>
            </w:pPr>
            <w:r>
              <w:rPr>
                <w:rFonts w:eastAsia="SimSun"/>
              </w:rPr>
              <w:t>2</w:t>
            </w:r>
            <w:r w:rsidR="001A327F">
              <w:rPr>
                <w:rFonts w:eastAsia="SimSun"/>
              </w:rPr>
              <w:t>2</w:t>
            </w:r>
            <w:r>
              <w:rPr>
                <w:rFonts w:eastAsia="SimSun"/>
              </w:rPr>
              <w:t xml:space="preserve"> </w:t>
            </w:r>
            <w:r w:rsidR="001A327F">
              <w:rPr>
                <w:rFonts w:eastAsia="SimSun"/>
              </w:rPr>
              <w:t>February</w:t>
            </w:r>
            <w:r>
              <w:rPr>
                <w:rFonts w:eastAsia="SimSun"/>
              </w:rPr>
              <w:t xml:space="preserve"> 2012</w:t>
            </w:r>
            <w:r w:rsidR="00B52B2B" w:rsidRPr="009332D1">
              <w:rPr>
                <w:rFonts w:eastAsia="SimSun"/>
              </w:rPr>
              <w:t xml:space="preserve"> (initial submission)</w:t>
            </w:r>
          </w:p>
        </w:tc>
      </w:tr>
      <w:tr w:rsidR="00A0619C" w:rsidRPr="009332D1" w:rsidTr="00CE09CC">
        <w:tc>
          <w:tcPr>
            <w:tcW w:w="3402" w:type="dxa"/>
            <w:shd w:val="clear" w:color="auto" w:fill="auto"/>
          </w:tcPr>
          <w:p w:rsidR="00A0619C" w:rsidRPr="009332D1" w:rsidRDefault="00A0619C" w:rsidP="009332D1">
            <w:pPr>
              <w:pStyle w:val="SingleTxtG"/>
              <w:ind w:left="0" w:right="0"/>
              <w:jc w:val="left"/>
              <w:rPr>
                <w:i/>
                <w:iCs/>
              </w:rPr>
            </w:pPr>
            <w:r w:rsidRPr="009332D1">
              <w:rPr>
                <w:i/>
                <w:iCs/>
              </w:rPr>
              <w:t>Date of present decision:</w:t>
            </w:r>
          </w:p>
        </w:tc>
        <w:tc>
          <w:tcPr>
            <w:tcW w:w="3969" w:type="dxa"/>
            <w:shd w:val="clear" w:color="auto" w:fill="auto"/>
          </w:tcPr>
          <w:p w:rsidR="00A0619C" w:rsidRPr="00120788" w:rsidRDefault="00E45A21" w:rsidP="00120788">
            <w:pPr>
              <w:pStyle w:val="SingleTxtG"/>
              <w:ind w:left="0"/>
            </w:pPr>
            <w:r>
              <w:rPr>
                <w:rFonts w:eastAsia="SimSun"/>
              </w:rPr>
              <w:t>27</w:t>
            </w:r>
            <w:r w:rsidR="0079190C" w:rsidRPr="00120788">
              <w:rPr>
                <w:rFonts w:eastAsia="SimSun"/>
              </w:rPr>
              <w:t xml:space="preserve"> </w:t>
            </w:r>
            <w:r w:rsidR="00EB23FA" w:rsidRPr="00120788">
              <w:rPr>
                <w:rFonts w:eastAsia="SimSun"/>
              </w:rPr>
              <w:t>November</w:t>
            </w:r>
            <w:r w:rsidR="0079190C" w:rsidRPr="00120788">
              <w:rPr>
                <w:rFonts w:eastAsia="SimSun"/>
              </w:rPr>
              <w:t xml:space="preserve"> 2014</w:t>
            </w:r>
          </w:p>
        </w:tc>
      </w:tr>
      <w:tr w:rsidR="00A0619C" w:rsidRPr="009332D1" w:rsidTr="00CE09CC">
        <w:tc>
          <w:tcPr>
            <w:tcW w:w="3402" w:type="dxa"/>
            <w:shd w:val="clear" w:color="auto" w:fill="auto"/>
          </w:tcPr>
          <w:p w:rsidR="00A0619C" w:rsidRPr="009332D1" w:rsidRDefault="00A0619C" w:rsidP="009332D1">
            <w:pPr>
              <w:pStyle w:val="SingleTxtG"/>
              <w:ind w:left="0" w:right="0"/>
              <w:jc w:val="left"/>
              <w:rPr>
                <w:i/>
              </w:rPr>
            </w:pPr>
            <w:r w:rsidRPr="009332D1">
              <w:rPr>
                <w:i/>
                <w:iCs/>
              </w:rPr>
              <w:t>Subject matter:</w:t>
            </w:r>
          </w:p>
        </w:tc>
        <w:tc>
          <w:tcPr>
            <w:tcW w:w="3969" w:type="dxa"/>
            <w:shd w:val="clear" w:color="auto" w:fill="auto"/>
          </w:tcPr>
          <w:p w:rsidR="00A0619C" w:rsidRPr="00120788" w:rsidRDefault="000B6467" w:rsidP="00D730FC">
            <w:pPr>
              <w:pStyle w:val="SingleTxtG"/>
              <w:ind w:left="0"/>
            </w:pPr>
            <w:r w:rsidRPr="00120788">
              <w:rPr>
                <w:rFonts w:eastAsia="SimSun"/>
              </w:rPr>
              <w:t xml:space="preserve">Deportation to </w:t>
            </w:r>
            <w:r w:rsidR="00D730FC" w:rsidRPr="00120788">
              <w:t xml:space="preserve">Islamic Republic of </w:t>
            </w:r>
            <w:r w:rsidRPr="00120788">
              <w:rPr>
                <w:rFonts w:eastAsia="SimSun"/>
              </w:rPr>
              <w:t>Iran</w:t>
            </w:r>
          </w:p>
        </w:tc>
      </w:tr>
      <w:tr w:rsidR="00A0619C" w:rsidRPr="009332D1" w:rsidTr="00CE09CC">
        <w:tc>
          <w:tcPr>
            <w:tcW w:w="3402" w:type="dxa"/>
            <w:shd w:val="clear" w:color="auto" w:fill="auto"/>
          </w:tcPr>
          <w:p w:rsidR="00A0619C" w:rsidRPr="009332D1" w:rsidRDefault="00A0619C" w:rsidP="009332D1">
            <w:pPr>
              <w:pStyle w:val="SingleTxtG"/>
              <w:ind w:left="0" w:right="0"/>
              <w:jc w:val="left"/>
              <w:rPr>
                <w:i/>
                <w:iCs/>
              </w:rPr>
            </w:pPr>
            <w:r w:rsidRPr="009332D1">
              <w:rPr>
                <w:i/>
                <w:iCs/>
              </w:rPr>
              <w:t>Procedural issue</w:t>
            </w:r>
            <w:r w:rsidR="00E10A50">
              <w:rPr>
                <w:i/>
                <w:iCs/>
              </w:rPr>
              <w:t>s</w:t>
            </w:r>
            <w:r w:rsidRPr="009332D1">
              <w:rPr>
                <w:i/>
              </w:rPr>
              <w:t>:</w:t>
            </w:r>
          </w:p>
        </w:tc>
        <w:tc>
          <w:tcPr>
            <w:tcW w:w="3969" w:type="dxa"/>
            <w:shd w:val="clear" w:color="auto" w:fill="auto"/>
          </w:tcPr>
          <w:p w:rsidR="00A0619C" w:rsidRDefault="00AD4F82" w:rsidP="009332D1">
            <w:pPr>
              <w:pStyle w:val="SingleTxtG"/>
              <w:ind w:left="0" w:right="0"/>
              <w:jc w:val="left"/>
            </w:pPr>
            <w:r w:rsidRPr="00AD4F82">
              <w:rPr>
                <w:rFonts w:eastAsia="SimSun"/>
              </w:rPr>
              <w:t>–</w:t>
            </w:r>
          </w:p>
        </w:tc>
      </w:tr>
      <w:tr w:rsidR="00A0619C" w:rsidRPr="009332D1" w:rsidTr="00CE09CC">
        <w:tc>
          <w:tcPr>
            <w:tcW w:w="3402" w:type="dxa"/>
            <w:shd w:val="clear" w:color="auto" w:fill="auto"/>
          </w:tcPr>
          <w:p w:rsidR="00A0619C" w:rsidRPr="009332D1" w:rsidRDefault="00A0619C" w:rsidP="009332D1">
            <w:pPr>
              <w:pStyle w:val="SingleTxtG"/>
              <w:ind w:left="0" w:right="0"/>
              <w:jc w:val="left"/>
              <w:rPr>
                <w:i/>
                <w:iCs/>
              </w:rPr>
            </w:pPr>
            <w:r w:rsidRPr="009332D1">
              <w:rPr>
                <w:i/>
                <w:iCs/>
              </w:rPr>
              <w:t>Substantive issue</w:t>
            </w:r>
            <w:r w:rsidR="00E10A50">
              <w:rPr>
                <w:i/>
                <w:iCs/>
              </w:rPr>
              <w:t>s</w:t>
            </w:r>
            <w:r w:rsidRPr="009332D1">
              <w:rPr>
                <w:i/>
                <w:iCs/>
              </w:rPr>
              <w:t>:</w:t>
            </w:r>
          </w:p>
        </w:tc>
        <w:tc>
          <w:tcPr>
            <w:tcW w:w="3969" w:type="dxa"/>
            <w:shd w:val="clear" w:color="auto" w:fill="auto"/>
          </w:tcPr>
          <w:p w:rsidR="00A0619C" w:rsidRDefault="000B6467" w:rsidP="000B6467">
            <w:pPr>
              <w:pStyle w:val="SingleTxtG"/>
              <w:ind w:left="0" w:right="0"/>
              <w:jc w:val="left"/>
            </w:pPr>
            <w:r w:rsidRPr="00120788">
              <w:rPr>
                <w:rFonts w:eastAsia="SimSun"/>
              </w:rPr>
              <w:t>Risk of torture upon return to the country</w:t>
            </w:r>
            <w:r>
              <w:rPr>
                <w:rFonts w:eastAsia="SimSun"/>
              </w:rPr>
              <w:t xml:space="preserve"> </w:t>
            </w:r>
            <w:r w:rsidRPr="00120788">
              <w:rPr>
                <w:rFonts w:eastAsia="SimSun"/>
              </w:rPr>
              <w:t>of origin</w:t>
            </w:r>
          </w:p>
        </w:tc>
      </w:tr>
      <w:tr w:rsidR="00A0619C" w:rsidRPr="009332D1" w:rsidTr="00CE09CC">
        <w:tc>
          <w:tcPr>
            <w:tcW w:w="3402" w:type="dxa"/>
            <w:shd w:val="clear" w:color="auto" w:fill="auto"/>
          </w:tcPr>
          <w:p w:rsidR="00A0619C" w:rsidRPr="009332D1" w:rsidRDefault="00A3595D" w:rsidP="009332D1">
            <w:pPr>
              <w:pStyle w:val="SingleTxtG"/>
              <w:ind w:left="0" w:right="0"/>
              <w:jc w:val="left"/>
              <w:rPr>
                <w:i/>
                <w:iCs/>
              </w:rPr>
            </w:pPr>
            <w:r>
              <w:rPr>
                <w:i/>
                <w:iCs/>
              </w:rPr>
              <w:t xml:space="preserve">Article </w:t>
            </w:r>
            <w:r w:rsidR="00A0619C" w:rsidRPr="009332D1">
              <w:rPr>
                <w:i/>
                <w:iCs/>
              </w:rPr>
              <w:t>of the Convention</w:t>
            </w:r>
            <w:r w:rsidR="00A0619C" w:rsidRPr="009332D1">
              <w:rPr>
                <w:i/>
              </w:rPr>
              <w:t>:</w:t>
            </w:r>
          </w:p>
        </w:tc>
        <w:tc>
          <w:tcPr>
            <w:tcW w:w="3969" w:type="dxa"/>
            <w:shd w:val="clear" w:color="auto" w:fill="auto"/>
          </w:tcPr>
          <w:p w:rsidR="00A0619C" w:rsidRPr="00120788" w:rsidRDefault="000B6467" w:rsidP="00297B01">
            <w:pPr>
              <w:pStyle w:val="SingleTxtG"/>
              <w:ind w:left="0"/>
            </w:pPr>
            <w:r w:rsidRPr="00120788">
              <w:rPr>
                <w:rFonts w:eastAsia="MS Mincho"/>
              </w:rPr>
              <w:t>3</w:t>
            </w:r>
          </w:p>
        </w:tc>
      </w:tr>
    </w:tbl>
    <w:p w:rsidR="00031F75" w:rsidRPr="00A3595D" w:rsidRDefault="00BA24A2" w:rsidP="00A3595D">
      <w:pPr>
        <w:pStyle w:val="HChG"/>
      </w:pPr>
      <w:r>
        <w:br w:type="page"/>
      </w:r>
      <w:r w:rsidR="00031F75" w:rsidRPr="00031F75">
        <w:lastRenderedPageBreak/>
        <w:t>Annex</w:t>
      </w:r>
    </w:p>
    <w:p w:rsidR="00031F75" w:rsidRPr="00031F75" w:rsidRDefault="00031F75" w:rsidP="00551804">
      <w:pPr>
        <w:pStyle w:val="HChG"/>
      </w:pPr>
      <w:r w:rsidRPr="00031F75">
        <w:tab/>
      </w:r>
      <w:r w:rsidRPr="00031F75">
        <w:tab/>
        <w:t xml:space="preserve">Decision of the Committee against Torture under </w:t>
      </w:r>
      <w:r w:rsidR="00A3595D">
        <w:t>article </w:t>
      </w:r>
      <w:r w:rsidRPr="00031F75">
        <w:t>22 of the Convention against Torture and Other Cruel, Inhuman or Degrading Treatment or Punishment (fifty-</w:t>
      </w:r>
      <w:r w:rsidR="000B6467">
        <w:t>third</w:t>
      </w:r>
      <w:r w:rsidRPr="00031F75">
        <w:t xml:space="preserve"> session)</w:t>
      </w:r>
    </w:p>
    <w:p w:rsidR="00031F75" w:rsidRPr="00551804" w:rsidRDefault="00031F75" w:rsidP="00551804">
      <w:pPr>
        <w:pStyle w:val="SingleTxtG"/>
      </w:pPr>
      <w:r w:rsidRPr="00551804">
        <w:t>concerning</w:t>
      </w:r>
    </w:p>
    <w:p w:rsidR="00031F75" w:rsidRDefault="00A3595D" w:rsidP="00551804">
      <w:pPr>
        <w:pStyle w:val="H1G"/>
      </w:pPr>
      <w:r>
        <w:tab/>
      </w:r>
      <w:r>
        <w:tab/>
        <w:t>Communication No. </w:t>
      </w:r>
      <w:r w:rsidR="001A327F">
        <w:t>49</w:t>
      </w:r>
      <w:r w:rsidR="00127263">
        <w:t>2</w:t>
      </w:r>
      <w:r w:rsidR="001A327F" w:rsidRPr="0048237E">
        <w:t>/20</w:t>
      </w:r>
      <w:r w:rsidR="001A327F">
        <w:t>12</w:t>
      </w:r>
    </w:p>
    <w:tbl>
      <w:tblPr>
        <w:tblW w:w="0" w:type="auto"/>
        <w:tblInd w:w="1134" w:type="dxa"/>
        <w:tblLayout w:type="fixed"/>
        <w:tblCellMar>
          <w:left w:w="0" w:type="dxa"/>
          <w:right w:w="0" w:type="dxa"/>
        </w:tblCellMar>
        <w:tblLook w:val="01E0" w:firstRow="1" w:lastRow="1" w:firstColumn="1" w:lastColumn="1" w:noHBand="0" w:noVBand="0"/>
      </w:tblPr>
      <w:tblGrid>
        <w:gridCol w:w="3402"/>
        <w:gridCol w:w="3969"/>
      </w:tblGrid>
      <w:tr w:rsidR="00616E62" w:rsidRPr="009332D1" w:rsidTr="00A3595D">
        <w:tc>
          <w:tcPr>
            <w:tcW w:w="3402" w:type="dxa"/>
            <w:shd w:val="clear" w:color="auto" w:fill="auto"/>
          </w:tcPr>
          <w:p w:rsidR="00616E62" w:rsidRPr="009332D1" w:rsidRDefault="00616E62" w:rsidP="009332D1">
            <w:pPr>
              <w:pStyle w:val="SingleTxtG"/>
              <w:ind w:left="0" w:right="0"/>
              <w:jc w:val="left"/>
              <w:rPr>
                <w:i/>
              </w:rPr>
            </w:pPr>
            <w:r w:rsidRPr="009332D1">
              <w:rPr>
                <w:i/>
              </w:rPr>
              <w:t>Submitted by:</w:t>
            </w:r>
          </w:p>
        </w:tc>
        <w:tc>
          <w:tcPr>
            <w:tcW w:w="3969" w:type="dxa"/>
            <w:shd w:val="clear" w:color="auto" w:fill="auto"/>
          </w:tcPr>
          <w:p w:rsidR="00616E62" w:rsidRPr="000D1ED1" w:rsidRDefault="001A327F" w:rsidP="00297B01">
            <w:pPr>
              <w:pStyle w:val="SingleTxtG"/>
              <w:ind w:left="0" w:right="0"/>
              <w:jc w:val="left"/>
            </w:pPr>
            <w:r>
              <w:rPr>
                <w:rFonts w:eastAsia="SimSun"/>
              </w:rPr>
              <w:t>Abed Azizi</w:t>
            </w:r>
            <w:r w:rsidR="000B6467" w:rsidRPr="009332D1">
              <w:rPr>
                <w:rFonts w:eastAsia="SimSun"/>
              </w:rPr>
              <w:t xml:space="preserve"> </w:t>
            </w:r>
            <w:r w:rsidR="00297B01">
              <w:rPr>
                <w:rFonts w:eastAsia="SimSun"/>
              </w:rPr>
              <w:t>(</w:t>
            </w:r>
            <w:r w:rsidR="000B6467" w:rsidRPr="009332D1">
              <w:rPr>
                <w:rFonts w:eastAsia="SimSun"/>
              </w:rPr>
              <w:t xml:space="preserve">represented by </w:t>
            </w:r>
            <w:r w:rsidR="007C01BE">
              <w:rPr>
                <w:rFonts w:eastAsia="SimSun"/>
              </w:rPr>
              <w:t>counsel</w:t>
            </w:r>
            <w:r w:rsidR="00297B01">
              <w:rPr>
                <w:rFonts w:eastAsia="SimSun"/>
              </w:rPr>
              <w:t>,</w:t>
            </w:r>
            <w:r w:rsidR="007C01BE">
              <w:rPr>
                <w:rFonts w:eastAsia="SimSun"/>
              </w:rPr>
              <w:t xml:space="preserve"> </w:t>
            </w:r>
            <w:r w:rsidR="001A1BF6">
              <w:rPr>
                <w:rFonts w:eastAsia="SimSun"/>
              </w:rPr>
              <w:t>Urs </w:t>
            </w:r>
            <w:r w:rsidR="000B6467">
              <w:rPr>
                <w:rFonts w:eastAsia="SimSun"/>
              </w:rPr>
              <w:t>Ebnöther</w:t>
            </w:r>
            <w:r w:rsidR="00297B01">
              <w:rPr>
                <w:rFonts w:eastAsia="SimSun"/>
              </w:rPr>
              <w:t>)</w:t>
            </w:r>
          </w:p>
        </w:tc>
      </w:tr>
      <w:tr w:rsidR="00616E62" w:rsidRPr="009332D1" w:rsidTr="00A3595D">
        <w:tc>
          <w:tcPr>
            <w:tcW w:w="3402" w:type="dxa"/>
            <w:shd w:val="clear" w:color="auto" w:fill="auto"/>
          </w:tcPr>
          <w:p w:rsidR="00616E62" w:rsidRPr="009332D1" w:rsidRDefault="00E87506" w:rsidP="00E87506">
            <w:pPr>
              <w:pStyle w:val="SingleTxtG"/>
              <w:ind w:left="0" w:right="0"/>
              <w:jc w:val="left"/>
              <w:rPr>
                <w:i/>
              </w:rPr>
            </w:pPr>
            <w:r>
              <w:rPr>
                <w:i/>
              </w:rPr>
              <w:t>Alleged victim</w:t>
            </w:r>
            <w:r w:rsidR="00616E62" w:rsidRPr="009332D1">
              <w:rPr>
                <w:i/>
              </w:rPr>
              <w:t>:</w:t>
            </w:r>
          </w:p>
        </w:tc>
        <w:tc>
          <w:tcPr>
            <w:tcW w:w="3969" w:type="dxa"/>
            <w:shd w:val="clear" w:color="auto" w:fill="auto"/>
          </w:tcPr>
          <w:p w:rsidR="00616E62" w:rsidRDefault="001A327F" w:rsidP="009332D1">
            <w:pPr>
              <w:pStyle w:val="SingleTxtG"/>
              <w:ind w:left="0" w:right="0"/>
              <w:jc w:val="left"/>
            </w:pPr>
            <w:r>
              <w:rPr>
                <w:rFonts w:eastAsia="SimSun"/>
              </w:rPr>
              <w:t>Abed Azizi</w:t>
            </w:r>
          </w:p>
        </w:tc>
      </w:tr>
      <w:tr w:rsidR="00616E62" w:rsidRPr="009332D1" w:rsidTr="00A3595D">
        <w:tc>
          <w:tcPr>
            <w:tcW w:w="3402" w:type="dxa"/>
            <w:shd w:val="clear" w:color="auto" w:fill="auto"/>
          </w:tcPr>
          <w:p w:rsidR="00616E62" w:rsidRPr="009332D1" w:rsidRDefault="00616E62" w:rsidP="009332D1">
            <w:pPr>
              <w:pStyle w:val="SingleTxtG"/>
              <w:ind w:left="0" w:right="0"/>
              <w:jc w:val="left"/>
              <w:rPr>
                <w:i/>
              </w:rPr>
            </w:pPr>
            <w:r w:rsidRPr="009332D1">
              <w:rPr>
                <w:i/>
              </w:rPr>
              <w:t>State party:</w:t>
            </w:r>
          </w:p>
        </w:tc>
        <w:tc>
          <w:tcPr>
            <w:tcW w:w="3969" w:type="dxa"/>
            <w:shd w:val="clear" w:color="auto" w:fill="auto"/>
          </w:tcPr>
          <w:p w:rsidR="00616E62" w:rsidRDefault="00CD26E9" w:rsidP="009332D1">
            <w:pPr>
              <w:pStyle w:val="SingleTxtG"/>
              <w:ind w:left="0" w:right="0"/>
              <w:jc w:val="left"/>
            </w:pPr>
            <w:r>
              <w:rPr>
                <w:rFonts w:eastAsia="SimSun"/>
              </w:rPr>
              <w:t>Switzerland</w:t>
            </w:r>
          </w:p>
        </w:tc>
      </w:tr>
      <w:tr w:rsidR="00616E62" w:rsidRPr="009332D1" w:rsidTr="00A3595D">
        <w:tc>
          <w:tcPr>
            <w:tcW w:w="3402" w:type="dxa"/>
            <w:shd w:val="clear" w:color="auto" w:fill="auto"/>
          </w:tcPr>
          <w:p w:rsidR="00616E62" w:rsidRPr="009332D1" w:rsidRDefault="00616E62" w:rsidP="009332D1">
            <w:pPr>
              <w:pStyle w:val="SingleTxtG"/>
              <w:ind w:left="0" w:right="0"/>
              <w:jc w:val="left"/>
              <w:rPr>
                <w:i/>
              </w:rPr>
            </w:pPr>
            <w:r w:rsidRPr="009332D1">
              <w:rPr>
                <w:i/>
              </w:rPr>
              <w:t>Date of complaint:</w:t>
            </w:r>
          </w:p>
        </w:tc>
        <w:tc>
          <w:tcPr>
            <w:tcW w:w="3969" w:type="dxa"/>
            <w:shd w:val="clear" w:color="auto" w:fill="auto"/>
          </w:tcPr>
          <w:p w:rsidR="00616E62" w:rsidRDefault="001A327F" w:rsidP="009332D1">
            <w:pPr>
              <w:pStyle w:val="SingleTxtG"/>
              <w:ind w:left="0" w:right="0"/>
              <w:jc w:val="left"/>
            </w:pPr>
            <w:r>
              <w:rPr>
                <w:rFonts w:eastAsia="SimSun"/>
              </w:rPr>
              <w:t>22 February 2012</w:t>
            </w:r>
            <w:r w:rsidRPr="009332D1">
              <w:rPr>
                <w:rFonts w:eastAsia="SimSun"/>
              </w:rPr>
              <w:t xml:space="preserve"> </w:t>
            </w:r>
            <w:r w:rsidR="00CD26E9" w:rsidRPr="009332D1">
              <w:rPr>
                <w:rFonts w:eastAsia="SimSun"/>
              </w:rPr>
              <w:t>(initial submission)</w:t>
            </w:r>
          </w:p>
        </w:tc>
      </w:tr>
    </w:tbl>
    <w:p w:rsidR="00AD4F82" w:rsidRDefault="00AE353C" w:rsidP="00616E62">
      <w:pPr>
        <w:pStyle w:val="SingleTxtG"/>
        <w:rPr>
          <w:i/>
        </w:rPr>
      </w:pPr>
      <w:r>
        <w:rPr>
          <w:i/>
        </w:rPr>
        <w:tab/>
      </w:r>
    </w:p>
    <w:p w:rsidR="00616E62" w:rsidRDefault="00AD4F82" w:rsidP="00616E62">
      <w:pPr>
        <w:pStyle w:val="SingleTxtG"/>
      </w:pPr>
      <w:r>
        <w:rPr>
          <w:i/>
        </w:rPr>
        <w:tab/>
      </w:r>
      <w:r w:rsidR="00AE353C" w:rsidRPr="00DC1EF0">
        <w:rPr>
          <w:i/>
        </w:rPr>
        <w:t>The Committee against Torture</w:t>
      </w:r>
      <w:r w:rsidR="00A3595D">
        <w:t>, established under article </w:t>
      </w:r>
      <w:r w:rsidR="00AE353C" w:rsidRPr="005026FF">
        <w:t>17 of the Convention against Torture and Other Cruel, Inhuman or Degrading Treatment or Punishment,</w:t>
      </w:r>
    </w:p>
    <w:p w:rsidR="00031F75" w:rsidRPr="00031F75" w:rsidRDefault="00031F75" w:rsidP="00031F75">
      <w:pPr>
        <w:pStyle w:val="SingleTxtG"/>
      </w:pPr>
      <w:r w:rsidRPr="00031F75">
        <w:tab/>
      </w:r>
      <w:r w:rsidRPr="00417AD5">
        <w:rPr>
          <w:i/>
        </w:rPr>
        <w:t>Meeting</w:t>
      </w:r>
      <w:r w:rsidR="003A6805">
        <w:t xml:space="preserve"> on </w:t>
      </w:r>
      <w:r w:rsidR="00E45A21">
        <w:t>27</w:t>
      </w:r>
      <w:r w:rsidR="006921A1">
        <w:t xml:space="preserve"> </w:t>
      </w:r>
      <w:r w:rsidR="00EB23FA">
        <w:t>November</w:t>
      </w:r>
      <w:r w:rsidRPr="00031F75">
        <w:t xml:space="preserve"> 2014,</w:t>
      </w:r>
    </w:p>
    <w:p w:rsidR="00031F75" w:rsidRPr="00031F75" w:rsidRDefault="00031F75" w:rsidP="00031F75">
      <w:pPr>
        <w:pStyle w:val="SingleTxtG"/>
      </w:pPr>
      <w:r w:rsidRPr="00031F75">
        <w:tab/>
      </w:r>
      <w:r w:rsidRPr="003A6805">
        <w:rPr>
          <w:i/>
        </w:rPr>
        <w:t>Having concluded</w:t>
      </w:r>
      <w:r w:rsidRPr="00031F75">
        <w:t xml:space="preserve"> its considera</w:t>
      </w:r>
      <w:r w:rsidR="00A3595D">
        <w:t>tion of complaint No. </w:t>
      </w:r>
      <w:r w:rsidR="00CD26E9">
        <w:t>49</w:t>
      </w:r>
      <w:r w:rsidR="00127263">
        <w:t>2</w:t>
      </w:r>
      <w:r w:rsidRPr="00031F75">
        <w:t>/20</w:t>
      </w:r>
      <w:r w:rsidR="00CD26E9">
        <w:t>12</w:t>
      </w:r>
      <w:r w:rsidRPr="00031F75">
        <w:t xml:space="preserve">, submitted on behalf of </w:t>
      </w:r>
      <w:r w:rsidR="001A327F">
        <w:rPr>
          <w:rFonts w:eastAsia="SimSun"/>
        </w:rPr>
        <w:t>Abed Azizi</w:t>
      </w:r>
      <w:r w:rsidR="001A327F" w:rsidRPr="00031F75">
        <w:t xml:space="preserve"> </w:t>
      </w:r>
      <w:r w:rsidR="00A3595D">
        <w:t>under article </w:t>
      </w:r>
      <w:r w:rsidRPr="00031F75">
        <w:t>22 of the Convention against Torture and Other Cruel, Inhuman or Degrading Treatment or Punishment,</w:t>
      </w:r>
    </w:p>
    <w:p w:rsidR="00031F75" w:rsidRPr="00031F75" w:rsidRDefault="00031F75" w:rsidP="00031F75">
      <w:pPr>
        <w:pStyle w:val="SingleTxtG"/>
      </w:pPr>
      <w:r w:rsidRPr="00031F75">
        <w:tab/>
      </w:r>
      <w:r w:rsidRPr="003A6805">
        <w:rPr>
          <w:i/>
        </w:rPr>
        <w:t>Having taken into account</w:t>
      </w:r>
      <w:r w:rsidRPr="00031F75">
        <w:t xml:space="preserve"> all information made available to it by the complainant, his counsel and the State party,</w:t>
      </w:r>
    </w:p>
    <w:p w:rsidR="00031F75" w:rsidRPr="00031F75" w:rsidRDefault="00031F75" w:rsidP="00031F75">
      <w:pPr>
        <w:pStyle w:val="SingleTxtG"/>
      </w:pPr>
      <w:r w:rsidRPr="003A6805">
        <w:rPr>
          <w:i/>
        </w:rPr>
        <w:tab/>
        <w:t>Adopts</w:t>
      </w:r>
      <w:r w:rsidRPr="00031F75">
        <w:t xml:space="preserve"> the following:</w:t>
      </w:r>
    </w:p>
    <w:p w:rsidR="00031F75" w:rsidRPr="00031F75" w:rsidRDefault="003A6805" w:rsidP="003A6805">
      <w:pPr>
        <w:pStyle w:val="H1G"/>
      </w:pPr>
      <w:r>
        <w:tab/>
      </w:r>
      <w:r>
        <w:tab/>
      </w:r>
      <w:r w:rsidR="00031F75" w:rsidRPr="00031F75">
        <w:t xml:space="preserve">Decision under </w:t>
      </w:r>
      <w:r w:rsidR="00A3595D">
        <w:t>article </w:t>
      </w:r>
      <w:r w:rsidR="00031F75" w:rsidRPr="00031F75">
        <w:t>22, paragraph 7, of the Convention against Torture and Other Cruel, Inhuman or Degrading Treatment or Punishment</w:t>
      </w:r>
    </w:p>
    <w:p w:rsidR="00AF15B5" w:rsidRPr="00120788" w:rsidRDefault="00D036B5" w:rsidP="003663EB">
      <w:pPr>
        <w:pStyle w:val="SingleTxtG"/>
      </w:pPr>
      <w:r w:rsidRPr="00120788">
        <w:t>1.</w:t>
      </w:r>
      <w:r w:rsidR="007F3FAA" w:rsidRPr="00120788">
        <w:t>1</w:t>
      </w:r>
      <w:r w:rsidRPr="00120788">
        <w:tab/>
      </w:r>
      <w:r w:rsidR="00AF15B5" w:rsidRPr="00120788">
        <w:t>The complainant</w:t>
      </w:r>
      <w:r w:rsidR="00E94E8B">
        <w:t>,</w:t>
      </w:r>
      <w:r w:rsidR="00AF15B5" w:rsidRPr="00120788">
        <w:t xml:space="preserve"> Abed Azizi, </w:t>
      </w:r>
      <w:r w:rsidR="00E94E8B" w:rsidRPr="00120788">
        <w:t xml:space="preserve">is </w:t>
      </w:r>
      <w:r w:rsidR="00AF15B5" w:rsidRPr="00120788">
        <w:t xml:space="preserve">a citizen of the Islamic Republic of Iran, born on 14 April 1983. He claims that his deportation to </w:t>
      </w:r>
      <w:r w:rsidR="00D653C7">
        <w:t xml:space="preserve">the </w:t>
      </w:r>
      <w:r w:rsidR="00D653C7" w:rsidRPr="00120788">
        <w:t xml:space="preserve">Islamic Republic of </w:t>
      </w:r>
      <w:r w:rsidR="00AF15B5" w:rsidRPr="00120788">
        <w:t xml:space="preserve">Iran would constitute a violation by Switzerland of </w:t>
      </w:r>
      <w:r w:rsidR="00A3595D">
        <w:t>article </w:t>
      </w:r>
      <w:r w:rsidR="00AF15B5" w:rsidRPr="00120788">
        <w:t>3 of the Convention against Torture. The complainant is represented by counsel, Urs Ebnöther.</w:t>
      </w:r>
      <w:r w:rsidR="006921A1">
        <w:t xml:space="preserve"> </w:t>
      </w:r>
    </w:p>
    <w:p w:rsidR="007F3FAA" w:rsidRPr="00120788" w:rsidRDefault="007F3FAA" w:rsidP="00CE09CC">
      <w:pPr>
        <w:pStyle w:val="SingleTxtG"/>
        <w:spacing w:after="0"/>
      </w:pPr>
      <w:r w:rsidRPr="00120788">
        <w:t>1.2</w:t>
      </w:r>
      <w:r w:rsidRPr="00120788">
        <w:tab/>
        <w:t>On 2</w:t>
      </w:r>
      <w:r w:rsidR="00AF15B5" w:rsidRPr="00120788">
        <w:t>7</w:t>
      </w:r>
      <w:r w:rsidRPr="00120788">
        <w:t xml:space="preserve"> </w:t>
      </w:r>
      <w:r w:rsidR="00AF15B5" w:rsidRPr="00120788">
        <w:t>February</w:t>
      </w:r>
      <w:r w:rsidRPr="00120788">
        <w:t xml:space="preserve"> 2012, the Committee requested the State party, pursuant to rule</w:t>
      </w:r>
      <w:r w:rsidR="00CE09CC">
        <w:t> 114, paragraph </w:t>
      </w:r>
      <w:r w:rsidRPr="00120788">
        <w:t xml:space="preserve">1, of its rules of procedure, not to deport the complainant to </w:t>
      </w:r>
      <w:r w:rsidR="00D653C7">
        <w:t xml:space="preserve">the </w:t>
      </w:r>
      <w:r w:rsidR="00D653C7" w:rsidRPr="00120788">
        <w:t xml:space="preserve">Islamic Republic of </w:t>
      </w:r>
      <w:r w:rsidRPr="00120788">
        <w:t xml:space="preserve">Iran while the complaint </w:t>
      </w:r>
      <w:r w:rsidR="007C01BE" w:rsidRPr="00120788">
        <w:t>is</w:t>
      </w:r>
      <w:r w:rsidRPr="00120788">
        <w:t xml:space="preserve"> being considered.</w:t>
      </w:r>
    </w:p>
    <w:p w:rsidR="00D036B5" w:rsidRPr="007F3FAA" w:rsidRDefault="0062795C" w:rsidP="0062795C">
      <w:pPr>
        <w:pStyle w:val="H23G"/>
      </w:pPr>
      <w:r>
        <w:tab/>
      </w:r>
      <w:r>
        <w:tab/>
      </w:r>
      <w:r w:rsidR="00D036B5" w:rsidRPr="007F3FAA">
        <w:t>The facts as submitted by the complainant</w:t>
      </w:r>
    </w:p>
    <w:p w:rsidR="0039153B" w:rsidRPr="00120788" w:rsidRDefault="00AE663B" w:rsidP="00E94E8B">
      <w:pPr>
        <w:pStyle w:val="SingleTxtG"/>
      </w:pPr>
      <w:r w:rsidRPr="00120788">
        <w:t>2.1</w:t>
      </w:r>
      <w:r w:rsidRPr="00120788">
        <w:tab/>
      </w:r>
      <w:r w:rsidR="00AF15B5" w:rsidRPr="00120788">
        <w:t xml:space="preserve">The complainant is an Iranian national of Kurdish ethnicity from </w:t>
      </w:r>
      <w:r w:rsidR="0006382F">
        <w:t>the</w:t>
      </w:r>
      <w:r w:rsidR="00AF15B5" w:rsidRPr="00120788">
        <w:t xml:space="preserve"> town of Negel. Through a friend, the complainant was introduced to the Kurdish Democratic Party of Iran </w:t>
      </w:r>
      <w:r w:rsidR="00AF15B5" w:rsidRPr="00120788">
        <w:lastRenderedPageBreak/>
        <w:t>(KDPI)</w:t>
      </w:r>
      <w:r w:rsidR="00133B42">
        <w:t>.</w:t>
      </w:r>
      <w:r w:rsidR="00120788">
        <w:rPr>
          <w:rStyle w:val="FootnoteReference"/>
        </w:rPr>
        <w:footnoteReference w:id="2"/>
      </w:r>
      <w:r w:rsidR="00AF15B5" w:rsidRPr="00120788">
        <w:t xml:space="preserve"> On 11 November 2001, </w:t>
      </w:r>
      <w:r w:rsidR="00D3143E" w:rsidRPr="00120788">
        <w:t>he</w:t>
      </w:r>
      <w:r w:rsidR="00AF15B5" w:rsidRPr="00120788">
        <w:t xml:space="preserve"> left </w:t>
      </w:r>
      <w:r w:rsidR="00D653C7">
        <w:t xml:space="preserve">the </w:t>
      </w:r>
      <w:r w:rsidR="00D653C7" w:rsidRPr="00120788">
        <w:t xml:space="preserve">Islamic Republic of </w:t>
      </w:r>
      <w:r w:rsidR="00AF15B5" w:rsidRPr="00120788">
        <w:t>Iran and fled to Iraq. On th</w:t>
      </w:r>
      <w:r w:rsidR="0006382F">
        <w:t>e</w:t>
      </w:r>
      <w:r w:rsidR="00AF15B5" w:rsidRPr="00120788">
        <w:t xml:space="preserve"> same day, the Pasdaran (</w:t>
      </w:r>
      <w:r w:rsidR="005E4E20">
        <w:t>Iranian R</w:t>
      </w:r>
      <w:r w:rsidR="00AF15B5" w:rsidRPr="00120788">
        <w:t xml:space="preserve">evolutionary </w:t>
      </w:r>
      <w:r w:rsidR="005E4E20">
        <w:t>G</w:t>
      </w:r>
      <w:r w:rsidR="00AF15B5" w:rsidRPr="00120788">
        <w:t>uard</w:t>
      </w:r>
      <w:r w:rsidR="005E4E20">
        <w:t>s</w:t>
      </w:r>
      <w:r w:rsidR="00AF15B5" w:rsidRPr="00120788">
        <w:t>) searched his house and confiscated political fl</w:t>
      </w:r>
      <w:r w:rsidR="000266C0" w:rsidRPr="00120788">
        <w:t>y</w:t>
      </w:r>
      <w:r w:rsidR="00AF15B5" w:rsidRPr="00120788">
        <w:t xml:space="preserve">ers. </w:t>
      </w:r>
      <w:r w:rsidR="00D3143E" w:rsidRPr="00120788">
        <w:t>H</w:t>
      </w:r>
      <w:r w:rsidR="00AF15B5" w:rsidRPr="00120788">
        <w:t>is father was arrested and sentenced to two years in prison.</w:t>
      </w:r>
      <w:r w:rsidR="006F75A4" w:rsidRPr="00120788">
        <w:t xml:space="preserve"> </w:t>
      </w:r>
      <w:r w:rsidR="00D3143E" w:rsidRPr="00120788">
        <w:t>In addition</w:t>
      </w:r>
      <w:r w:rsidR="000266C0" w:rsidRPr="00120788">
        <w:t>,</w:t>
      </w:r>
      <w:r w:rsidR="0039153B" w:rsidRPr="00120788">
        <w:t xml:space="preserve"> </w:t>
      </w:r>
      <w:r w:rsidR="00E94E8B">
        <w:t>the</w:t>
      </w:r>
      <w:r w:rsidR="0039153B" w:rsidRPr="00120788">
        <w:t xml:space="preserve"> friend who </w:t>
      </w:r>
      <w:r w:rsidR="00E94E8B">
        <w:t xml:space="preserve">had </w:t>
      </w:r>
      <w:r w:rsidR="0039153B" w:rsidRPr="00120788">
        <w:t xml:space="preserve">introduced him to the KDPI was also arrested and sentenced to death. Later, his sentence was changed to life imprisonment. </w:t>
      </w:r>
      <w:r w:rsidR="00D3143E" w:rsidRPr="00120788">
        <w:t xml:space="preserve">Following the </w:t>
      </w:r>
      <w:r w:rsidR="00E94E8B" w:rsidRPr="00120788">
        <w:t>release</w:t>
      </w:r>
      <w:r w:rsidR="00E94E8B">
        <w:t xml:space="preserve"> of the </w:t>
      </w:r>
      <w:r w:rsidR="00D3143E" w:rsidRPr="00120788">
        <w:t>complainant’s</w:t>
      </w:r>
      <w:r w:rsidR="00426F00" w:rsidRPr="00120788">
        <w:t xml:space="preserve"> father</w:t>
      </w:r>
      <w:r w:rsidR="00D3143E" w:rsidRPr="00120788">
        <w:t xml:space="preserve"> </w:t>
      </w:r>
      <w:r w:rsidR="0039153B" w:rsidRPr="00120788">
        <w:t>from prison, his family was summoned by</w:t>
      </w:r>
      <w:r w:rsidR="005E4E20">
        <w:t xml:space="preserve"> the</w:t>
      </w:r>
      <w:r w:rsidR="0039153B" w:rsidRPr="00120788">
        <w:t xml:space="preserve"> authorities several times. The</w:t>
      </w:r>
      <w:r w:rsidR="00C741FE">
        <w:t xml:space="preserve"> authorities wanted to know Mr. </w:t>
      </w:r>
      <w:r w:rsidR="0039153B" w:rsidRPr="00120788">
        <w:t>Azi</w:t>
      </w:r>
      <w:r w:rsidR="00D3143E" w:rsidRPr="00120788">
        <w:t>zi’s whereabouts.</w:t>
      </w:r>
    </w:p>
    <w:p w:rsidR="0039153B" w:rsidRPr="00120788" w:rsidRDefault="00D3143E" w:rsidP="005E4E20">
      <w:pPr>
        <w:pStyle w:val="SingleTxtG"/>
      </w:pPr>
      <w:r w:rsidRPr="00120788">
        <w:t>2.2</w:t>
      </w:r>
      <w:r w:rsidRPr="00120788">
        <w:tab/>
        <w:t>From 2001 to 2006, t</w:t>
      </w:r>
      <w:r w:rsidR="0039153B" w:rsidRPr="00120788">
        <w:t xml:space="preserve">he complainant actively participated </w:t>
      </w:r>
      <w:r w:rsidR="00CD4DA5" w:rsidRPr="00120788">
        <w:t xml:space="preserve">in </w:t>
      </w:r>
      <w:r w:rsidR="0039153B" w:rsidRPr="00120788">
        <w:t xml:space="preserve">KDPI </w:t>
      </w:r>
      <w:r w:rsidR="00CD4DA5" w:rsidRPr="00120788">
        <w:t xml:space="preserve">activities </w:t>
      </w:r>
      <w:r w:rsidR="0039153B" w:rsidRPr="00120788">
        <w:t xml:space="preserve">in Iraq. </w:t>
      </w:r>
      <w:r w:rsidR="005E4E20">
        <w:t>Owing</w:t>
      </w:r>
      <w:r w:rsidR="0039153B" w:rsidRPr="00120788">
        <w:t xml:space="preserve"> to frictions within the party, he feared that he would </w:t>
      </w:r>
      <w:r w:rsidR="005E4E20">
        <w:t>b</w:t>
      </w:r>
      <w:r w:rsidR="0039153B" w:rsidRPr="00120788">
        <w:t>e killed, and therefore decided to leave Iraq.</w:t>
      </w:r>
    </w:p>
    <w:p w:rsidR="0031201C" w:rsidRPr="00120788" w:rsidRDefault="004B30A1" w:rsidP="00C13B60">
      <w:pPr>
        <w:pStyle w:val="SingleTxtG"/>
      </w:pPr>
      <w:r>
        <w:t>2.3</w:t>
      </w:r>
      <w:r w:rsidR="0031201C" w:rsidRPr="00120788">
        <w:tab/>
        <w:t xml:space="preserve">On 27 November 2008, the complainant </w:t>
      </w:r>
      <w:r w:rsidR="00385136" w:rsidRPr="00120788">
        <w:t xml:space="preserve">entered </w:t>
      </w:r>
      <w:r w:rsidR="0031201C" w:rsidRPr="00120788">
        <w:t xml:space="preserve">Switzerland </w:t>
      </w:r>
      <w:r w:rsidR="00385136" w:rsidRPr="00120788">
        <w:t xml:space="preserve">illegally </w:t>
      </w:r>
      <w:r w:rsidR="0031201C" w:rsidRPr="00120788">
        <w:t>and requested asylum</w:t>
      </w:r>
      <w:r w:rsidR="00385136" w:rsidRPr="00120788">
        <w:t xml:space="preserve"> there</w:t>
      </w:r>
      <w:r w:rsidR="0031201C" w:rsidRPr="00120788">
        <w:t>. On 23 November 2009, the Federal Office for Migration rejected his asylum request. On 7 December 2009, the complainant filed an appeal against that decision with the Swiss Federal Administrative Tribunal. On 23 December 2011, the Tribunal rejected the appeal. By letter dated 5 January 2012, the Federal Office for Migration ordered the complainant to leave the country by 31 January 2012.</w:t>
      </w:r>
    </w:p>
    <w:p w:rsidR="0039153B" w:rsidRPr="00120788" w:rsidRDefault="00D3143E" w:rsidP="000518CF">
      <w:pPr>
        <w:pStyle w:val="SingleTxtG"/>
      </w:pPr>
      <w:r w:rsidRPr="00120788">
        <w:t>2.</w:t>
      </w:r>
      <w:r w:rsidR="0031201C" w:rsidRPr="00120788">
        <w:t>4</w:t>
      </w:r>
      <w:r w:rsidRPr="00120788">
        <w:tab/>
        <w:t>S</w:t>
      </w:r>
      <w:r w:rsidR="0039153B" w:rsidRPr="00120788">
        <w:t xml:space="preserve">ince his arrival </w:t>
      </w:r>
      <w:r w:rsidR="00C13B60">
        <w:t>in</w:t>
      </w:r>
      <w:r w:rsidR="0039153B" w:rsidRPr="00120788">
        <w:t xml:space="preserve"> Switzerland, </w:t>
      </w:r>
      <w:r w:rsidRPr="00120788">
        <w:t>the complainant</w:t>
      </w:r>
      <w:r w:rsidR="0039153B" w:rsidRPr="00120788">
        <w:t xml:space="preserve"> has been politically active in the Swiss branch of the KDPI. He has taken part in various demonstrations and published articles on the </w:t>
      </w:r>
      <w:r w:rsidR="00C13B60">
        <w:t>I</w:t>
      </w:r>
      <w:r w:rsidR="0039153B" w:rsidRPr="00120788">
        <w:t xml:space="preserve">nternet. His name appears on four permits </w:t>
      </w:r>
      <w:r w:rsidR="00C13B60">
        <w:t>issue</w:t>
      </w:r>
      <w:r w:rsidR="000518CF">
        <w:t>d</w:t>
      </w:r>
      <w:r w:rsidR="00C13B60">
        <w:t xml:space="preserve"> by </w:t>
      </w:r>
      <w:r w:rsidR="0039153B" w:rsidRPr="00120788">
        <w:t xml:space="preserve">the </w:t>
      </w:r>
      <w:r w:rsidR="00C13B60" w:rsidRPr="00120788">
        <w:t>Zurich</w:t>
      </w:r>
      <w:r w:rsidR="00C13B60">
        <w:t xml:space="preserve"> </w:t>
      </w:r>
      <w:r w:rsidR="0039153B" w:rsidRPr="00120788">
        <w:t xml:space="preserve">city police </w:t>
      </w:r>
      <w:r w:rsidR="00C13B60">
        <w:t>for</w:t>
      </w:r>
      <w:r w:rsidR="0039153B" w:rsidRPr="00120788">
        <w:t xml:space="preserve"> </w:t>
      </w:r>
      <w:r w:rsidR="00C13B60" w:rsidRPr="00120788">
        <w:t>KDPI</w:t>
      </w:r>
      <w:r w:rsidR="00C13B60">
        <w:t xml:space="preserve"> </w:t>
      </w:r>
      <w:r w:rsidR="0039153B" w:rsidRPr="00120788">
        <w:t>political campaigns in Zurich</w:t>
      </w:r>
      <w:r w:rsidR="00C13B60">
        <w:t>,</w:t>
      </w:r>
      <w:r w:rsidRPr="00120788">
        <w:t xml:space="preserve"> as he</w:t>
      </w:r>
      <w:r w:rsidR="0039153B" w:rsidRPr="00120788">
        <w:t xml:space="preserve"> was part of the organizing committee for the events.</w:t>
      </w:r>
      <w:r w:rsidRPr="00120788">
        <w:t xml:space="preserve"> H</w:t>
      </w:r>
      <w:r w:rsidR="0039153B" w:rsidRPr="00120788">
        <w:t xml:space="preserve">e has </w:t>
      </w:r>
      <w:r w:rsidR="00C13B60" w:rsidRPr="00120788">
        <w:t>also</w:t>
      </w:r>
      <w:r w:rsidR="00C13B60">
        <w:t xml:space="preserve"> acted as</w:t>
      </w:r>
      <w:r w:rsidR="0039153B" w:rsidRPr="00120788">
        <w:t xml:space="preserve"> president of the regional executive committee of the KDPI in Switzerland for the cantons of Zur</w:t>
      </w:r>
      <w:r w:rsidR="00DB74FF">
        <w:t>ich, S</w:t>
      </w:r>
      <w:r w:rsidR="00C13B60">
        <w:t>ain</w:t>
      </w:r>
      <w:r w:rsidR="00DB74FF">
        <w:t>t </w:t>
      </w:r>
      <w:r w:rsidR="0039153B" w:rsidRPr="00120788">
        <w:t>Gallen, Schaffhausen and Thurgau.</w:t>
      </w:r>
    </w:p>
    <w:p w:rsidR="0039153B" w:rsidRPr="00120788" w:rsidRDefault="00D3143E" w:rsidP="00B819E8">
      <w:pPr>
        <w:pStyle w:val="SingleTxtG"/>
      </w:pPr>
      <w:r w:rsidRPr="00120788">
        <w:t>2.</w:t>
      </w:r>
      <w:r w:rsidR="0031201C" w:rsidRPr="00120788">
        <w:t>5</w:t>
      </w:r>
      <w:r w:rsidRPr="00120788">
        <w:tab/>
        <w:t>During his stay in Switzerland, the complainant</w:t>
      </w:r>
      <w:r w:rsidR="0039153B" w:rsidRPr="00120788">
        <w:t xml:space="preserve"> became interested in Christianity. He has been in close contact with the </w:t>
      </w:r>
      <w:r w:rsidR="00B819E8">
        <w:t>P</w:t>
      </w:r>
      <w:r w:rsidR="0039153B" w:rsidRPr="00120788">
        <w:t>rotestant church in Turbenthal, Switzerland. He has converted to Christianity and was baptized on 31 January 2010.</w:t>
      </w:r>
    </w:p>
    <w:p w:rsidR="0039153B" w:rsidRPr="00120788" w:rsidRDefault="00D3143E" w:rsidP="00EC576A">
      <w:pPr>
        <w:pStyle w:val="SingleTxtG"/>
      </w:pPr>
      <w:r w:rsidRPr="00120788">
        <w:t>2.6</w:t>
      </w:r>
      <w:r w:rsidRPr="00120788">
        <w:tab/>
        <w:t>T</w:t>
      </w:r>
      <w:r w:rsidR="0039153B" w:rsidRPr="00120788">
        <w:t xml:space="preserve">he Swiss Federal Administrative </w:t>
      </w:r>
      <w:r w:rsidR="00EC576A">
        <w:t>Tribunal</w:t>
      </w:r>
      <w:r w:rsidR="0039153B" w:rsidRPr="00120788">
        <w:t xml:space="preserve"> is the </w:t>
      </w:r>
      <w:r w:rsidR="00C13B60">
        <w:t>highest</w:t>
      </w:r>
      <w:r w:rsidR="0039153B" w:rsidRPr="00120788">
        <w:t xml:space="preserve"> national authority in asylum matter</w:t>
      </w:r>
      <w:r w:rsidRPr="00120788">
        <w:t>s</w:t>
      </w:r>
      <w:r w:rsidR="0039153B" w:rsidRPr="00120788">
        <w:t xml:space="preserve">. Therefore, the complainant </w:t>
      </w:r>
      <w:r w:rsidRPr="00120788">
        <w:t>submit</w:t>
      </w:r>
      <w:r w:rsidR="0039153B" w:rsidRPr="00120788">
        <w:t xml:space="preserve">s that he </w:t>
      </w:r>
      <w:r w:rsidR="00C13B60">
        <w:t xml:space="preserve">has </w:t>
      </w:r>
      <w:r w:rsidR="0039153B" w:rsidRPr="00120788">
        <w:t>exhausted all domestic remedies.</w:t>
      </w:r>
    </w:p>
    <w:p w:rsidR="00D036B5" w:rsidRPr="007F05ED" w:rsidRDefault="00D036B5" w:rsidP="00D036B5">
      <w:pPr>
        <w:pStyle w:val="H23G"/>
      </w:pPr>
      <w:r>
        <w:tab/>
      </w:r>
      <w:r>
        <w:tab/>
      </w:r>
      <w:r w:rsidRPr="007F05ED">
        <w:t>The complaint</w:t>
      </w:r>
    </w:p>
    <w:p w:rsidR="007A7430" w:rsidRPr="00120788" w:rsidRDefault="00D036B5" w:rsidP="00120788">
      <w:pPr>
        <w:pStyle w:val="SingleTxtG"/>
      </w:pPr>
      <w:r w:rsidRPr="00120788">
        <w:t>3.1</w:t>
      </w:r>
      <w:r w:rsidRPr="00120788">
        <w:tab/>
      </w:r>
      <w:r w:rsidR="0039153B" w:rsidRPr="00120788">
        <w:t xml:space="preserve">The complainant claims that his forcible return to </w:t>
      </w:r>
      <w:r w:rsidR="00D653C7">
        <w:t xml:space="preserve">the </w:t>
      </w:r>
      <w:r w:rsidR="00D653C7" w:rsidRPr="00120788">
        <w:t xml:space="preserve">Islamic Republic of </w:t>
      </w:r>
      <w:r w:rsidR="0039153B" w:rsidRPr="00120788">
        <w:t xml:space="preserve">Iran would constitute a breach by Switzerland of </w:t>
      </w:r>
      <w:r w:rsidR="00A3595D">
        <w:t>article </w:t>
      </w:r>
      <w:r w:rsidR="0039153B" w:rsidRPr="00120788">
        <w:t xml:space="preserve">3 of the Convention. </w:t>
      </w:r>
    </w:p>
    <w:p w:rsidR="007A7430" w:rsidRPr="00120788" w:rsidRDefault="001A1BF6" w:rsidP="00120788">
      <w:pPr>
        <w:pStyle w:val="SingleTxtG"/>
      </w:pPr>
      <w:r>
        <w:t>3.2</w:t>
      </w:r>
      <w:r w:rsidR="007A7430" w:rsidRPr="00120788">
        <w:tab/>
      </w:r>
      <w:r w:rsidR="000266C0" w:rsidRPr="00120788">
        <w:t>He</w:t>
      </w:r>
      <w:r w:rsidR="007A7430" w:rsidRPr="00120788">
        <w:t xml:space="preserve"> submits that he would face a real risk of being subjected to treatment contrary to the Convention if he were deported to </w:t>
      </w:r>
      <w:r w:rsidR="00D653C7">
        <w:t xml:space="preserve">the </w:t>
      </w:r>
      <w:r w:rsidR="00D653C7" w:rsidRPr="00120788">
        <w:t xml:space="preserve">Islamic Republic of </w:t>
      </w:r>
      <w:r w:rsidR="007A7430" w:rsidRPr="00120788">
        <w:t>Iran, for the following reasons:</w:t>
      </w:r>
    </w:p>
    <w:p w:rsidR="007A7430" w:rsidRPr="0062795C" w:rsidRDefault="007A7430" w:rsidP="00A35915">
      <w:pPr>
        <w:pStyle w:val="SingleTxtG"/>
        <w:ind w:firstLine="567"/>
      </w:pPr>
      <w:r w:rsidRPr="00120788">
        <w:t>(a)</w:t>
      </w:r>
      <w:r w:rsidRPr="00120788">
        <w:tab/>
        <w:t xml:space="preserve">The general human rights situation in </w:t>
      </w:r>
      <w:r w:rsidR="00D653C7">
        <w:t xml:space="preserve">the </w:t>
      </w:r>
      <w:r w:rsidR="00D653C7" w:rsidRPr="00120788">
        <w:t xml:space="preserve">Islamic Republic of </w:t>
      </w:r>
      <w:r w:rsidRPr="00120788">
        <w:t xml:space="preserve">Iran has become worse since the presidential election in June 2009. </w:t>
      </w:r>
      <w:r w:rsidR="00A35915">
        <w:t>R</w:t>
      </w:r>
      <w:r w:rsidRPr="00120788">
        <w:t xml:space="preserve">espect for basic human rights in </w:t>
      </w:r>
      <w:r w:rsidR="00D653C7">
        <w:t xml:space="preserve">the </w:t>
      </w:r>
      <w:r w:rsidR="00D653C7" w:rsidRPr="00120788">
        <w:t xml:space="preserve">Islamic Republic of </w:t>
      </w:r>
      <w:r w:rsidRPr="00120788">
        <w:t xml:space="preserve">Iran has continued to deteriorate and the </w:t>
      </w:r>
      <w:r w:rsidR="00A35915">
        <w:t>G</w:t>
      </w:r>
      <w:r w:rsidRPr="00120788">
        <w:t>overnment show</w:t>
      </w:r>
      <w:r w:rsidR="00A35915">
        <w:t>s</w:t>
      </w:r>
      <w:r w:rsidRPr="00120788">
        <w:t xml:space="preserve"> no tolerance for peaceful protests or gatherings, routinely detaining participants and subjecting them to torture</w:t>
      </w:r>
      <w:r w:rsidR="00CE09CC">
        <w:t>;</w:t>
      </w:r>
      <w:r w:rsidR="00120788">
        <w:rPr>
          <w:rStyle w:val="FootnoteReference"/>
        </w:rPr>
        <w:footnoteReference w:id="3"/>
      </w:r>
      <w:r>
        <w:t xml:space="preserve"> </w:t>
      </w:r>
    </w:p>
    <w:p w:rsidR="007A7430" w:rsidRDefault="007A7430" w:rsidP="00AC23C0">
      <w:pPr>
        <w:pStyle w:val="SingleTxtG"/>
        <w:ind w:firstLine="567"/>
      </w:pPr>
      <w:r w:rsidRPr="00120788">
        <w:lastRenderedPageBreak/>
        <w:t>(b)</w:t>
      </w:r>
      <w:r w:rsidRPr="00120788">
        <w:tab/>
      </w:r>
      <w:r w:rsidR="00D701E5">
        <w:t xml:space="preserve">The </w:t>
      </w:r>
      <w:r w:rsidR="00D701E5" w:rsidRPr="00120788">
        <w:t>complainant claims tha</w:t>
      </w:r>
      <w:r w:rsidR="00D701E5">
        <w:t>t he is in a similar position to the</w:t>
      </w:r>
      <w:r w:rsidRPr="00120788">
        <w:t xml:space="preserve"> two heads of cantonal branches of the</w:t>
      </w:r>
      <w:r w:rsidR="00437299" w:rsidRPr="00120788">
        <w:t xml:space="preserve"> Democratic Association f</w:t>
      </w:r>
      <w:r w:rsidR="00AC23C0">
        <w:t>or</w:t>
      </w:r>
      <w:r w:rsidR="00437299" w:rsidRPr="00120788">
        <w:t xml:space="preserve"> Refugees</w:t>
      </w:r>
      <w:r w:rsidR="0031201C" w:rsidRPr="00120788">
        <w:t xml:space="preserve">, a political opposition group active </w:t>
      </w:r>
      <w:r w:rsidRPr="00120788">
        <w:t>in Switzerland</w:t>
      </w:r>
      <w:r w:rsidR="00AC23C0">
        <w:t xml:space="preserve"> </w:t>
      </w:r>
      <w:r w:rsidR="00AC23C0" w:rsidRPr="00120788">
        <w:t>only</w:t>
      </w:r>
      <w:r w:rsidR="00D701E5">
        <w:t>,</w:t>
      </w:r>
      <w:r w:rsidRPr="00120788">
        <w:t xml:space="preserve"> </w:t>
      </w:r>
      <w:r w:rsidR="00D701E5">
        <w:t xml:space="preserve">who the Committee </w:t>
      </w:r>
      <w:r w:rsidR="00AC23C0">
        <w:t>considered</w:t>
      </w:r>
      <w:r w:rsidR="00D701E5">
        <w:t xml:space="preserve"> </w:t>
      </w:r>
      <w:r w:rsidR="00AC23C0">
        <w:t>to be at risk of</w:t>
      </w:r>
      <w:r w:rsidRPr="00120788">
        <w:t xml:space="preserve"> persecution if returned to </w:t>
      </w:r>
      <w:r w:rsidR="00D653C7">
        <w:t xml:space="preserve">the </w:t>
      </w:r>
      <w:r w:rsidR="00D653C7" w:rsidRPr="00120788">
        <w:t xml:space="preserve">Islamic Republic of </w:t>
      </w:r>
      <w:r w:rsidRPr="00120788">
        <w:t>Iran</w:t>
      </w:r>
      <w:r w:rsidR="00AC23C0">
        <w:t>;</w:t>
      </w:r>
      <w:r w:rsidR="00EF1FB2">
        <w:rPr>
          <w:rStyle w:val="FootnoteReference"/>
        </w:rPr>
        <w:footnoteReference w:id="4"/>
      </w:r>
    </w:p>
    <w:p w:rsidR="007A7430" w:rsidRDefault="007A7430" w:rsidP="001349D3">
      <w:pPr>
        <w:pStyle w:val="SingleTxtG"/>
        <w:ind w:firstLine="567"/>
      </w:pPr>
      <w:r>
        <w:t>(c)</w:t>
      </w:r>
      <w:r>
        <w:tab/>
        <w:t>The complainant has been an active member of KDPI in Switzerland.</w:t>
      </w:r>
      <w:r w:rsidR="00997B99">
        <w:t xml:space="preserve"> He claims that reliable reports confirm that </w:t>
      </w:r>
      <w:r w:rsidR="001349D3">
        <w:t xml:space="preserve">the </w:t>
      </w:r>
      <w:r w:rsidR="00997B99">
        <w:t xml:space="preserve">Iranian authorities thoroughly </w:t>
      </w:r>
      <w:r w:rsidR="001349D3">
        <w:t>monitor</w:t>
      </w:r>
      <w:r w:rsidR="00997B99">
        <w:t xml:space="preserve"> and record the political activities of the Iranian diaspora</w:t>
      </w:r>
      <w:r w:rsidR="00AC23C0">
        <w:t>,</w:t>
      </w:r>
      <w:r w:rsidR="00EF1FB2">
        <w:rPr>
          <w:rStyle w:val="FootnoteReference"/>
        </w:rPr>
        <w:footnoteReference w:id="5"/>
      </w:r>
      <w:r w:rsidR="00997B99">
        <w:t xml:space="preserve"> and asylum seekers and refugees are kept under strict surveillance by the Iranian embassies and their network of informers</w:t>
      </w:r>
      <w:r w:rsidR="00CE09CC">
        <w:t>;</w:t>
      </w:r>
      <w:r w:rsidR="00EF1FB2">
        <w:rPr>
          <w:rStyle w:val="FootnoteReference"/>
        </w:rPr>
        <w:footnoteReference w:id="6"/>
      </w:r>
    </w:p>
    <w:p w:rsidR="00E9508F" w:rsidRPr="0062795C" w:rsidRDefault="007A7430" w:rsidP="001349D3">
      <w:pPr>
        <w:pStyle w:val="SingleTxtG"/>
        <w:ind w:firstLine="567"/>
      </w:pPr>
      <w:r>
        <w:t>(d)</w:t>
      </w:r>
      <w:r>
        <w:tab/>
        <w:t xml:space="preserve">The complainant has converted to Christianity. The complainant claims that </w:t>
      </w:r>
      <w:r w:rsidR="00CD4DA5">
        <w:t xml:space="preserve">Christian converts </w:t>
      </w:r>
      <w:r>
        <w:t xml:space="preserve">are considered second-class citizens in </w:t>
      </w:r>
      <w:r w:rsidR="00D653C7">
        <w:t xml:space="preserve">the </w:t>
      </w:r>
      <w:r w:rsidR="00D653C7" w:rsidRPr="00120788">
        <w:t xml:space="preserve">Islamic Republic of </w:t>
      </w:r>
      <w:r>
        <w:t xml:space="preserve">Iran, targeted by radical Muslim groups and persecuted by their own families. </w:t>
      </w:r>
      <w:r w:rsidR="00CD4DA5">
        <w:t>R</w:t>
      </w:r>
      <w:r w:rsidR="00E9508F">
        <w:t xml:space="preserve">ejected asylum seekers are thoroughly questioned upon entering </w:t>
      </w:r>
      <w:r w:rsidR="00D653C7">
        <w:t xml:space="preserve">the </w:t>
      </w:r>
      <w:r w:rsidR="00D653C7" w:rsidRPr="00120788">
        <w:t xml:space="preserve">Islamic Republic of </w:t>
      </w:r>
      <w:r w:rsidR="00E9508F">
        <w:t>Iran and it is very likely that the authorities w</w:t>
      </w:r>
      <w:r w:rsidR="001349D3">
        <w:t>ould</w:t>
      </w:r>
      <w:r w:rsidR="00CE09CC">
        <w:t xml:space="preserve"> find out about h</w:t>
      </w:r>
      <w:r w:rsidR="001349D3">
        <w:t>is</w:t>
      </w:r>
      <w:r w:rsidR="00CE09CC">
        <w:t xml:space="preserve"> conversion;</w:t>
      </w:r>
    </w:p>
    <w:p w:rsidR="000602F6" w:rsidRDefault="000602F6" w:rsidP="001349D3">
      <w:pPr>
        <w:pStyle w:val="SingleTxtG"/>
        <w:ind w:firstLine="567"/>
      </w:pPr>
      <w:r>
        <w:t>(e)</w:t>
      </w:r>
      <w:r>
        <w:tab/>
      </w:r>
      <w:r w:rsidR="00EB59A8">
        <w:t>Since t</w:t>
      </w:r>
      <w:r>
        <w:t xml:space="preserve">he complainant left </w:t>
      </w:r>
      <w:r w:rsidR="00D653C7">
        <w:t xml:space="preserve">the </w:t>
      </w:r>
      <w:r w:rsidR="00D653C7" w:rsidRPr="00120788">
        <w:t xml:space="preserve">Islamic Republic of </w:t>
      </w:r>
      <w:r>
        <w:t>Iran illegally</w:t>
      </w:r>
      <w:r w:rsidR="00EB59A8">
        <w:t>, he finds it probable that he w</w:t>
      </w:r>
      <w:r w:rsidR="001349D3">
        <w:t>ould</w:t>
      </w:r>
      <w:r w:rsidR="00EB59A8">
        <w:t xml:space="preserve"> come to the attention of the Iranian authorities and that his past </w:t>
      </w:r>
      <w:r w:rsidR="001349D3">
        <w:t>would be</w:t>
      </w:r>
      <w:r w:rsidR="00EB59A8">
        <w:t xml:space="preserve"> likely to be </w:t>
      </w:r>
      <w:r w:rsidR="00E9508F">
        <w:t>revealed</w:t>
      </w:r>
      <w:r w:rsidR="001349D3">
        <w:t>,</w:t>
      </w:r>
      <w:r w:rsidR="0048691F">
        <w:t xml:space="preserve"> which would put him </w:t>
      </w:r>
      <w:r w:rsidR="001349D3">
        <w:t>at</w:t>
      </w:r>
      <w:r>
        <w:t xml:space="preserve"> additional risk</w:t>
      </w:r>
      <w:r w:rsidR="006C78DD">
        <w:t>.</w:t>
      </w:r>
      <w:r w:rsidR="0029780A">
        <w:rPr>
          <w:rStyle w:val="FootnoteReference"/>
        </w:rPr>
        <w:footnoteReference w:id="7"/>
      </w:r>
    </w:p>
    <w:p w:rsidR="00D036B5" w:rsidRPr="007F05ED" w:rsidRDefault="00D036B5" w:rsidP="00D036B5">
      <w:pPr>
        <w:pStyle w:val="H23G"/>
      </w:pPr>
      <w:r w:rsidRPr="007F05ED">
        <w:tab/>
      </w:r>
      <w:r w:rsidRPr="007F05ED">
        <w:tab/>
        <w:t>State party</w:t>
      </w:r>
      <w:r w:rsidR="00512C0A">
        <w:t>’</w:t>
      </w:r>
      <w:r w:rsidRPr="007F05ED">
        <w:t xml:space="preserve">s observations on </w:t>
      </w:r>
      <w:r>
        <w:t xml:space="preserve">the </w:t>
      </w:r>
      <w:r w:rsidRPr="007F05ED">
        <w:t>merits</w:t>
      </w:r>
    </w:p>
    <w:p w:rsidR="008A39F6" w:rsidRPr="0029780A" w:rsidRDefault="00D036B5" w:rsidP="00EC576A">
      <w:pPr>
        <w:pStyle w:val="SingleTxtG"/>
      </w:pPr>
      <w:r w:rsidRPr="0029780A">
        <w:t>4.1</w:t>
      </w:r>
      <w:r w:rsidRPr="0029780A">
        <w:tab/>
      </w:r>
      <w:r w:rsidR="0019563F" w:rsidRPr="0029780A">
        <w:t>On 1</w:t>
      </w:r>
      <w:r w:rsidR="00AE06BD" w:rsidRPr="0029780A">
        <w:t>5</w:t>
      </w:r>
      <w:r w:rsidR="0019563F" w:rsidRPr="0029780A">
        <w:t xml:space="preserve"> </w:t>
      </w:r>
      <w:r w:rsidR="00AE06BD" w:rsidRPr="0029780A">
        <w:t>August</w:t>
      </w:r>
      <w:r w:rsidR="0019563F" w:rsidRPr="0029780A">
        <w:t xml:space="preserve"> 2012, the State party submitted its observations on the merits of the complaint.</w:t>
      </w:r>
      <w:r w:rsidR="001E0468" w:rsidRPr="0029780A">
        <w:t xml:space="preserve"> </w:t>
      </w:r>
      <w:r w:rsidR="008A39F6" w:rsidRPr="0029780A">
        <w:t xml:space="preserve">It submits that the national authorities evaluated in detail the risk of the complainant’s persecution in </w:t>
      </w:r>
      <w:r w:rsidR="00D653C7">
        <w:t xml:space="preserve">the </w:t>
      </w:r>
      <w:r w:rsidR="00D653C7" w:rsidRPr="00120788">
        <w:t xml:space="preserve">Islamic Republic of </w:t>
      </w:r>
      <w:r w:rsidR="008A39F6" w:rsidRPr="0029780A">
        <w:t xml:space="preserve">Iran </w:t>
      </w:r>
      <w:r w:rsidR="00404E71" w:rsidRPr="0029780A">
        <w:t xml:space="preserve">and </w:t>
      </w:r>
      <w:r w:rsidR="008A7F78">
        <w:t xml:space="preserve">found </w:t>
      </w:r>
      <w:r w:rsidR="00404E71" w:rsidRPr="0029780A">
        <w:t>that the complaint does not include any new element</w:t>
      </w:r>
      <w:r w:rsidR="008A7F78">
        <w:t>s</w:t>
      </w:r>
      <w:r w:rsidR="00404E71" w:rsidRPr="0029780A">
        <w:t xml:space="preserve"> that had not been evaluated by </w:t>
      </w:r>
      <w:r w:rsidR="002912BC" w:rsidRPr="0029780A">
        <w:t xml:space="preserve">the </w:t>
      </w:r>
      <w:r w:rsidR="00404E71" w:rsidRPr="0029780A">
        <w:t>F</w:t>
      </w:r>
      <w:r w:rsidR="002912BC" w:rsidRPr="0029780A">
        <w:t xml:space="preserve">ederal </w:t>
      </w:r>
      <w:r w:rsidR="00404E71" w:rsidRPr="0029780A">
        <w:t>O</w:t>
      </w:r>
      <w:r w:rsidR="002912BC" w:rsidRPr="0029780A">
        <w:t>ffice f</w:t>
      </w:r>
      <w:r w:rsidR="00EC576A">
        <w:t>or</w:t>
      </w:r>
      <w:r w:rsidR="002912BC" w:rsidRPr="0029780A">
        <w:t xml:space="preserve"> </w:t>
      </w:r>
      <w:r w:rsidR="00404E71" w:rsidRPr="0029780A">
        <w:t>M</w:t>
      </w:r>
      <w:r w:rsidR="002912BC" w:rsidRPr="0029780A">
        <w:t>igration</w:t>
      </w:r>
      <w:r w:rsidR="00404E71" w:rsidRPr="0029780A">
        <w:t xml:space="preserve"> and </w:t>
      </w:r>
      <w:r w:rsidR="002912BC" w:rsidRPr="0029780A">
        <w:t xml:space="preserve">the </w:t>
      </w:r>
      <w:r w:rsidR="00404E71" w:rsidRPr="0029780A">
        <w:t>F</w:t>
      </w:r>
      <w:r w:rsidR="002912BC" w:rsidRPr="0029780A">
        <w:t xml:space="preserve">ederal </w:t>
      </w:r>
      <w:r w:rsidR="00404E71" w:rsidRPr="0029780A">
        <w:t>A</w:t>
      </w:r>
      <w:r w:rsidR="002912BC" w:rsidRPr="0029780A">
        <w:t xml:space="preserve">dministrative </w:t>
      </w:r>
      <w:r w:rsidR="00404E71" w:rsidRPr="0029780A">
        <w:t>T</w:t>
      </w:r>
      <w:r w:rsidR="002912BC" w:rsidRPr="0029780A">
        <w:t>ribunal</w:t>
      </w:r>
      <w:r w:rsidR="00404E71" w:rsidRPr="0029780A">
        <w:t>.</w:t>
      </w:r>
    </w:p>
    <w:p w:rsidR="00A5427E" w:rsidRPr="0029780A" w:rsidRDefault="009F6F01" w:rsidP="00773A32">
      <w:pPr>
        <w:pStyle w:val="SingleTxtG"/>
      </w:pPr>
      <w:r w:rsidRPr="0029780A">
        <w:t>4.2</w:t>
      </w:r>
      <w:r w:rsidRPr="0029780A">
        <w:tab/>
      </w:r>
      <w:r w:rsidR="001E0468" w:rsidRPr="0029780A">
        <w:t>It</w:t>
      </w:r>
      <w:r w:rsidR="00365C96" w:rsidRPr="0029780A">
        <w:t xml:space="preserve"> considers that</w:t>
      </w:r>
      <w:r w:rsidR="008A7F78">
        <w:t>,</w:t>
      </w:r>
      <w:r w:rsidR="00365C96" w:rsidRPr="0029780A">
        <w:t xml:space="preserve"> although </w:t>
      </w:r>
      <w:r w:rsidR="001E0468" w:rsidRPr="0029780A">
        <w:t xml:space="preserve">the </w:t>
      </w:r>
      <w:r w:rsidR="00365C96" w:rsidRPr="0029780A">
        <w:t xml:space="preserve">human rights </w:t>
      </w:r>
      <w:r w:rsidR="001E0468" w:rsidRPr="0029780A">
        <w:t>situation</w:t>
      </w:r>
      <w:r w:rsidR="00365C96" w:rsidRPr="0029780A">
        <w:t xml:space="preserve"> in </w:t>
      </w:r>
      <w:r w:rsidR="00D653C7">
        <w:t xml:space="preserve">the </w:t>
      </w:r>
      <w:r w:rsidR="00D653C7" w:rsidRPr="00120788">
        <w:t xml:space="preserve">Islamic Republic of </w:t>
      </w:r>
      <w:r w:rsidR="00365C96" w:rsidRPr="0029780A">
        <w:t xml:space="preserve">Iran </w:t>
      </w:r>
      <w:r w:rsidR="001E0468" w:rsidRPr="0029780A">
        <w:t>is</w:t>
      </w:r>
      <w:r w:rsidR="00365C96" w:rsidRPr="0029780A">
        <w:t xml:space="preserve"> </w:t>
      </w:r>
      <w:r w:rsidR="00E45A21">
        <w:t xml:space="preserve">worrisome </w:t>
      </w:r>
      <w:r w:rsidR="00365C96" w:rsidRPr="0029780A">
        <w:t xml:space="preserve">in several respects, </w:t>
      </w:r>
      <w:r w:rsidR="00D653C7">
        <w:t xml:space="preserve">the </w:t>
      </w:r>
      <w:r w:rsidR="00D653C7" w:rsidRPr="00120788">
        <w:t xml:space="preserve">Islamic Republic of </w:t>
      </w:r>
      <w:r w:rsidR="00365C96" w:rsidRPr="0029780A">
        <w:t>Iran is not affected by generalized violence</w:t>
      </w:r>
      <w:r w:rsidR="00E04321" w:rsidRPr="0029780A">
        <w:t xml:space="preserve">. While the complainant refers to a general risk, he has </w:t>
      </w:r>
      <w:r w:rsidR="00365C96" w:rsidRPr="0029780A">
        <w:t xml:space="preserve">not demonstrated </w:t>
      </w:r>
      <w:r w:rsidR="00CD4DA5" w:rsidRPr="0029780A">
        <w:t xml:space="preserve">that </w:t>
      </w:r>
      <w:r w:rsidR="00365C96" w:rsidRPr="0029780A">
        <w:t xml:space="preserve">he incurs a foreseeable, personal and real risk </w:t>
      </w:r>
      <w:r w:rsidR="00EC576A">
        <w:t>of</w:t>
      </w:r>
      <w:r w:rsidR="00365C96" w:rsidRPr="0029780A">
        <w:t xml:space="preserve"> be</w:t>
      </w:r>
      <w:r w:rsidR="00EC576A">
        <w:t>ing</w:t>
      </w:r>
      <w:r w:rsidR="00365C96" w:rsidRPr="0029780A">
        <w:t xml:space="preserve"> subjected to torture.</w:t>
      </w:r>
      <w:r w:rsidRPr="0029780A">
        <w:t xml:space="preserve"> </w:t>
      </w:r>
      <w:r w:rsidR="00A5427E" w:rsidRPr="0029780A">
        <w:t xml:space="preserve">The State party </w:t>
      </w:r>
      <w:r w:rsidRPr="0029780A">
        <w:t xml:space="preserve">also </w:t>
      </w:r>
      <w:r w:rsidR="00A5427E" w:rsidRPr="0029780A">
        <w:t>argues that re</w:t>
      </w:r>
      <w:r w:rsidR="00773A32">
        <w:t>ject</w:t>
      </w:r>
      <w:r w:rsidR="00A5427E" w:rsidRPr="0029780A">
        <w:t>ed asylum seekers do not face persecution i</w:t>
      </w:r>
      <w:r w:rsidR="00773A32">
        <w:t>f</w:t>
      </w:r>
      <w:r w:rsidR="00A5427E" w:rsidRPr="0029780A">
        <w:t xml:space="preserve"> return</w:t>
      </w:r>
      <w:r w:rsidR="00773A32">
        <w:t>ed</w:t>
      </w:r>
      <w:r w:rsidR="00A5427E" w:rsidRPr="0029780A">
        <w:t xml:space="preserve"> to </w:t>
      </w:r>
      <w:r w:rsidR="00D653C7">
        <w:t xml:space="preserve">the </w:t>
      </w:r>
      <w:r w:rsidR="00D653C7" w:rsidRPr="00120788">
        <w:t xml:space="preserve">Islamic Republic of </w:t>
      </w:r>
      <w:r w:rsidR="00A5427E" w:rsidRPr="0029780A">
        <w:t>Iran, even if they left the country illegally.</w:t>
      </w:r>
    </w:p>
    <w:p w:rsidR="00A5427E" w:rsidRPr="0029780A" w:rsidRDefault="009F6F01" w:rsidP="00773A32">
      <w:pPr>
        <w:pStyle w:val="SingleTxtG"/>
      </w:pPr>
      <w:r w:rsidRPr="0029780A">
        <w:t>4.3</w:t>
      </w:r>
      <w:r w:rsidRPr="0029780A">
        <w:tab/>
      </w:r>
      <w:r w:rsidR="002A39FD" w:rsidRPr="0029780A">
        <w:t xml:space="preserve">The State party submits that the complainant was not subjected to torture or ill-treatment in the past. It </w:t>
      </w:r>
      <w:r w:rsidR="00773A32">
        <w:t>also</w:t>
      </w:r>
      <w:r w:rsidR="00773A32" w:rsidRPr="0029780A">
        <w:t xml:space="preserve"> </w:t>
      </w:r>
      <w:r w:rsidR="00A5427E" w:rsidRPr="0029780A">
        <w:t xml:space="preserve">submits that the complainant does not have </w:t>
      </w:r>
      <w:r w:rsidR="00773A32">
        <w:t>the</w:t>
      </w:r>
      <w:r w:rsidR="00A5427E" w:rsidRPr="0029780A">
        <w:t xml:space="preserve"> profile of a serious opponent </w:t>
      </w:r>
      <w:r w:rsidR="00773A32">
        <w:t xml:space="preserve">who </w:t>
      </w:r>
      <w:r w:rsidR="00A5427E" w:rsidRPr="0029780A">
        <w:t>pos</w:t>
      </w:r>
      <w:r w:rsidR="00773A32">
        <w:t>es</w:t>
      </w:r>
      <w:r w:rsidR="00A5427E" w:rsidRPr="0029780A">
        <w:t xml:space="preserve"> a danger to the Iranian regime </w:t>
      </w:r>
      <w:r w:rsidR="00773A32">
        <w:t>owing</w:t>
      </w:r>
      <w:r w:rsidR="00A5427E" w:rsidRPr="0029780A">
        <w:t xml:space="preserve"> to his political activities abroad</w:t>
      </w:r>
      <w:r w:rsidR="00773A32">
        <w:t>.</w:t>
      </w:r>
      <w:r w:rsidR="00A5427E" w:rsidRPr="0029780A">
        <w:t xml:space="preserve"> </w:t>
      </w:r>
      <w:r w:rsidR="00773A32">
        <w:t>H</w:t>
      </w:r>
      <w:r w:rsidR="00A5427E" w:rsidRPr="0029780A">
        <w:t xml:space="preserve">is statements about his political activities in </w:t>
      </w:r>
      <w:r w:rsidR="00D653C7">
        <w:t xml:space="preserve">the </w:t>
      </w:r>
      <w:r w:rsidR="00D653C7" w:rsidRPr="00120788">
        <w:t xml:space="preserve">Islamic Republic of </w:t>
      </w:r>
      <w:r w:rsidR="00A5427E" w:rsidRPr="0029780A">
        <w:t>Iran lack credibility</w:t>
      </w:r>
      <w:r w:rsidR="00773A32">
        <w:t xml:space="preserve"> and he</w:t>
      </w:r>
      <w:r w:rsidR="00CD4DA5" w:rsidRPr="0029780A">
        <w:t xml:space="preserve"> has </w:t>
      </w:r>
      <w:r w:rsidR="00773A32">
        <w:t>not</w:t>
      </w:r>
      <w:r w:rsidR="007B1A68" w:rsidRPr="0029780A">
        <w:t xml:space="preserve"> demonstrated that the Iranian authorities </w:t>
      </w:r>
      <w:r w:rsidR="00773A32">
        <w:t xml:space="preserve">have </w:t>
      </w:r>
      <w:r w:rsidR="007B1A68" w:rsidRPr="0029780A">
        <w:t>initiated proceedings against him.</w:t>
      </w:r>
    </w:p>
    <w:p w:rsidR="00D4647E" w:rsidRPr="0029780A" w:rsidRDefault="009F6F01" w:rsidP="000518CF">
      <w:pPr>
        <w:pStyle w:val="SingleTxtG"/>
      </w:pPr>
      <w:r w:rsidRPr="0029780A">
        <w:t>4.4</w:t>
      </w:r>
      <w:r w:rsidRPr="0029780A">
        <w:tab/>
      </w:r>
      <w:r w:rsidR="007E4003" w:rsidRPr="0029780A">
        <w:t>The State party notes the complainant’s submission that he is polit</w:t>
      </w:r>
      <w:r w:rsidR="00850F42" w:rsidRPr="0029780A">
        <w:t xml:space="preserve">ically active in </w:t>
      </w:r>
      <w:r w:rsidR="002912BC" w:rsidRPr="0029780A">
        <w:t xml:space="preserve">the </w:t>
      </w:r>
      <w:r w:rsidR="00773A32" w:rsidRPr="0029780A">
        <w:t>Swi</w:t>
      </w:r>
      <w:r w:rsidR="00773A32">
        <w:t xml:space="preserve">ss </w:t>
      </w:r>
      <w:r w:rsidR="00773A32" w:rsidRPr="0029780A">
        <w:t>branch</w:t>
      </w:r>
      <w:r w:rsidR="00773A32">
        <w:t xml:space="preserve"> of the </w:t>
      </w:r>
      <w:r w:rsidR="00850F42" w:rsidRPr="0029780A">
        <w:t xml:space="preserve">KDPI, </w:t>
      </w:r>
      <w:r w:rsidR="00773A32">
        <w:t xml:space="preserve">that he </w:t>
      </w:r>
      <w:r w:rsidR="00850F42" w:rsidRPr="0029780A">
        <w:t xml:space="preserve">participates in demonstrations against the Iranian regime, </w:t>
      </w:r>
      <w:r w:rsidR="00850F42" w:rsidRPr="0029780A">
        <w:lastRenderedPageBreak/>
        <w:t xml:space="preserve">and </w:t>
      </w:r>
      <w:r w:rsidR="002912BC" w:rsidRPr="0029780A">
        <w:t xml:space="preserve">that </w:t>
      </w:r>
      <w:r w:rsidR="00850F42" w:rsidRPr="0029780A">
        <w:t xml:space="preserve">films and photographs documenting his participation </w:t>
      </w:r>
      <w:r w:rsidR="00773A32">
        <w:t xml:space="preserve">have been </w:t>
      </w:r>
      <w:r w:rsidR="00850F42" w:rsidRPr="0029780A">
        <w:t>publi</w:t>
      </w:r>
      <w:r w:rsidR="00773A32">
        <w:t>shed</w:t>
      </w:r>
      <w:r w:rsidR="00850F42" w:rsidRPr="0029780A">
        <w:t xml:space="preserve"> </w:t>
      </w:r>
      <w:r w:rsidR="00773A32">
        <w:t>o</w:t>
      </w:r>
      <w:r w:rsidR="00850F42" w:rsidRPr="0029780A">
        <w:t xml:space="preserve">n </w:t>
      </w:r>
      <w:r w:rsidR="00773A32">
        <w:t>the I</w:t>
      </w:r>
      <w:r w:rsidR="00850F42" w:rsidRPr="0029780A">
        <w:t xml:space="preserve">nternet. His name appears </w:t>
      </w:r>
      <w:r w:rsidR="00773A32">
        <w:t>o</w:t>
      </w:r>
      <w:r w:rsidR="00850F42" w:rsidRPr="0029780A">
        <w:t>n the authorizations f</w:t>
      </w:r>
      <w:r w:rsidR="00773A32">
        <w:t>rom</w:t>
      </w:r>
      <w:r w:rsidR="00850F42" w:rsidRPr="0029780A">
        <w:t xml:space="preserve"> the city of Zurich </w:t>
      </w:r>
      <w:r w:rsidR="00773A32">
        <w:t>authorities for</w:t>
      </w:r>
      <w:r w:rsidR="00850F42" w:rsidRPr="0029780A">
        <w:t xml:space="preserve"> political </w:t>
      </w:r>
      <w:r w:rsidR="00773A32">
        <w:t>events</w:t>
      </w:r>
      <w:r w:rsidR="00850F42" w:rsidRPr="0029780A">
        <w:t xml:space="preserve"> and he serves as the president of the executive committee of KDPI Switzerland </w:t>
      </w:r>
      <w:r w:rsidR="00773A32">
        <w:t xml:space="preserve">for the </w:t>
      </w:r>
      <w:r w:rsidR="00850F42" w:rsidRPr="0029780A">
        <w:t>cantons of Luzern, Schwyz and Zug.</w:t>
      </w:r>
    </w:p>
    <w:p w:rsidR="00A5427E" w:rsidRPr="0029780A" w:rsidRDefault="009F6F01" w:rsidP="00786AF6">
      <w:pPr>
        <w:pStyle w:val="SingleTxtG"/>
      </w:pPr>
      <w:r w:rsidRPr="0029780A">
        <w:t>4.5</w:t>
      </w:r>
      <w:r w:rsidRPr="0029780A">
        <w:tab/>
      </w:r>
      <w:r w:rsidR="00D4647E" w:rsidRPr="0029780A">
        <w:t xml:space="preserve">The State party </w:t>
      </w:r>
      <w:r w:rsidR="00382852" w:rsidRPr="0029780A">
        <w:t xml:space="preserve">acknowledges </w:t>
      </w:r>
      <w:r w:rsidR="00D4647E" w:rsidRPr="0029780A">
        <w:t xml:space="preserve">that the Iranian authorities </w:t>
      </w:r>
      <w:r w:rsidR="00773A32" w:rsidRPr="0029780A">
        <w:t>systematically</w:t>
      </w:r>
      <w:r w:rsidR="00773A32">
        <w:t xml:space="preserve"> monitor the</w:t>
      </w:r>
      <w:r w:rsidR="00D4647E" w:rsidRPr="0029780A">
        <w:t xml:space="preserve"> political activities of their citizens abroad.</w:t>
      </w:r>
      <w:r w:rsidR="006921A1">
        <w:t xml:space="preserve"> </w:t>
      </w:r>
      <w:r w:rsidR="00D4647E" w:rsidRPr="0029780A">
        <w:t>However, the</w:t>
      </w:r>
      <w:r w:rsidR="00773A32">
        <w:t xml:space="preserve">y </w:t>
      </w:r>
      <w:r w:rsidR="00D4647E" w:rsidRPr="0029780A">
        <w:t xml:space="preserve">focus on </w:t>
      </w:r>
      <w:r w:rsidR="00773A32">
        <w:t>individuals</w:t>
      </w:r>
      <w:r w:rsidR="00D4647E" w:rsidRPr="0029780A">
        <w:t xml:space="preserve"> with a specific profile</w:t>
      </w:r>
      <w:r w:rsidR="00773A32">
        <w:t xml:space="preserve"> whose</w:t>
      </w:r>
      <w:r w:rsidR="00D4647E" w:rsidRPr="0029780A">
        <w:t xml:space="preserve"> </w:t>
      </w:r>
      <w:r w:rsidR="005F3830" w:rsidRPr="0029780A">
        <w:t>acti</w:t>
      </w:r>
      <w:r w:rsidR="00773A32">
        <w:t>o</w:t>
      </w:r>
      <w:r w:rsidR="005F3830" w:rsidRPr="0029780A">
        <w:t xml:space="preserve">n </w:t>
      </w:r>
      <w:r w:rsidR="00773A32">
        <w:t xml:space="preserve">goes </w:t>
      </w:r>
      <w:r w:rsidR="005F3830" w:rsidRPr="0029780A">
        <w:t xml:space="preserve">beyond mass opposition and </w:t>
      </w:r>
      <w:r w:rsidR="00773A32">
        <w:t xml:space="preserve">who </w:t>
      </w:r>
      <w:r w:rsidR="005F3830" w:rsidRPr="0029780A">
        <w:t>h</w:t>
      </w:r>
      <w:r w:rsidR="00773A32">
        <w:t>old</w:t>
      </w:r>
      <w:r w:rsidR="005F3830" w:rsidRPr="0029780A">
        <w:t xml:space="preserve"> positions or </w:t>
      </w:r>
      <w:r w:rsidR="00773A32">
        <w:t>carry out</w:t>
      </w:r>
      <w:r w:rsidR="005F3830" w:rsidRPr="0029780A">
        <w:t xml:space="preserve"> activities that could represent a concrete threat to the regime. </w:t>
      </w:r>
      <w:r w:rsidR="00FE50EF" w:rsidRPr="0029780A">
        <w:t xml:space="preserve">The State party asserts that the complainant does not </w:t>
      </w:r>
      <w:r w:rsidR="00786AF6">
        <w:t>have</w:t>
      </w:r>
      <w:r w:rsidR="00786AF6" w:rsidRPr="0029780A">
        <w:t xml:space="preserve"> </w:t>
      </w:r>
      <w:r w:rsidR="00FE50EF" w:rsidRPr="0029780A">
        <w:t xml:space="preserve">such a profile; the activities </w:t>
      </w:r>
      <w:r w:rsidR="00786AF6">
        <w:t xml:space="preserve">in which </w:t>
      </w:r>
      <w:r w:rsidR="00FE50EF" w:rsidRPr="0029780A">
        <w:t>he allege</w:t>
      </w:r>
      <w:r w:rsidR="00786AF6">
        <w:t>s</w:t>
      </w:r>
      <w:r w:rsidR="00FE50EF" w:rsidRPr="0029780A">
        <w:t xml:space="preserve"> to participate are </w:t>
      </w:r>
      <w:r w:rsidR="00786AF6">
        <w:t xml:space="preserve">the </w:t>
      </w:r>
      <w:r w:rsidR="00FE50EF" w:rsidRPr="0029780A">
        <w:t xml:space="preserve">typical activities </w:t>
      </w:r>
      <w:r w:rsidR="00786AF6">
        <w:t>undertaken by</w:t>
      </w:r>
      <w:r w:rsidR="00FE50EF" w:rsidRPr="0029780A">
        <w:t xml:space="preserve"> many exiled Iranians and would not </w:t>
      </w:r>
      <w:r w:rsidR="00786AF6">
        <w:t>distinguish</w:t>
      </w:r>
      <w:r w:rsidR="00FE50EF" w:rsidRPr="0029780A">
        <w:t xml:space="preserve"> the complainant as potentially dangerous to the Iranian regime</w:t>
      </w:r>
      <w:r w:rsidR="00786AF6">
        <w:t>,</w:t>
      </w:r>
      <w:r w:rsidR="00FE50EF" w:rsidRPr="0029780A">
        <w:t xml:space="preserve"> even if the Iranian authorities came to known of him. </w:t>
      </w:r>
      <w:r w:rsidR="00786AF6">
        <w:t>M</w:t>
      </w:r>
      <w:r w:rsidR="005F3830" w:rsidRPr="0029780A">
        <w:t xml:space="preserve">ere membership </w:t>
      </w:r>
      <w:r w:rsidR="00786AF6">
        <w:t>of</w:t>
      </w:r>
      <w:r w:rsidR="005F3830" w:rsidRPr="0029780A">
        <w:t xml:space="preserve"> a political organization abroad, participation in demonstration</w:t>
      </w:r>
      <w:r w:rsidR="00786AF6">
        <w:t>s</w:t>
      </w:r>
      <w:r w:rsidR="005F3830" w:rsidRPr="0029780A">
        <w:t xml:space="preserve"> against the regime, carrying banners and shouting slogans </w:t>
      </w:r>
      <w:r w:rsidR="00426F00" w:rsidRPr="0029780A">
        <w:t>do</w:t>
      </w:r>
      <w:r w:rsidR="005F3830" w:rsidRPr="0029780A">
        <w:t xml:space="preserve"> not suffice </w:t>
      </w:r>
      <w:r w:rsidR="00786AF6">
        <w:t>t</w:t>
      </w:r>
      <w:r w:rsidR="005F3830" w:rsidRPr="0029780A">
        <w:t xml:space="preserve">o be perceived as a danger in case of return. </w:t>
      </w:r>
    </w:p>
    <w:p w:rsidR="00FE50EF" w:rsidRDefault="00C87469" w:rsidP="00D51CF1">
      <w:pPr>
        <w:pStyle w:val="SingleTxtG"/>
      </w:pPr>
      <w:r>
        <w:t>4.</w:t>
      </w:r>
      <w:r w:rsidR="009F6F01">
        <w:t>6</w:t>
      </w:r>
      <w:r>
        <w:tab/>
      </w:r>
      <w:r w:rsidR="00FE50EF" w:rsidRPr="00EA042F">
        <w:t xml:space="preserve">The </w:t>
      </w:r>
      <w:r w:rsidR="00365C96" w:rsidRPr="00EA042F">
        <w:t>State party asserts that</w:t>
      </w:r>
      <w:r w:rsidR="000518CF">
        <w:t>,</w:t>
      </w:r>
      <w:r w:rsidR="00365C96" w:rsidRPr="00EA042F">
        <w:t xml:space="preserve"> </w:t>
      </w:r>
      <w:r w:rsidR="00FE50EF" w:rsidRPr="00EA042F">
        <w:t xml:space="preserve">even if </w:t>
      </w:r>
      <w:r w:rsidR="00365C96" w:rsidRPr="00EA042F">
        <w:t>the Iranian au</w:t>
      </w:r>
      <w:r w:rsidR="00365C96">
        <w:t xml:space="preserve">thorities are likely </w:t>
      </w:r>
      <w:r w:rsidR="00FA620C">
        <w:t xml:space="preserve">to be </w:t>
      </w:r>
      <w:r w:rsidR="00FE50EF">
        <w:t xml:space="preserve">informed about </w:t>
      </w:r>
      <w:r w:rsidR="00EA042F">
        <w:t xml:space="preserve">the </w:t>
      </w:r>
      <w:r w:rsidR="00FE50EF">
        <w:t xml:space="preserve">political activities of many Iranians abroad, they cannot </w:t>
      </w:r>
      <w:r w:rsidR="00EA042F">
        <w:t>monitor</w:t>
      </w:r>
      <w:r w:rsidR="00FE50EF">
        <w:t xml:space="preserve"> and identify </w:t>
      </w:r>
      <w:r w:rsidR="00EA042F">
        <w:t>them all</w:t>
      </w:r>
      <w:r w:rsidR="00FE50EF">
        <w:t>. They are also a</w:t>
      </w:r>
      <w:r w:rsidR="00365C96">
        <w:t>ware that many Iranians living abroad attempt to portray themselves as dissidents in order to obtain asylum</w:t>
      </w:r>
      <w:r w:rsidR="00FE50EF">
        <w:t xml:space="preserve">. The complainant’s political </w:t>
      </w:r>
      <w:r w:rsidR="00EA042F">
        <w:t xml:space="preserve">involvement </w:t>
      </w:r>
      <w:r w:rsidR="00FE50EF">
        <w:t xml:space="preserve">in Switzerland is typical mass opposition </w:t>
      </w:r>
      <w:r w:rsidR="00DE049E">
        <w:t>behaviour;</w:t>
      </w:r>
      <w:r w:rsidR="00FE50EF">
        <w:t xml:space="preserve"> h</w:t>
      </w:r>
      <w:r w:rsidR="00DE049E">
        <w:t>is</w:t>
      </w:r>
      <w:r w:rsidR="00FE50EF">
        <w:t xml:space="preserve"> </w:t>
      </w:r>
      <w:r w:rsidR="00DE049E">
        <w:t>profile</w:t>
      </w:r>
      <w:r w:rsidR="00FE50EF">
        <w:t xml:space="preserve"> </w:t>
      </w:r>
      <w:r w:rsidR="00DE049E">
        <w:t xml:space="preserve">is not that of </w:t>
      </w:r>
      <w:r w:rsidR="00FE50EF">
        <w:t xml:space="preserve">a serious opponent </w:t>
      </w:r>
      <w:r w:rsidR="00DE049E">
        <w:t xml:space="preserve">who is </w:t>
      </w:r>
      <w:r w:rsidR="00FE50EF">
        <w:t>dangerous to the regime.</w:t>
      </w:r>
      <w:r w:rsidR="00D67CA8">
        <w:t xml:space="preserve"> </w:t>
      </w:r>
      <w:r w:rsidR="00E862C8">
        <w:t>The State party notes that since 9</w:t>
      </w:r>
      <w:r w:rsidR="007D1F5E">
        <w:t> </w:t>
      </w:r>
      <w:r w:rsidR="00E862C8">
        <w:t>July 2009, t</w:t>
      </w:r>
      <w:r w:rsidR="00D67CA8">
        <w:t xml:space="preserve">he </w:t>
      </w:r>
      <w:r w:rsidR="00C13B60" w:rsidRPr="00120788">
        <w:t>Swiss Federal Administrative Tribunal</w:t>
      </w:r>
      <w:r w:rsidR="00D67CA8">
        <w:t xml:space="preserve"> has adopted </w:t>
      </w:r>
      <w:r w:rsidR="00DE049E">
        <w:t xml:space="preserve">a </w:t>
      </w:r>
      <w:r w:rsidR="00D67CA8">
        <w:t xml:space="preserve">stricter position concerning </w:t>
      </w:r>
      <w:r w:rsidR="00E862C8">
        <w:t>Iranian</w:t>
      </w:r>
      <w:r w:rsidR="001514E7">
        <w:t xml:space="preserve"> groups</w:t>
      </w:r>
      <w:r w:rsidR="00E862C8">
        <w:t xml:space="preserve"> in Switzerland, </w:t>
      </w:r>
      <w:r w:rsidR="00D51CF1">
        <w:t xml:space="preserve">as their aim </w:t>
      </w:r>
      <w:r w:rsidR="00DE049E">
        <w:t>appear</w:t>
      </w:r>
      <w:r w:rsidR="00D51CF1">
        <w:t>s</w:t>
      </w:r>
      <w:r w:rsidR="00DE049E">
        <w:t xml:space="preserve"> </w:t>
      </w:r>
      <w:r w:rsidR="00D51CF1">
        <w:t xml:space="preserve">to be </w:t>
      </w:r>
      <w:r w:rsidR="00DE049E">
        <w:t xml:space="preserve">to </w:t>
      </w:r>
      <w:r w:rsidR="00D51CF1">
        <w:t>increase</w:t>
      </w:r>
      <w:r w:rsidR="00DE049E">
        <w:t xml:space="preserve"> the</w:t>
      </w:r>
      <w:r w:rsidR="00E862C8">
        <w:t xml:space="preserve"> visibility of their members in order to influence the asylum procedure</w:t>
      </w:r>
      <w:r w:rsidR="006C78DD">
        <w:t>.</w:t>
      </w:r>
    </w:p>
    <w:p w:rsidR="00D67CA8" w:rsidRDefault="009F6F01" w:rsidP="00051271">
      <w:pPr>
        <w:pStyle w:val="SingleTxtG"/>
      </w:pPr>
      <w:r>
        <w:t>4.7</w:t>
      </w:r>
      <w:r>
        <w:tab/>
      </w:r>
      <w:r w:rsidR="00FE50EF">
        <w:t xml:space="preserve">The State party contests the complainant’s statement that he has a particular profile </w:t>
      </w:r>
      <w:r w:rsidR="00DE049E">
        <w:t>owing</w:t>
      </w:r>
      <w:r w:rsidR="00FE50EF">
        <w:t xml:space="preserve"> to his position within the KDPI. The State party considers his </w:t>
      </w:r>
      <w:r w:rsidR="00051271">
        <w:t>role in the organization</w:t>
      </w:r>
      <w:r w:rsidR="00FE50EF">
        <w:t xml:space="preserve"> </w:t>
      </w:r>
      <w:r w:rsidR="00DE049E">
        <w:t xml:space="preserve">to </w:t>
      </w:r>
      <w:r w:rsidR="00FE50EF">
        <w:t xml:space="preserve">be administrative </w:t>
      </w:r>
      <w:r w:rsidR="00DE049E">
        <w:t xml:space="preserve">in </w:t>
      </w:r>
      <w:r w:rsidR="00FE50EF">
        <w:t>nature. The complainant</w:t>
      </w:r>
      <w:r w:rsidR="00D67CA8">
        <w:t xml:space="preserve"> does not appear to be a serious and dangerous opponent of the regime.</w:t>
      </w:r>
    </w:p>
    <w:p w:rsidR="00E862C8" w:rsidRDefault="009F6F01" w:rsidP="00653ABB">
      <w:pPr>
        <w:pStyle w:val="SingleTxtG"/>
        <w:rPr>
          <w:lang w:eastAsia="en-GB"/>
        </w:rPr>
      </w:pPr>
      <w:r>
        <w:t>4.8</w:t>
      </w:r>
      <w:r>
        <w:tab/>
      </w:r>
      <w:r w:rsidR="00E862C8" w:rsidRPr="00E862C8">
        <w:t xml:space="preserve">The State party submits that the complainant’s </w:t>
      </w:r>
      <w:r w:rsidR="00C37745" w:rsidRPr="00E862C8">
        <w:t xml:space="preserve">entire </w:t>
      </w:r>
      <w:r w:rsidR="00E862C8" w:rsidRPr="00E862C8">
        <w:t xml:space="preserve">claim concerning </w:t>
      </w:r>
      <w:r w:rsidR="00C37745">
        <w:t>the</w:t>
      </w:r>
      <w:r w:rsidR="00E862C8" w:rsidRPr="00E862C8">
        <w:t xml:space="preserve"> risk of his persecution in </w:t>
      </w:r>
      <w:r w:rsidR="00D653C7">
        <w:t xml:space="preserve">the </w:t>
      </w:r>
      <w:r w:rsidR="00D653C7" w:rsidRPr="00120788">
        <w:t xml:space="preserve">Islamic Republic of </w:t>
      </w:r>
      <w:r w:rsidR="00E862C8" w:rsidRPr="00E862C8">
        <w:t>Iran, particularly his activities in Switzerland, was examined by the competent Swiss authorities. The complaint submitted to the Committee does not contain any new element</w:t>
      </w:r>
      <w:r w:rsidR="003568B5">
        <w:t>s,</w:t>
      </w:r>
      <w:r w:rsidR="00E862C8" w:rsidRPr="00E862C8">
        <w:t xml:space="preserve"> </w:t>
      </w:r>
      <w:r w:rsidR="003568B5">
        <w:t>or</w:t>
      </w:r>
      <w:r w:rsidR="00E862C8" w:rsidRPr="00E862C8">
        <w:t xml:space="preserve"> claim </w:t>
      </w:r>
      <w:r w:rsidR="003568B5">
        <w:t xml:space="preserve">that there were </w:t>
      </w:r>
      <w:r w:rsidR="00E862C8" w:rsidRPr="00E862C8">
        <w:t xml:space="preserve">any shortcomings </w:t>
      </w:r>
      <w:r w:rsidR="003568B5">
        <w:t>i</w:t>
      </w:r>
      <w:r w:rsidR="00E862C8" w:rsidRPr="00E862C8">
        <w:t>n the State party’s asylum procedure. The State party refers to the Committee’s jurisprudence that “</w:t>
      </w:r>
      <w:r w:rsidR="00E862C8" w:rsidRPr="00E862C8">
        <w:rPr>
          <w:lang w:eastAsia="en-GB"/>
        </w:rPr>
        <w:t>it is within the purview of the courts of the States parties to the Convention to assess the facts and evidence in a case</w:t>
      </w:r>
      <w:r w:rsidR="00E862C8" w:rsidRPr="00E862C8">
        <w:t>”</w:t>
      </w:r>
      <w:r w:rsidR="002D27E1">
        <w:t>,</w:t>
      </w:r>
      <w:r w:rsidR="0029780A">
        <w:rPr>
          <w:rStyle w:val="FootnoteReference"/>
        </w:rPr>
        <w:footnoteReference w:id="8"/>
      </w:r>
      <w:r w:rsidR="00E862C8" w:rsidRPr="00E862C8">
        <w:t xml:space="preserve"> </w:t>
      </w:r>
      <w:r w:rsidR="002D27E1">
        <w:t>and that t</w:t>
      </w:r>
      <w:r w:rsidR="00E862C8" w:rsidRPr="00E862C8">
        <w:t xml:space="preserve">he Committee should examine facts and evidence </w:t>
      </w:r>
      <w:r w:rsidR="002D27E1">
        <w:t xml:space="preserve">only </w:t>
      </w:r>
      <w:r w:rsidR="00E862C8" w:rsidRPr="00E862C8">
        <w:t>if it can be established that “</w:t>
      </w:r>
      <w:r w:rsidR="00E862C8" w:rsidRPr="00E862C8">
        <w:rPr>
          <w:lang w:eastAsia="en-GB"/>
        </w:rPr>
        <w:t xml:space="preserve">the evidence was assessed in a </w:t>
      </w:r>
      <w:r w:rsidR="003568B5">
        <w:rPr>
          <w:lang w:eastAsia="en-GB"/>
        </w:rPr>
        <w:t>paten</w:t>
      </w:r>
      <w:r w:rsidR="00E862C8" w:rsidRPr="00E862C8">
        <w:rPr>
          <w:lang w:eastAsia="en-GB"/>
        </w:rPr>
        <w:t>tly arbitrary manner or one that amounted to a miscarriage of justice”</w:t>
      </w:r>
      <w:r w:rsidR="006C78DD">
        <w:rPr>
          <w:lang w:eastAsia="en-GB"/>
        </w:rPr>
        <w:t>.</w:t>
      </w:r>
      <w:r w:rsidR="0029780A">
        <w:rPr>
          <w:rStyle w:val="FootnoteReference"/>
          <w:lang w:eastAsia="en-GB"/>
        </w:rPr>
        <w:footnoteReference w:id="9"/>
      </w:r>
      <w:r w:rsidR="00E862C8" w:rsidRPr="00E862C8">
        <w:rPr>
          <w:lang w:eastAsia="en-GB"/>
        </w:rPr>
        <w:t xml:space="preserve"> In the case in question, the elements submitted by the complainant do not </w:t>
      </w:r>
      <w:r w:rsidR="00653ABB">
        <w:rPr>
          <w:lang w:eastAsia="en-GB"/>
        </w:rPr>
        <w:t>point to</w:t>
      </w:r>
      <w:r w:rsidR="00E862C8" w:rsidRPr="00E862C8">
        <w:rPr>
          <w:lang w:eastAsia="en-GB"/>
        </w:rPr>
        <w:t xml:space="preserve"> any such irregularities.</w:t>
      </w:r>
    </w:p>
    <w:p w:rsidR="00E862C8" w:rsidRDefault="009F6F01" w:rsidP="00960C4E">
      <w:pPr>
        <w:pStyle w:val="SingleTxtG"/>
        <w:rPr>
          <w:lang w:eastAsia="en-GB"/>
        </w:rPr>
      </w:pPr>
      <w:r>
        <w:rPr>
          <w:lang w:eastAsia="en-GB"/>
        </w:rPr>
        <w:t>4.9</w:t>
      </w:r>
      <w:r>
        <w:rPr>
          <w:lang w:eastAsia="en-GB"/>
        </w:rPr>
        <w:tab/>
      </w:r>
      <w:r w:rsidR="00E862C8">
        <w:rPr>
          <w:lang w:eastAsia="en-GB"/>
        </w:rPr>
        <w:t xml:space="preserve">The State party also </w:t>
      </w:r>
      <w:r w:rsidR="00960C4E">
        <w:rPr>
          <w:lang w:eastAsia="en-GB"/>
        </w:rPr>
        <w:t>notes</w:t>
      </w:r>
      <w:r w:rsidR="00E862C8">
        <w:rPr>
          <w:lang w:eastAsia="en-GB"/>
        </w:rPr>
        <w:t xml:space="preserve"> that the complainant refers to the </w:t>
      </w:r>
      <w:r w:rsidR="00653ABB">
        <w:rPr>
          <w:lang w:eastAsia="en-GB"/>
        </w:rPr>
        <w:t xml:space="preserve">decision of the </w:t>
      </w:r>
      <w:r w:rsidR="00E862C8">
        <w:rPr>
          <w:lang w:eastAsia="en-GB"/>
        </w:rPr>
        <w:t>European Court o</w:t>
      </w:r>
      <w:r w:rsidR="00653ABB">
        <w:rPr>
          <w:lang w:eastAsia="en-GB"/>
        </w:rPr>
        <w:t>f</w:t>
      </w:r>
      <w:r w:rsidR="00E862C8">
        <w:rPr>
          <w:lang w:eastAsia="en-GB"/>
        </w:rPr>
        <w:t xml:space="preserve"> Human Rights in the case </w:t>
      </w:r>
      <w:r w:rsidR="00960C4E">
        <w:rPr>
          <w:lang w:eastAsia="en-GB"/>
        </w:rPr>
        <w:t xml:space="preserve">of </w:t>
      </w:r>
      <w:r w:rsidR="00E862C8" w:rsidRPr="009E4F57">
        <w:rPr>
          <w:i/>
          <w:lang w:eastAsia="en-GB"/>
        </w:rPr>
        <w:t>R.C. v. Sweden</w:t>
      </w:r>
      <w:r w:rsidR="00960C4E">
        <w:rPr>
          <w:iCs/>
          <w:lang w:eastAsia="en-GB"/>
        </w:rPr>
        <w:t>.</w:t>
      </w:r>
      <w:r w:rsidR="001F5C5D" w:rsidRPr="007D1F5E">
        <w:rPr>
          <w:rStyle w:val="FootnoteReference"/>
          <w:iCs/>
          <w:lang w:eastAsia="en-GB"/>
        </w:rPr>
        <w:footnoteReference w:id="10"/>
      </w:r>
      <w:r w:rsidR="00E862C8">
        <w:rPr>
          <w:lang w:eastAsia="en-GB"/>
        </w:rPr>
        <w:t xml:space="preserve"> </w:t>
      </w:r>
      <w:r w:rsidR="00960C4E">
        <w:rPr>
          <w:lang w:eastAsia="en-GB"/>
        </w:rPr>
        <w:t>H</w:t>
      </w:r>
      <w:r w:rsidR="00E862C8">
        <w:rPr>
          <w:lang w:eastAsia="en-GB"/>
        </w:rPr>
        <w:t>owever, in th</w:t>
      </w:r>
      <w:r w:rsidR="00960C4E">
        <w:rPr>
          <w:lang w:eastAsia="en-GB"/>
        </w:rPr>
        <w:t>at</w:t>
      </w:r>
      <w:r w:rsidR="00E862C8">
        <w:rPr>
          <w:lang w:eastAsia="en-GB"/>
        </w:rPr>
        <w:t xml:space="preserve"> case</w:t>
      </w:r>
      <w:r w:rsidR="00960C4E">
        <w:rPr>
          <w:lang w:eastAsia="en-GB"/>
        </w:rPr>
        <w:t>,</w:t>
      </w:r>
      <w:r w:rsidR="00E862C8">
        <w:rPr>
          <w:lang w:eastAsia="en-GB"/>
        </w:rPr>
        <w:t xml:space="preserve"> the applicant </w:t>
      </w:r>
      <w:r w:rsidR="00960C4E">
        <w:rPr>
          <w:lang w:eastAsia="en-GB"/>
        </w:rPr>
        <w:t xml:space="preserve">had </w:t>
      </w:r>
      <w:r w:rsidR="00E862C8">
        <w:rPr>
          <w:lang w:eastAsia="en-GB"/>
        </w:rPr>
        <w:t xml:space="preserve">proved </w:t>
      </w:r>
      <w:r w:rsidR="00960C4E">
        <w:rPr>
          <w:lang w:eastAsia="en-GB"/>
        </w:rPr>
        <w:t xml:space="preserve">that </w:t>
      </w:r>
      <w:r w:rsidR="00E862C8">
        <w:rPr>
          <w:lang w:eastAsia="en-GB"/>
        </w:rPr>
        <w:t xml:space="preserve">his ill-treatment </w:t>
      </w:r>
      <w:r w:rsidR="00960C4E">
        <w:rPr>
          <w:lang w:eastAsia="en-GB"/>
        </w:rPr>
        <w:t>had been the result of</w:t>
      </w:r>
      <w:r w:rsidR="00E862C8">
        <w:rPr>
          <w:lang w:eastAsia="en-GB"/>
        </w:rPr>
        <w:t xml:space="preserve"> his political </w:t>
      </w:r>
      <w:r w:rsidR="00960C4E">
        <w:rPr>
          <w:lang w:eastAsia="en-GB"/>
        </w:rPr>
        <w:t>involvement</w:t>
      </w:r>
      <w:r w:rsidR="00E862C8">
        <w:rPr>
          <w:lang w:eastAsia="en-GB"/>
        </w:rPr>
        <w:t xml:space="preserve"> in </w:t>
      </w:r>
      <w:r w:rsidR="00D653C7">
        <w:t xml:space="preserve">the </w:t>
      </w:r>
      <w:r w:rsidR="00D653C7" w:rsidRPr="00120788">
        <w:t xml:space="preserve">Islamic Republic of </w:t>
      </w:r>
      <w:r w:rsidR="00E862C8">
        <w:rPr>
          <w:lang w:eastAsia="en-GB"/>
        </w:rPr>
        <w:t xml:space="preserve">Iran, and therefore the Court </w:t>
      </w:r>
      <w:r w:rsidR="00960C4E">
        <w:rPr>
          <w:lang w:eastAsia="en-GB"/>
        </w:rPr>
        <w:t>had rul</w:t>
      </w:r>
      <w:r w:rsidR="00E862C8">
        <w:rPr>
          <w:lang w:eastAsia="en-GB"/>
        </w:rPr>
        <w:t xml:space="preserve">ed </w:t>
      </w:r>
      <w:r w:rsidR="00960C4E">
        <w:rPr>
          <w:lang w:eastAsia="en-GB"/>
        </w:rPr>
        <w:t xml:space="preserve">that his forced return would constitute a </w:t>
      </w:r>
      <w:r w:rsidR="00E862C8">
        <w:rPr>
          <w:lang w:eastAsia="en-GB"/>
        </w:rPr>
        <w:t xml:space="preserve">violation of the prohibition of torture. In the present case, the complainant </w:t>
      </w:r>
      <w:r w:rsidR="00960C4E">
        <w:rPr>
          <w:lang w:eastAsia="en-GB"/>
        </w:rPr>
        <w:t>had</w:t>
      </w:r>
      <w:r w:rsidR="00E862C8">
        <w:rPr>
          <w:lang w:eastAsia="en-GB"/>
        </w:rPr>
        <w:t xml:space="preserve"> not demonstrate</w:t>
      </w:r>
      <w:r w:rsidR="00960C4E">
        <w:rPr>
          <w:lang w:eastAsia="en-GB"/>
        </w:rPr>
        <w:t>d</w:t>
      </w:r>
      <w:r w:rsidR="00E862C8">
        <w:rPr>
          <w:lang w:eastAsia="en-GB"/>
        </w:rPr>
        <w:t xml:space="preserve"> that he </w:t>
      </w:r>
      <w:r w:rsidR="00960C4E">
        <w:rPr>
          <w:lang w:eastAsia="en-GB"/>
        </w:rPr>
        <w:t>had been</w:t>
      </w:r>
      <w:r w:rsidR="00E862C8">
        <w:rPr>
          <w:lang w:eastAsia="en-GB"/>
        </w:rPr>
        <w:t xml:space="preserve"> mistreated in his country of origin and his allegations concerning his political activities there lacked credibility.</w:t>
      </w:r>
    </w:p>
    <w:p w:rsidR="00E862C8" w:rsidRDefault="009F6F01" w:rsidP="00986BD7">
      <w:pPr>
        <w:pStyle w:val="SingleTxtG"/>
        <w:rPr>
          <w:lang w:eastAsia="en-GB"/>
        </w:rPr>
      </w:pPr>
      <w:r>
        <w:rPr>
          <w:lang w:eastAsia="en-GB"/>
        </w:rPr>
        <w:lastRenderedPageBreak/>
        <w:t>4.10</w:t>
      </w:r>
      <w:r>
        <w:rPr>
          <w:lang w:eastAsia="en-GB"/>
        </w:rPr>
        <w:tab/>
      </w:r>
      <w:r w:rsidR="00E862C8">
        <w:rPr>
          <w:lang w:eastAsia="en-GB"/>
        </w:rPr>
        <w:t xml:space="preserve">The State party maintains that conversion to Christianity abroad would not expose the complainant </w:t>
      </w:r>
      <w:r w:rsidR="001514E7">
        <w:rPr>
          <w:lang w:eastAsia="en-GB"/>
        </w:rPr>
        <w:t>to</w:t>
      </w:r>
      <w:r w:rsidR="00E862C8">
        <w:rPr>
          <w:lang w:eastAsia="en-GB"/>
        </w:rPr>
        <w:t xml:space="preserve"> a risk of persecution in </w:t>
      </w:r>
      <w:r w:rsidR="00D653C7">
        <w:t xml:space="preserve">the </w:t>
      </w:r>
      <w:r w:rsidR="00D653C7" w:rsidRPr="00120788">
        <w:t xml:space="preserve">Islamic Republic of </w:t>
      </w:r>
      <w:r w:rsidR="00E862C8">
        <w:rPr>
          <w:lang w:eastAsia="en-GB"/>
        </w:rPr>
        <w:t>Iran</w:t>
      </w:r>
      <w:r w:rsidR="00986BD7">
        <w:rPr>
          <w:lang w:eastAsia="en-GB"/>
        </w:rPr>
        <w:t>,</w:t>
      </w:r>
      <w:r w:rsidR="00E862C8">
        <w:rPr>
          <w:lang w:eastAsia="en-GB"/>
        </w:rPr>
        <w:t xml:space="preserve"> unless </w:t>
      </w:r>
      <w:r w:rsidR="00986BD7">
        <w:rPr>
          <w:lang w:eastAsia="en-GB"/>
        </w:rPr>
        <w:t>he</w:t>
      </w:r>
      <w:r w:rsidR="00E862C8">
        <w:rPr>
          <w:lang w:eastAsia="en-GB"/>
        </w:rPr>
        <w:t xml:space="preserve"> had practi</w:t>
      </w:r>
      <w:r w:rsidR="00986BD7">
        <w:rPr>
          <w:lang w:eastAsia="en-GB"/>
        </w:rPr>
        <w:t>s</w:t>
      </w:r>
      <w:r w:rsidR="00E862C8">
        <w:rPr>
          <w:lang w:eastAsia="en-GB"/>
        </w:rPr>
        <w:t xml:space="preserve">ed </w:t>
      </w:r>
      <w:r w:rsidR="00986BD7">
        <w:rPr>
          <w:lang w:eastAsia="en-GB"/>
        </w:rPr>
        <w:t xml:space="preserve">Christianity </w:t>
      </w:r>
      <w:r w:rsidR="00E862C8">
        <w:rPr>
          <w:lang w:eastAsia="en-GB"/>
        </w:rPr>
        <w:t>actively and visibly. The complainant did not mention any public exposure with respect to his Christianity.</w:t>
      </w:r>
    </w:p>
    <w:p w:rsidR="00E862C8" w:rsidRDefault="009F6F01" w:rsidP="00986BD7">
      <w:pPr>
        <w:pStyle w:val="SingleTxtG"/>
        <w:rPr>
          <w:lang w:eastAsia="en-GB"/>
        </w:rPr>
      </w:pPr>
      <w:r>
        <w:rPr>
          <w:lang w:eastAsia="en-GB"/>
        </w:rPr>
        <w:t>4.11</w:t>
      </w:r>
      <w:r>
        <w:rPr>
          <w:lang w:eastAsia="en-GB"/>
        </w:rPr>
        <w:tab/>
      </w:r>
      <w:r w:rsidR="00E862C8">
        <w:rPr>
          <w:lang w:eastAsia="en-GB"/>
        </w:rPr>
        <w:t xml:space="preserve">The State party points to factual inconsistencies </w:t>
      </w:r>
      <w:r w:rsidR="00520FEC">
        <w:rPr>
          <w:lang w:eastAsia="en-GB"/>
        </w:rPr>
        <w:t xml:space="preserve">in the </w:t>
      </w:r>
      <w:r w:rsidR="00986BD7">
        <w:rPr>
          <w:lang w:eastAsia="en-GB"/>
        </w:rPr>
        <w:t>complainant’s</w:t>
      </w:r>
      <w:r w:rsidR="00520FEC">
        <w:rPr>
          <w:lang w:eastAsia="en-GB"/>
        </w:rPr>
        <w:t xml:space="preserve"> statements and </w:t>
      </w:r>
      <w:r w:rsidR="001514E7">
        <w:rPr>
          <w:lang w:eastAsia="en-GB"/>
        </w:rPr>
        <w:t xml:space="preserve">to </w:t>
      </w:r>
      <w:r w:rsidR="00986BD7">
        <w:rPr>
          <w:lang w:eastAsia="en-GB"/>
        </w:rPr>
        <w:t>his</w:t>
      </w:r>
      <w:r w:rsidR="00520FEC">
        <w:rPr>
          <w:lang w:eastAsia="en-GB"/>
        </w:rPr>
        <w:t xml:space="preserve"> lack of credibility. </w:t>
      </w:r>
      <w:r>
        <w:rPr>
          <w:lang w:eastAsia="en-GB"/>
        </w:rPr>
        <w:t xml:space="preserve">During the interrogations by the </w:t>
      </w:r>
      <w:r w:rsidR="003D5392" w:rsidRPr="00120788">
        <w:t>Federal Office for Migration</w:t>
      </w:r>
      <w:r>
        <w:rPr>
          <w:lang w:eastAsia="en-GB"/>
        </w:rPr>
        <w:t xml:space="preserve">, it </w:t>
      </w:r>
      <w:r w:rsidR="00986BD7">
        <w:rPr>
          <w:lang w:eastAsia="en-GB"/>
        </w:rPr>
        <w:t xml:space="preserve">became apparent </w:t>
      </w:r>
      <w:r>
        <w:rPr>
          <w:lang w:eastAsia="en-GB"/>
        </w:rPr>
        <w:t>that since December 2006</w:t>
      </w:r>
      <w:r w:rsidR="00986BD7">
        <w:rPr>
          <w:lang w:eastAsia="en-GB"/>
        </w:rPr>
        <w:t>, approximately,</w:t>
      </w:r>
      <w:r>
        <w:rPr>
          <w:lang w:eastAsia="en-GB"/>
        </w:rPr>
        <w:t xml:space="preserve"> the author </w:t>
      </w:r>
      <w:r w:rsidR="00986BD7">
        <w:rPr>
          <w:lang w:eastAsia="en-GB"/>
        </w:rPr>
        <w:t xml:space="preserve">had </w:t>
      </w:r>
      <w:r>
        <w:rPr>
          <w:lang w:eastAsia="en-GB"/>
        </w:rPr>
        <w:t xml:space="preserve">also lived in Germany, where he </w:t>
      </w:r>
      <w:r w:rsidR="00986BD7">
        <w:rPr>
          <w:lang w:eastAsia="en-GB"/>
        </w:rPr>
        <w:t xml:space="preserve">had </w:t>
      </w:r>
      <w:r>
        <w:rPr>
          <w:lang w:eastAsia="en-GB"/>
        </w:rPr>
        <w:t xml:space="preserve">requested asylum, and </w:t>
      </w:r>
      <w:r w:rsidR="001514E7">
        <w:rPr>
          <w:lang w:eastAsia="en-GB"/>
        </w:rPr>
        <w:t>th</w:t>
      </w:r>
      <w:r w:rsidR="00986BD7">
        <w:rPr>
          <w:lang w:eastAsia="en-GB"/>
        </w:rPr>
        <w:t>at</w:t>
      </w:r>
      <w:r w:rsidR="001514E7">
        <w:rPr>
          <w:lang w:eastAsia="en-GB"/>
        </w:rPr>
        <w:t xml:space="preserve"> he </w:t>
      </w:r>
      <w:r w:rsidR="00986BD7">
        <w:rPr>
          <w:lang w:eastAsia="en-GB"/>
        </w:rPr>
        <w:t>had</w:t>
      </w:r>
      <w:r w:rsidR="001514E7">
        <w:rPr>
          <w:lang w:eastAsia="en-GB"/>
        </w:rPr>
        <w:t xml:space="preserve"> </w:t>
      </w:r>
      <w:r>
        <w:rPr>
          <w:lang w:eastAsia="en-GB"/>
        </w:rPr>
        <w:t xml:space="preserve">later </w:t>
      </w:r>
      <w:r w:rsidR="00986BD7">
        <w:rPr>
          <w:lang w:eastAsia="en-GB"/>
        </w:rPr>
        <w:t xml:space="preserve">been </w:t>
      </w:r>
      <w:r>
        <w:rPr>
          <w:lang w:eastAsia="en-GB"/>
        </w:rPr>
        <w:t xml:space="preserve">expelled to Greece, where he </w:t>
      </w:r>
      <w:r w:rsidR="00986BD7">
        <w:rPr>
          <w:lang w:eastAsia="en-GB"/>
        </w:rPr>
        <w:t xml:space="preserve">had </w:t>
      </w:r>
      <w:r>
        <w:rPr>
          <w:lang w:eastAsia="en-GB"/>
        </w:rPr>
        <w:t xml:space="preserve">lived </w:t>
      </w:r>
      <w:r w:rsidR="00986BD7">
        <w:rPr>
          <w:lang w:eastAsia="en-GB"/>
        </w:rPr>
        <w:t xml:space="preserve">for at least a </w:t>
      </w:r>
      <w:r>
        <w:rPr>
          <w:lang w:eastAsia="en-GB"/>
        </w:rPr>
        <w:t>year</w:t>
      </w:r>
      <w:r w:rsidR="00986BD7">
        <w:rPr>
          <w:lang w:eastAsia="en-GB"/>
        </w:rPr>
        <w:t xml:space="preserve"> and a half</w:t>
      </w:r>
      <w:r>
        <w:rPr>
          <w:lang w:eastAsia="en-GB"/>
        </w:rPr>
        <w:t xml:space="preserve">. Therefore, his statements concerning his stay in Iraq are not credible. In addition, his </w:t>
      </w:r>
      <w:r w:rsidR="00986BD7">
        <w:rPr>
          <w:lang w:eastAsia="en-GB"/>
        </w:rPr>
        <w:t xml:space="preserve">statement containing his </w:t>
      </w:r>
      <w:r>
        <w:rPr>
          <w:lang w:eastAsia="en-GB"/>
        </w:rPr>
        <w:t xml:space="preserve">reasons for </w:t>
      </w:r>
      <w:r w:rsidR="00D653C7">
        <w:rPr>
          <w:lang w:eastAsia="en-GB"/>
        </w:rPr>
        <w:t>leav</w:t>
      </w:r>
      <w:r>
        <w:rPr>
          <w:lang w:eastAsia="en-GB"/>
        </w:rPr>
        <w:t xml:space="preserve">ing </w:t>
      </w:r>
      <w:r w:rsidR="00D653C7">
        <w:t xml:space="preserve">the </w:t>
      </w:r>
      <w:r w:rsidR="00D653C7" w:rsidRPr="00120788">
        <w:t xml:space="preserve">Islamic Republic of </w:t>
      </w:r>
      <w:r>
        <w:rPr>
          <w:lang w:eastAsia="en-GB"/>
        </w:rPr>
        <w:t>Iran w</w:t>
      </w:r>
      <w:r w:rsidR="00986BD7">
        <w:rPr>
          <w:lang w:eastAsia="en-GB"/>
        </w:rPr>
        <w:t>as</w:t>
      </w:r>
      <w:r>
        <w:rPr>
          <w:lang w:eastAsia="en-GB"/>
        </w:rPr>
        <w:t xml:space="preserve"> submitted late during the asylum procedure</w:t>
      </w:r>
      <w:r w:rsidR="00745424">
        <w:rPr>
          <w:lang w:eastAsia="en-GB"/>
        </w:rPr>
        <w:t xml:space="preserve"> and w</w:t>
      </w:r>
      <w:r w:rsidR="00986BD7">
        <w:rPr>
          <w:lang w:eastAsia="en-GB"/>
        </w:rPr>
        <w:t>as</w:t>
      </w:r>
      <w:r w:rsidR="00745424">
        <w:rPr>
          <w:lang w:eastAsia="en-GB"/>
        </w:rPr>
        <w:t xml:space="preserve"> therefore considered dubious. </w:t>
      </w:r>
      <w:r w:rsidR="00986BD7">
        <w:rPr>
          <w:lang w:eastAsia="en-GB"/>
        </w:rPr>
        <w:t>Last</w:t>
      </w:r>
      <w:r w:rsidR="008F26D2">
        <w:rPr>
          <w:lang w:eastAsia="en-GB"/>
        </w:rPr>
        <w:t xml:space="preserve">ly, he made contradictory statements concerning </w:t>
      </w:r>
      <w:r w:rsidR="00986BD7">
        <w:rPr>
          <w:lang w:eastAsia="en-GB"/>
        </w:rPr>
        <w:t xml:space="preserve">the </w:t>
      </w:r>
      <w:r w:rsidR="008F26D2">
        <w:rPr>
          <w:lang w:eastAsia="en-GB"/>
        </w:rPr>
        <w:t xml:space="preserve">alleged search </w:t>
      </w:r>
      <w:r w:rsidR="00986BD7">
        <w:rPr>
          <w:lang w:eastAsia="en-GB"/>
        </w:rPr>
        <w:t xml:space="preserve">of his home </w:t>
      </w:r>
      <w:r w:rsidR="008F26D2">
        <w:rPr>
          <w:lang w:eastAsia="en-GB"/>
        </w:rPr>
        <w:t xml:space="preserve">by the authorities in </w:t>
      </w:r>
      <w:r w:rsidR="00D653C7">
        <w:t xml:space="preserve">the </w:t>
      </w:r>
      <w:r w:rsidR="00D653C7" w:rsidRPr="00120788">
        <w:t xml:space="preserve">Islamic Republic of </w:t>
      </w:r>
      <w:r w:rsidR="008F26D2">
        <w:rPr>
          <w:lang w:eastAsia="en-GB"/>
        </w:rPr>
        <w:t>Iran.</w:t>
      </w:r>
    </w:p>
    <w:p w:rsidR="00D036B5" w:rsidRPr="007F05ED" w:rsidRDefault="00D036B5" w:rsidP="00D036B5">
      <w:pPr>
        <w:pStyle w:val="H23G"/>
      </w:pPr>
      <w:r>
        <w:tab/>
      </w:r>
      <w:r>
        <w:tab/>
      </w:r>
      <w:r w:rsidRPr="007F05ED">
        <w:t>Complainant</w:t>
      </w:r>
      <w:r w:rsidR="00512C0A">
        <w:t>’</w:t>
      </w:r>
      <w:r w:rsidRPr="007F05ED">
        <w:t>s comments on the State party</w:t>
      </w:r>
      <w:r w:rsidR="00512C0A">
        <w:t>’</w:t>
      </w:r>
      <w:r w:rsidRPr="007F05ED">
        <w:t>s observations</w:t>
      </w:r>
    </w:p>
    <w:p w:rsidR="004616B8" w:rsidRDefault="00D036B5" w:rsidP="006C3C3F">
      <w:pPr>
        <w:pStyle w:val="SingleTxtG"/>
      </w:pPr>
      <w:r w:rsidRPr="007F05ED">
        <w:t>5.</w:t>
      </w:r>
      <w:r w:rsidR="00346714">
        <w:t>1</w:t>
      </w:r>
      <w:r w:rsidR="00AF317C">
        <w:tab/>
      </w:r>
      <w:r w:rsidR="00AF236C" w:rsidRPr="002F4BFF">
        <w:t>In his comments of 1</w:t>
      </w:r>
      <w:r w:rsidR="008F26D2" w:rsidRPr="002F4BFF">
        <w:t>4</w:t>
      </w:r>
      <w:r w:rsidR="00AF236C" w:rsidRPr="002F4BFF">
        <w:t xml:space="preserve"> </w:t>
      </w:r>
      <w:r w:rsidR="008F26D2" w:rsidRPr="002F4BFF">
        <w:t>November</w:t>
      </w:r>
      <w:r w:rsidR="00AF236C">
        <w:t xml:space="preserve"> 2012, the complainant contest</w:t>
      </w:r>
      <w:r w:rsidR="006C3C3F">
        <w:t>ed</w:t>
      </w:r>
      <w:r w:rsidR="00AF236C">
        <w:t xml:space="preserve"> the State party’s argument that he did not </w:t>
      </w:r>
      <w:r w:rsidR="002F4BFF">
        <w:t>demonstrate</w:t>
      </w:r>
      <w:r w:rsidR="00085153">
        <w:t xml:space="preserve"> that he w</w:t>
      </w:r>
      <w:r w:rsidR="002F4BFF">
        <w:t>ould</w:t>
      </w:r>
      <w:r w:rsidR="00085153">
        <w:t xml:space="preserve"> be at a foreseeable, real and personal risk of being subject to treatment contrary to the Convention if he w</w:t>
      </w:r>
      <w:r w:rsidR="002F4BFF">
        <w:t>ere</w:t>
      </w:r>
      <w:r w:rsidR="00085153">
        <w:t xml:space="preserve"> returned to </w:t>
      </w:r>
      <w:r w:rsidR="00D653C7">
        <w:t xml:space="preserve">the </w:t>
      </w:r>
      <w:r w:rsidR="00D653C7" w:rsidRPr="00120788">
        <w:t xml:space="preserve">Islamic Republic of </w:t>
      </w:r>
      <w:r w:rsidR="00085153">
        <w:t xml:space="preserve">Iran. He reiterates that </w:t>
      </w:r>
      <w:r w:rsidR="008F26D2">
        <w:t xml:space="preserve">he has taken part in various demonstrations against the Iranian regime, his name and photograph appear on </w:t>
      </w:r>
      <w:r w:rsidR="002F4BFF">
        <w:t xml:space="preserve">the </w:t>
      </w:r>
      <w:r w:rsidR="008F26D2">
        <w:t>Internet in connection with his activity with the KDPI</w:t>
      </w:r>
      <w:r w:rsidR="002F4BFF">
        <w:t>,</w:t>
      </w:r>
      <w:r w:rsidR="008F26D2">
        <w:t xml:space="preserve"> </w:t>
      </w:r>
      <w:r w:rsidR="002F4BFF">
        <w:t>in which</w:t>
      </w:r>
      <w:r w:rsidR="008F26D2">
        <w:t xml:space="preserve"> he holds a leading position, and </w:t>
      </w:r>
      <w:r w:rsidR="002F4BFF">
        <w:t xml:space="preserve">he </w:t>
      </w:r>
      <w:r w:rsidR="008F26D2">
        <w:t>has converted to Christianity.</w:t>
      </w:r>
      <w:r w:rsidR="004616B8">
        <w:t xml:space="preserve"> </w:t>
      </w:r>
      <w:r w:rsidR="002F4BFF">
        <w:t>His</w:t>
      </w:r>
      <w:r w:rsidR="006A05F8">
        <w:t xml:space="preserve"> illegal </w:t>
      </w:r>
      <w:r w:rsidR="002F4BFF">
        <w:t xml:space="preserve">departure from the </w:t>
      </w:r>
      <w:r w:rsidR="002F4BFF" w:rsidRPr="00120788">
        <w:t xml:space="preserve">Islamic Republic of </w:t>
      </w:r>
      <w:r w:rsidR="002F4BFF">
        <w:t>Iran,</w:t>
      </w:r>
      <w:r w:rsidR="006A05F8">
        <w:t xml:space="preserve"> </w:t>
      </w:r>
      <w:r w:rsidR="002F4BFF">
        <w:t xml:space="preserve">his </w:t>
      </w:r>
      <w:r w:rsidR="00376CF3">
        <w:t xml:space="preserve">political activity and conversion to Christianity </w:t>
      </w:r>
      <w:r w:rsidR="002F4BFF">
        <w:t>are ample grounds for demonstrating that he would be at</w:t>
      </w:r>
      <w:r w:rsidR="00376CF3">
        <w:t xml:space="preserve"> risk of being subject to treatment contrary to the Convention.</w:t>
      </w:r>
    </w:p>
    <w:p w:rsidR="003B56C0" w:rsidRDefault="004616B8" w:rsidP="00051271">
      <w:pPr>
        <w:pStyle w:val="SingleTxtG"/>
      </w:pPr>
      <w:r>
        <w:t>5.2</w:t>
      </w:r>
      <w:r>
        <w:tab/>
        <w:t xml:space="preserve">The complainant maintains that </w:t>
      </w:r>
      <w:r w:rsidR="00051271">
        <w:t xml:space="preserve">it is </w:t>
      </w:r>
      <w:r>
        <w:t xml:space="preserve">not </w:t>
      </w:r>
      <w:r w:rsidR="004D614B">
        <w:t xml:space="preserve">only </w:t>
      </w:r>
      <w:r>
        <w:t xml:space="preserve">high-profile </w:t>
      </w:r>
      <w:r w:rsidR="002F4BFF">
        <w:t>opponents of the regime</w:t>
      </w:r>
      <w:r>
        <w:t xml:space="preserve"> </w:t>
      </w:r>
      <w:r w:rsidR="00051271">
        <w:t xml:space="preserve">who </w:t>
      </w:r>
      <w:r>
        <w:t>are at risk of being detained, ill-treated or tortured</w:t>
      </w:r>
      <w:r w:rsidR="006C78DD">
        <w:t>.</w:t>
      </w:r>
      <w:r w:rsidR="001F5C5D">
        <w:rPr>
          <w:rStyle w:val="FootnoteReference"/>
        </w:rPr>
        <w:footnoteReference w:id="11"/>
      </w:r>
      <w:r w:rsidR="003B56C0" w:rsidRPr="003B56C0">
        <w:t xml:space="preserve"> </w:t>
      </w:r>
      <w:r w:rsidR="003B56C0">
        <w:t>He also contests the State party</w:t>
      </w:r>
      <w:r w:rsidR="00051271">
        <w:t>’s</w:t>
      </w:r>
      <w:r w:rsidR="003B56C0">
        <w:t xml:space="preserve"> argument that his </w:t>
      </w:r>
      <w:r w:rsidR="00051271">
        <w:t>role</w:t>
      </w:r>
      <w:r w:rsidR="003B56C0">
        <w:t xml:space="preserve"> in the PDKI </w:t>
      </w:r>
      <w:r w:rsidR="00051271">
        <w:t>is</w:t>
      </w:r>
      <w:r w:rsidR="003B56C0">
        <w:t xml:space="preserve"> merely administrative. Being a head of cantonal sections of the PDKI, organizing events and taking part in conferences </w:t>
      </w:r>
      <w:r w:rsidR="00051271">
        <w:t xml:space="preserve">are </w:t>
      </w:r>
      <w:r w:rsidR="003B56C0">
        <w:t xml:space="preserve">clearly </w:t>
      </w:r>
      <w:r w:rsidR="00051271">
        <w:t>more than</w:t>
      </w:r>
      <w:r w:rsidR="003B56C0">
        <w:t xml:space="preserve"> mere</w:t>
      </w:r>
      <w:r w:rsidR="00051271">
        <w:t>ly</w:t>
      </w:r>
      <w:r w:rsidR="003B56C0">
        <w:t xml:space="preserve"> administrative activit</w:t>
      </w:r>
      <w:r w:rsidR="00051271">
        <w:t>ies</w:t>
      </w:r>
      <w:r w:rsidR="003B56C0">
        <w:t xml:space="preserve">. His name appears on permits </w:t>
      </w:r>
      <w:r w:rsidR="00051271">
        <w:t>for</w:t>
      </w:r>
      <w:r w:rsidR="003B56C0">
        <w:t xml:space="preserve"> political campaigns and he was </w:t>
      </w:r>
      <w:r w:rsidR="00051271">
        <w:t>o</w:t>
      </w:r>
      <w:r w:rsidR="003B56C0">
        <w:t xml:space="preserve">n </w:t>
      </w:r>
      <w:r w:rsidR="00382852">
        <w:t xml:space="preserve">the </w:t>
      </w:r>
      <w:r w:rsidR="003B56C0">
        <w:t>organizing committee</w:t>
      </w:r>
      <w:r w:rsidR="00051271">
        <w:t>s</w:t>
      </w:r>
      <w:r w:rsidR="003B56C0">
        <w:t xml:space="preserve"> of th</w:t>
      </w:r>
      <w:r w:rsidR="00051271">
        <w:t>o</w:t>
      </w:r>
      <w:r w:rsidR="003B56C0">
        <w:t>se events and took an active part in them.</w:t>
      </w:r>
    </w:p>
    <w:p w:rsidR="003B56C0" w:rsidRDefault="006827F1" w:rsidP="00D51CF1">
      <w:pPr>
        <w:pStyle w:val="SingleTxtG"/>
      </w:pPr>
      <w:r>
        <w:t>5.3</w:t>
      </w:r>
      <w:r>
        <w:tab/>
        <w:t xml:space="preserve">The complainant submits that the Iranian authorities actively </w:t>
      </w:r>
      <w:r w:rsidR="00051271">
        <w:t>monitor</w:t>
      </w:r>
      <w:r>
        <w:t xml:space="preserve"> the </w:t>
      </w:r>
      <w:r w:rsidR="00051271">
        <w:t>I</w:t>
      </w:r>
      <w:r>
        <w:t>nternet as well as demonstrations abroad</w:t>
      </w:r>
      <w:r w:rsidR="006C78DD">
        <w:t>.</w:t>
      </w:r>
      <w:r>
        <w:t xml:space="preserve"> He refers to </w:t>
      </w:r>
      <w:r w:rsidR="001C7624">
        <w:t>a</w:t>
      </w:r>
      <w:r>
        <w:t xml:space="preserve"> </w:t>
      </w:r>
      <w:r w:rsidR="001C7624">
        <w:t xml:space="preserve">2011 </w:t>
      </w:r>
      <w:r>
        <w:t>judgment of the Upper Tribunal</w:t>
      </w:r>
      <w:r w:rsidR="00271958">
        <w:t xml:space="preserve"> </w:t>
      </w:r>
      <w:r w:rsidR="00BB25E5">
        <w:t>(</w:t>
      </w:r>
      <w:r w:rsidR="00271958">
        <w:t>Immigration and Asylum Chamber</w:t>
      </w:r>
      <w:r w:rsidR="00BB25E5">
        <w:t>)</w:t>
      </w:r>
      <w:r>
        <w:t xml:space="preserve"> of the United Kingdom</w:t>
      </w:r>
      <w:r w:rsidR="006C3C3F">
        <w:t>,</w:t>
      </w:r>
      <w:r w:rsidR="001C7624">
        <w:t xml:space="preserve"> which</w:t>
      </w:r>
      <w:r>
        <w:t xml:space="preserve"> </w:t>
      </w:r>
      <w:r w:rsidR="009A62D9">
        <w:t>conclud</w:t>
      </w:r>
      <w:r w:rsidR="001C7624">
        <w:t>ed</w:t>
      </w:r>
      <w:r w:rsidR="009A62D9">
        <w:t xml:space="preserve"> that the Iranian authorities systematically target </w:t>
      </w:r>
      <w:r w:rsidR="001C7624">
        <w:t xml:space="preserve">individuals who </w:t>
      </w:r>
      <w:r w:rsidR="009A62D9">
        <w:t>participat</w:t>
      </w:r>
      <w:r w:rsidR="001C7624">
        <w:t>e</w:t>
      </w:r>
      <w:r w:rsidR="009A62D9">
        <w:t xml:space="preserve"> in political demonstrations abroad and </w:t>
      </w:r>
      <w:r w:rsidR="001C7624">
        <w:t xml:space="preserve">that they </w:t>
      </w:r>
      <w:r w:rsidR="009A62D9">
        <w:t xml:space="preserve">do not distinguish at all between real political activists and </w:t>
      </w:r>
      <w:r w:rsidR="001C7624">
        <w:t xml:space="preserve">what the Tribunal refers to as </w:t>
      </w:r>
      <w:r w:rsidR="009A62D9">
        <w:t>opportunistic demonstrators</w:t>
      </w:r>
      <w:r w:rsidR="006C78DD">
        <w:t>.</w:t>
      </w:r>
      <w:r w:rsidR="00FD3D8C">
        <w:rPr>
          <w:rStyle w:val="FootnoteReference"/>
        </w:rPr>
        <w:footnoteReference w:id="12"/>
      </w:r>
    </w:p>
    <w:p w:rsidR="006A05F8" w:rsidRDefault="006A05F8" w:rsidP="006C3C3F">
      <w:pPr>
        <w:pStyle w:val="SingleTxtG"/>
      </w:pPr>
      <w:r>
        <w:lastRenderedPageBreak/>
        <w:t>5.4</w:t>
      </w:r>
      <w:r>
        <w:tab/>
        <w:t>The co</w:t>
      </w:r>
      <w:r w:rsidR="0086394B">
        <w:t>mplainant re</w:t>
      </w:r>
      <w:r w:rsidR="00382852">
        <w:t>jects</w:t>
      </w:r>
      <w:r w:rsidR="0086394B">
        <w:t xml:space="preserve"> the State party’s submission that his accounts were not credible. He mentioned his political activity for the PDKI in his first request for asylum. His first request was denied and he </w:t>
      </w:r>
      <w:r w:rsidR="006C3C3F">
        <w:t>filed</w:t>
      </w:r>
      <w:r w:rsidR="0086394B">
        <w:t xml:space="preserve"> a new request based on his political activity in Switzerland. </w:t>
      </w:r>
      <w:r w:rsidR="001C7624">
        <w:t>Owing</w:t>
      </w:r>
      <w:r w:rsidR="0086394B">
        <w:t xml:space="preserve"> to the strict procedural rules on asylum, facts </w:t>
      </w:r>
      <w:r w:rsidR="001C7624">
        <w:t xml:space="preserve">considered in </w:t>
      </w:r>
      <w:r w:rsidR="001514E7">
        <w:t xml:space="preserve">the </w:t>
      </w:r>
      <w:r w:rsidR="0086394B">
        <w:t xml:space="preserve">previous asylum request </w:t>
      </w:r>
      <w:r w:rsidR="001C7624">
        <w:t>cannot</w:t>
      </w:r>
      <w:r w:rsidR="00203774">
        <w:t xml:space="preserve"> be assessed in </w:t>
      </w:r>
      <w:r w:rsidR="001514E7">
        <w:t>the</w:t>
      </w:r>
      <w:r w:rsidR="00203774">
        <w:t xml:space="preserve"> second asylum request. Therefore, the second asylum request did not contain further facts regarding h</w:t>
      </w:r>
      <w:r w:rsidR="001C7624">
        <w:t>is</w:t>
      </w:r>
      <w:r w:rsidR="00203774">
        <w:t xml:space="preserve"> political activity in </w:t>
      </w:r>
      <w:r w:rsidR="00D653C7">
        <w:t xml:space="preserve">the </w:t>
      </w:r>
      <w:r w:rsidR="00D653C7" w:rsidRPr="00120788">
        <w:t xml:space="preserve">Islamic Republic of </w:t>
      </w:r>
      <w:r w:rsidR="00203774">
        <w:t xml:space="preserve">Iran. He </w:t>
      </w:r>
      <w:r w:rsidR="001C7624">
        <w:t>stands by</w:t>
      </w:r>
      <w:r w:rsidR="00203774">
        <w:t xml:space="preserve"> </w:t>
      </w:r>
      <w:r w:rsidR="001C7624">
        <w:t>the</w:t>
      </w:r>
      <w:r w:rsidR="00203774">
        <w:t xml:space="preserve"> statements </w:t>
      </w:r>
      <w:r w:rsidR="001C7624">
        <w:t xml:space="preserve">he made </w:t>
      </w:r>
      <w:r w:rsidR="00203774">
        <w:t xml:space="preserve">regarding his political activity in </w:t>
      </w:r>
      <w:r w:rsidR="00D653C7">
        <w:t xml:space="preserve">the </w:t>
      </w:r>
      <w:r w:rsidR="00D653C7" w:rsidRPr="00120788">
        <w:t xml:space="preserve">Islamic Republic of </w:t>
      </w:r>
      <w:r w:rsidR="00203774">
        <w:t xml:space="preserve">Iran and </w:t>
      </w:r>
      <w:r w:rsidR="001C7624">
        <w:t xml:space="preserve">in </w:t>
      </w:r>
      <w:r w:rsidR="00203774">
        <w:t>Iraq</w:t>
      </w:r>
      <w:r w:rsidR="001C7624">
        <w:t>,</w:t>
      </w:r>
      <w:r w:rsidR="00203774">
        <w:t xml:space="preserve"> which add to </w:t>
      </w:r>
      <w:r w:rsidR="001C7624">
        <w:t xml:space="preserve">the </w:t>
      </w:r>
      <w:r w:rsidR="00203774">
        <w:t>danger o</w:t>
      </w:r>
      <w:r w:rsidR="00B1495F">
        <w:t>f</w:t>
      </w:r>
      <w:r w:rsidR="00203774">
        <w:t xml:space="preserve"> </w:t>
      </w:r>
      <w:r w:rsidR="001C7624">
        <w:t xml:space="preserve">a </w:t>
      </w:r>
      <w:r w:rsidR="00203774">
        <w:t xml:space="preserve">real and personal risk of </w:t>
      </w:r>
      <w:r w:rsidR="001C7624">
        <w:t xml:space="preserve">his </w:t>
      </w:r>
      <w:r w:rsidR="00203774">
        <w:t>being subjected to treatment contrary to the Convention.</w:t>
      </w:r>
    </w:p>
    <w:p w:rsidR="00203774" w:rsidRDefault="00203774" w:rsidP="00337991">
      <w:pPr>
        <w:pStyle w:val="SingleTxtG"/>
      </w:pPr>
      <w:r>
        <w:t>5.5</w:t>
      </w:r>
      <w:r>
        <w:tab/>
        <w:t>The complainant contests the State party’s statement that the Iranian regime focuses only on opponents w</w:t>
      </w:r>
      <w:r w:rsidR="001C7624">
        <w:t>ho have</w:t>
      </w:r>
      <w:r>
        <w:t xml:space="preserve"> a particular profile. He asserts that that there is </w:t>
      </w:r>
      <w:r w:rsidR="00070DA6">
        <w:t>strong</w:t>
      </w:r>
      <w:r>
        <w:t xml:space="preserve"> evidence suggesting that the human rights situation in </w:t>
      </w:r>
      <w:r w:rsidR="00D653C7">
        <w:t xml:space="preserve">the </w:t>
      </w:r>
      <w:r w:rsidR="00D653C7" w:rsidRPr="00120788">
        <w:t xml:space="preserve">Islamic Republic of </w:t>
      </w:r>
      <w:r>
        <w:t xml:space="preserve">Iran is deteriorating </w:t>
      </w:r>
      <w:r w:rsidR="00070DA6">
        <w:t xml:space="preserve">and that </w:t>
      </w:r>
      <w:r>
        <w:t xml:space="preserve">even </w:t>
      </w:r>
      <w:r w:rsidR="00070DA6">
        <w:t>low</w:t>
      </w:r>
      <w:r w:rsidR="001C7624">
        <w:t>-</w:t>
      </w:r>
      <w:r w:rsidR="00070DA6">
        <w:t xml:space="preserve">profile and opportunistic protestors are persecuted. The complainant </w:t>
      </w:r>
      <w:r w:rsidR="00337991">
        <w:t xml:space="preserve">also </w:t>
      </w:r>
      <w:r w:rsidR="00070DA6">
        <w:t xml:space="preserve">asserts that he is an active and visible member of the Swiss branch of the PDKI. He also maintains that a simple </w:t>
      </w:r>
      <w:r w:rsidR="00337991">
        <w:t>G</w:t>
      </w:r>
      <w:r w:rsidR="00070DA6">
        <w:t>oogle search and cross-referencing of websites and photo</w:t>
      </w:r>
      <w:r w:rsidR="00337991">
        <w:t>graph</w:t>
      </w:r>
      <w:r w:rsidR="00070DA6">
        <w:t xml:space="preserve">s could quickly reveal a list of political activists in Switzerland. He </w:t>
      </w:r>
      <w:r w:rsidR="003D0925">
        <w:t>rejects</w:t>
      </w:r>
      <w:r w:rsidR="00070DA6">
        <w:t xml:space="preserve"> the State party’s </w:t>
      </w:r>
      <w:r w:rsidR="00337991">
        <w:t>assertion</w:t>
      </w:r>
      <w:r w:rsidR="003D0925">
        <w:t xml:space="preserve"> that his political activity is aimed primarily at attaining the right to stay in Switzerland</w:t>
      </w:r>
      <w:r w:rsidR="00337991">
        <w:t>; that assertion i</w:t>
      </w:r>
      <w:r w:rsidR="003D0925">
        <w:t xml:space="preserve">s unfounded. </w:t>
      </w:r>
    </w:p>
    <w:p w:rsidR="00DD4FB9" w:rsidRDefault="00DD4FB9" w:rsidP="00337991">
      <w:pPr>
        <w:pStyle w:val="SingleTxtG"/>
      </w:pPr>
      <w:r>
        <w:t>5.6</w:t>
      </w:r>
      <w:r>
        <w:tab/>
        <w:t xml:space="preserve">Regarding his conversion to Christianity, the complainant maintains that many sources confirm </w:t>
      </w:r>
      <w:r w:rsidR="00337991">
        <w:t xml:space="preserve">that there is </w:t>
      </w:r>
      <w:r>
        <w:t xml:space="preserve">a danger of being persecuted, even sentenced to death, for converting or proselytizing. Rejected asylum seekers are thoroughly questioned upon entering </w:t>
      </w:r>
      <w:r w:rsidR="006C3C3F">
        <w:t xml:space="preserve">the </w:t>
      </w:r>
      <w:r w:rsidR="006C3C3F" w:rsidRPr="00120788">
        <w:t>Islamic Republic of</w:t>
      </w:r>
      <w:r w:rsidR="006C3C3F">
        <w:t xml:space="preserve"> </w:t>
      </w:r>
      <w:r>
        <w:t xml:space="preserve">Iran. It is therefore likely that the authorities would find out about the complainant’s conversion. It is also </w:t>
      </w:r>
      <w:r w:rsidR="00337991">
        <w:t>u</w:t>
      </w:r>
      <w:r>
        <w:t>nacceptable to expect that the complainant should refrain from practi</w:t>
      </w:r>
      <w:r w:rsidR="00B1495F">
        <w:t>s</w:t>
      </w:r>
      <w:r>
        <w:t xml:space="preserve">ing </w:t>
      </w:r>
      <w:r w:rsidR="00B1495F">
        <w:t xml:space="preserve">his religion </w:t>
      </w:r>
      <w:r>
        <w:t xml:space="preserve">in a visible manner. Even if he were to try </w:t>
      </w:r>
      <w:r w:rsidR="00337991">
        <w:t>to</w:t>
      </w:r>
      <w:r>
        <w:t xml:space="preserve"> conceal his conversion, it is inevitable that </w:t>
      </w:r>
      <w:r w:rsidR="00337991">
        <w:t>in</w:t>
      </w:r>
      <w:r>
        <w:t xml:space="preserve"> time</w:t>
      </w:r>
      <w:r w:rsidR="00337991">
        <w:t>,</w:t>
      </w:r>
      <w:r>
        <w:t xml:space="preserve"> his new faith w</w:t>
      </w:r>
      <w:r w:rsidR="00337991">
        <w:t>ould</w:t>
      </w:r>
      <w:r>
        <w:t xml:space="preserve"> be discovered.</w:t>
      </w:r>
    </w:p>
    <w:p w:rsidR="007C6684" w:rsidRDefault="007C6684" w:rsidP="00BE3095">
      <w:pPr>
        <w:pStyle w:val="SingleTxtG"/>
      </w:pPr>
      <w:r>
        <w:t>5.7</w:t>
      </w:r>
      <w:r>
        <w:tab/>
        <w:t xml:space="preserve">With respect to the State party’s statement that </w:t>
      </w:r>
      <w:r w:rsidR="00B1495F">
        <w:t>he</w:t>
      </w:r>
      <w:r>
        <w:t xml:space="preserve"> did not mention his stay</w:t>
      </w:r>
      <w:r w:rsidR="006C3C3F">
        <w:t>s</w:t>
      </w:r>
      <w:r>
        <w:t xml:space="preserve"> in Greece and </w:t>
      </w:r>
      <w:r w:rsidR="00B1495F">
        <w:t>Germany</w:t>
      </w:r>
      <w:r w:rsidR="00BE3095">
        <w:t>,</w:t>
      </w:r>
      <w:r w:rsidR="00433E49">
        <w:t xml:space="preserve"> </w:t>
      </w:r>
      <w:r w:rsidR="00B1495F">
        <w:t>the complainant</w:t>
      </w:r>
      <w:r w:rsidR="00433E49">
        <w:t xml:space="preserve"> </w:t>
      </w:r>
      <w:r w:rsidR="00B1495F">
        <w:t>clarifies</w:t>
      </w:r>
      <w:r w:rsidR="00433E49">
        <w:t xml:space="preserve"> that </w:t>
      </w:r>
      <w:r w:rsidR="00BE3095">
        <w:t>he had not made reference to them because of the significant</w:t>
      </w:r>
      <w:r w:rsidR="00433E49">
        <w:t xml:space="preserve"> human rights violations </w:t>
      </w:r>
      <w:r w:rsidR="00BE3095">
        <w:t xml:space="preserve">that take place </w:t>
      </w:r>
      <w:r w:rsidR="00433E49">
        <w:t>in Greece regarding asylum seekers</w:t>
      </w:r>
      <w:r w:rsidR="006C78DD">
        <w:t>.</w:t>
      </w:r>
      <w:r w:rsidR="00433E49">
        <w:t xml:space="preserve"> In a letter to the </w:t>
      </w:r>
      <w:r w:rsidR="003D5392" w:rsidRPr="00120788">
        <w:t>Federal Office for Migration</w:t>
      </w:r>
      <w:r w:rsidR="00271958">
        <w:t xml:space="preserve"> dated 11 November 2009</w:t>
      </w:r>
      <w:r w:rsidR="00433E49">
        <w:t>, he explained th</w:t>
      </w:r>
      <w:r w:rsidR="00BE3095">
        <w:t>o</w:t>
      </w:r>
      <w:r w:rsidR="00433E49">
        <w:t>se circumstances in detail.</w:t>
      </w:r>
    </w:p>
    <w:p w:rsidR="00387FA7" w:rsidRDefault="004B30A1" w:rsidP="004B30A1">
      <w:pPr>
        <w:pStyle w:val="H23G"/>
      </w:pPr>
      <w:r>
        <w:tab/>
      </w:r>
      <w:r>
        <w:tab/>
      </w:r>
      <w:r w:rsidR="00387FA7" w:rsidRPr="00387FA7">
        <w:t>Complainant’s further submission</w:t>
      </w:r>
    </w:p>
    <w:p w:rsidR="00387FA7" w:rsidRDefault="00387FA7" w:rsidP="00BE3095">
      <w:pPr>
        <w:pStyle w:val="SingleTxtG"/>
      </w:pPr>
      <w:r>
        <w:t>6</w:t>
      </w:r>
      <w:r w:rsidR="00AF317C">
        <w:t>.</w:t>
      </w:r>
      <w:r w:rsidR="00AF317C">
        <w:tab/>
      </w:r>
      <w:r>
        <w:t xml:space="preserve">In </w:t>
      </w:r>
      <w:r w:rsidR="00BE3095">
        <w:t>a</w:t>
      </w:r>
      <w:r>
        <w:t xml:space="preserve"> </w:t>
      </w:r>
      <w:r w:rsidR="00B1495F">
        <w:t xml:space="preserve">further </w:t>
      </w:r>
      <w:r>
        <w:t>submission of 7 November 2013, the complainant provide</w:t>
      </w:r>
      <w:r w:rsidR="00BE3095">
        <w:t>d</w:t>
      </w:r>
      <w:r>
        <w:t xml:space="preserve"> </w:t>
      </w:r>
      <w:r w:rsidR="00BE3095">
        <w:t>additional</w:t>
      </w:r>
      <w:r>
        <w:t xml:space="preserve"> evidence concerning his political</w:t>
      </w:r>
      <w:r w:rsidR="00FD3D8C">
        <w:rPr>
          <w:rStyle w:val="FootnoteReference"/>
        </w:rPr>
        <w:footnoteReference w:id="13"/>
      </w:r>
      <w:r>
        <w:t xml:space="preserve"> and religious</w:t>
      </w:r>
      <w:r w:rsidR="00FD3D8C">
        <w:rPr>
          <w:rStyle w:val="FootnoteReference"/>
        </w:rPr>
        <w:footnoteReference w:id="14"/>
      </w:r>
      <w:r w:rsidR="004B30A1">
        <w:t xml:space="preserve"> </w:t>
      </w:r>
      <w:r>
        <w:t>activity in Switzerland</w:t>
      </w:r>
      <w:r w:rsidR="00BE3095">
        <w:t>.</w:t>
      </w:r>
      <w:r>
        <w:t xml:space="preserve"> </w:t>
      </w:r>
      <w:r w:rsidR="00BE3095">
        <w:t>He</w:t>
      </w:r>
      <w:r>
        <w:t xml:space="preserve"> maintains that th</w:t>
      </w:r>
      <w:r w:rsidR="00BE3095">
        <w:t>e</w:t>
      </w:r>
      <w:r>
        <w:t xml:space="preserve"> additional evidence further corroborates </w:t>
      </w:r>
      <w:r w:rsidR="00BE3095">
        <w:t xml:space="preserve">the fact </w:t>
      </w:r>
      <w:r>
        <w:t xml:space="preserve">that he would face a risk of torture if returned to </w:t>
      </w:r>
      <w:r w:rsidR="006C3C3F">
        <w:t xml:space="preserve">the </w:t>
      </w:r>
      <w:r w:rsidR="006C3C3F" w:rsidRPr="00120788">
        <w:t>Islamic Republic of</w:t>
      </w:r>
      <w:r w:rsidR="006C3C3F">
        <w:t xml:space="preserve"> </w:t>
      </w:r>
      <w:r>
        <w:t>Iran.</w:t>
      </w:r>
    </w:p>
    <w:p w:rsidR="00D036B5" w:rsidRPr="004A3664" w:rsidRDefault="0062795C" w:rsidP="0062795C">
      <w:pPr>
        <w:pStyle w:val="H23G"/>
      </w:pPr>
      <w:r>
        <w:tab/>
      </w:r>
      <w:r>
        <w:tab/>
      </w:r>
      <w:r w:rsidR="00D036B5" w:rsidRPr="004A3664">
        <w:t>Issues and proceedings before the Committee</w:t>
      </w:r>
    </w:p>
    <w:p w:rsidR="00D036B5" w:rsidRPr="007F05ED" w:rsidRDefault="00D036B5" w:rsidP="00D036B5">
      <w:pPr>
        <w:pStyle w:val="H4G"/>
      </w:pPr>
      <w:r w:rsidRPr="007F05ED">
        <w:tab/>
      </w:r>
      <w:r w:rsidRPr="007F05ED">
        <w:tab/>
        <w:t>Consideration of admissibility</w:t>
      </w:r>
    </w:p>
    <w:p w:rsidR="00D036B5" w:rsidRPr="007F05ED" w:rsidRDefault="00BF0599" w:rsidP="00E10A50">
      <w:pPr>
        <w:pStyle w:val="SingleTxtG"/>
      </w:pPr>
      <w:r>
        <w:t>7</w:t>
      </w:r>
      <w:r w:rsidR="00D036B5" w:rsidRPr="007F05ED">
        <w:t>.1</w:t>
      </w:r>
      <w:r w:rsidR="00D036B5">
        <w:tab/>
      </w:r>
      <w:r w:rsidR="00E9580A">
        <w:t>Before considering any claim contained in a com</w:t>
      </w:r>
      <w:r w:rsidR="00E10A50">
        <w:t>munication</w:t>
      </w:r>
      <w:r w:rsidR="00E9580A">
        <w:t xml:space="preserve">, the Committee against Torture must decide whether it is admissible under </w:t>
      </w:r>
      <w:r w:rsidR="00A3595D">
        <w:t>article </w:t>
      </w:r>
      <w:r w:rsidR="00E9580A">
        <w:t xml:space="preserve">22 of the Convention. </w:t>
      </w:r>
      <w:r w:rsidR="00D036B5" w:rsidRPr="007F05ED">
        <w:t xml:space="preserve">The </w:t>
      </w:r>
      <w:r w:rsidR="00D036B5" w:rsidRPr="007F05ED">
        <w:lastRenderedPageBreak/>
        <w:t xml:space="preserve">Committee has ascertained, as required under </w:t>
      </w:r>
      <w:r w:rsidR="00A3595D">
        <w:t>article </w:t>
      </w:r>
      <w:r w:rsidR="004B30A1">
        <w:t>22, paragraph </w:t>
      </w:r>
      <w:r w:rsidR="00D036B5" w:rsidRPr="007F05ED">
        <w:t>5 (a), of the Convention, that the same matter has not been</w:t>
      </w:r>
      <w:r w:rsidR="00E10A50">
        <w:t>,</w:t>
      </w:r>
      <w:r w:rsidR="00D036B5" w:rsidRPr="007F05ED">
        <w:t xml:space="preserve"> and is not being examined under another procedure of international investigation or settlement.</w:t>
      </w:r>
    </w:p>
    <w:p w:rsidR="00D036B5" w:rsidRPr="007F05ED" w:rsidRDefault="00BF0599" w:rsidP="00D036B5">
      <w:pPr>
        <w:pStyle w:val="SingleTxtG"/>
      </w:pPr>
      <w:r>
        <w:t>7</w:t>
      </w:r>
      <w:r w:rsidR="00D036B5">
        <w:t>.2</w:t>
      </w:r>
      <w:r w:rsidR="00D036B5">
        <w:tab/>
      </w:r>
      <w:r w:rsidR="00D036B5" w:rsidRPr="007F05ED">
        <w:t>The Committee</w:t>
      </w:r>
      <w:r w:rsidR="00382852">
        <w:t xml:space="preserve"> notes that the State party has not challenged the admissibility of the complaint and</w:t>
      </w:r>
      <w:r w:rsidR="00D036B5" w:rsidRPr="007F05ED">
        <w:t xml:space="preserve"> thus proceeds to its consideration </w:t>
      </w:r>
      <w:r w:rsidR="00D036B5">
        <w:t>on</w:t>
      </w:r>
      <w:r w:rsidR="00D036B5" w:rsidRPr="007F05ED">
        <w:t xml:space="preserve"> the merits.</w:t>
      </w:r>
    </w:p>
    <w:p w:rsidR="00D036B5" w:rsidRPr="007F05ED" w:rsidRDefault="00D036B5" w:rsidP="00143F45">
      <w:pPr>
        <w:pStyle w:val="H4G"/>
      </w:pPr>
      <w:r w:rsidRPr="007F05ED">
        <w:tab/>
      </w:r>
      <w:r w:rsidRPr="007F05ED">
        <w:tab/>
        <w:t>Consideration of the merits</w:t>
      </w:r>
    </w:p>
    <w:p w:rsidR="00D036B5" w:rsidRPr="007F05ED" w:rsidRDefault="00BF0599" w:rsidP="00D036B5">
      <w:pPr>
        <w:pStyle w:val="SingleTxtG"/>
      </w:pPr>
      <w:r>
        <w:t>8</w:t>
      </w:r>
      <w:r w:rsidR="00AE663B">
        <w:t>.1</w:t>
      </w:r>
      <w:r w:rsidR="00AE663B">
        <w:tab/>
      </w:r>
      <w:r w:rsidR="00D036B5" w:rsidRPr="007F05ED">
        <w:t xml:space="preserve">The Committee has considered the </w:t>
      </w:r>
      <w:r w:rsidR="00D036B5">
        <w:t>complaint</w:t>
      </w:r>
      <w:r w:rsidR="00D036B5" w:rsidRPr="007F05ED">
        <w:t xml:space="preserve"> in the light of all </w:t>
      </w:r>
      <w:r w:rsidR="00D036B5">
        <w:t xml:space="preserve">the </w:t>
      </w:r>
      <w:r w:rsidR="00D036B5" w:rsidRPr="007F05ED">
        <w:t xml:space="preserve">information made available to it by the parties, in accordance with </w:t>
      </w:r>
      <w:r w:rsidR="00A3595D">
        <w:t>article </w:t>
      </w:r>
      <w:r w:rsidR="004B30A1">
        <w:t>22, paragraph </w:t>
      </w:r>
      <w:r w:rsidR="00D036B5" w:rsidRPr="007F05ED">
        <w:t xml:space="preserve">4, of the Convention. </w:t>
      </w:r>
    </w:p>
    <w:p w:rsidR="00A26D85" w:rsidRDefault="00BF0599" w:rsidP="00A26D85">
      <w:pPr>
        <w:spacing w:after="120"/>
        <w:ind w:left="1134" w:right="1134"/>
        <w:jc w:val="both"/>
        <w:rPr>
          <w:bCs/>
          <w:lang w:val="en-US"/>
        </w:rPr>
      </w:pPr>
      <w:r>
        <w:t>8</w:t>
      </w:r>
      <w:r w:rsidR="00D036B5">
        <w:t>.2</w:t>
      </w:r>
      <w:r w:rsidR="00D036B5">
        <w:tab/>
      </w:r>
      <w:r w:rsidR="00A26D85" w:rsidRPr="00DE74D4">
        <w:rPr>
          <w:bCs/>
          <w:lang w:val="en-US"/>
        </w:rPr>
        <w:t xml:space="preserve">The issue before the Committee is whether the removal of the complainant to </w:t>
      </w:r>
      <w:r w:rsidR="00D653C7">
        <w:t xml:space="preserve">the </w:t>
      </w:r>
      <w:r w:rsidR="00D653C7" w:rsidRPr="00120788">
        <w:t xml:space="preserve">Islamic Republic of </w:t>
      </w:r>
      <w:r w:rsidR="00A26D85" w:rsidRPr="00DE74D4">
        <w:rPr>
          <w:bCs/>
          <w:lang w:val="en-US"/>
        </w:rPr>
        <w:t xml:space="preserve">Iran would violate the State party’s obligation under </w:t>
      </w:r>
      <w:r w:rsidR="00A3595D">
        <w:rPr>
          <w:bCs/>
          <w:lang w:val="en-US"/>
        </w:rPr>
        <w:t>article </w:t>
      </w:r>
      <w:r w:rsidR="00A26D85" w:rsidRPr="00DE74D4">
        <w:rPr>
          <w:bCs/>
          <w:lang w:val="en-US"/>
        </w:rPr>
        <w:t xml:space="preserve">3 of the Convention not to expel or to return a person to another State where there are substantial grounds for </w:t>
      </w:r>
      <w:r w:rsidR="00A26D85" w:rsidRPr="00DE74D4">
        <w:rPr>
          <w:bCs/>
        </w:rPr>
        <w:t>believing</w:t>
      </w:r>
      <w:r w:rsidR="00A26D85" w:rsidRPr="00DE74D4">
        <w:rPr>
          <w:bCs/>
          <w:lang w:val="en-US"/>
        </w:rPr>
        <w:t xml:space="preserve"> that he or she would be in danger of being subjected to torture. </w:t>
      </w:r>
    </w:p>
    <w:p w:rsidR="00A26D85" w:rsidRPr="00DE74D4" w:rsidRDefault="00BF0599" w:rsidP="0005356D">
      <w:pPr>
        <w:spacing w:after="120"/>
        <w:ind w:left="1134" w:right="1134"/>
        <w:jc w:val="both"/>
        <w:rPr>
          <w:bCs/>
          <w:lang w:val="en-US"/>
        </w:rPr>
      </w:pPr>
      <w:r>
        <w:rPr>
          <w:bCs/>
          <w:lang w:val="en-US"/>
        </w:rPr>
        <w:t>8</w:t>
      </w:r>
      <w:r w:rsidR="00A26D85">
        <w:rPr>
          <w:bCs/>
          <w:lang w:val="en-US"/>
        </w:rPr>
        <w:t>.3</w:t>
      </w:r>
      <w:r w:rsidR="00A26D85">
        <w:rPr>
          <w:bCs/>
          <w:lang w:val="en-US"/>
        </w:rPr>
        <w:tab/>
      </w:r>
      <w:r w:rsidR="00A26D85" w:rsidRPr="00DE74D4">
        <w:rPr>
          <w:bCs/>
          <w:lang w:val="en-US"/>
        </w:rPr>
        <w:t xml:space="preserve">The Committee must evaluate whether there are substantial grounds for believing that the complainant would be personally in danger of being subjected to torture upon return to </w:t>
      </w:r>
      <w:r w:rsidR="006C3C3F">
        <w:rPr>
          <w:bCs/>
          <w:lang w:val="en-US"/>
        </w:rPr>
        <w:t xml:space="preserve"> </w:t>
      </w:r>
      <w:r w:rsidR="006C3C3F">
        <w:t xml:space="preserve">the </w:t>
      </w:r>
      <w:r w:rsidR="006C3C3F" w:rsidRPr="00120788">
        <w:t>Islamic Republic of</w:t>
      </w:r>
      <w:r w:rsidR="006C3C3F">
        <w:t xml:space="preserve"> </w:t>
      </w:r>
      <w:r w:rsidR="00A26D85" w:rsidRPr="00DE74D4">
        <w:rPr>
          <w:bCs/>
          <w:lang w:val="en-US"/>
        </w:rPr>
        <w:t>Iran. In assessing th</w:t>
      </w:r>
      <w:r w:rsidR="0005356D">
        <w:rPr>
          <w:bCs/>
          <w:lang w:val="en-US"/>
        </w:rPr>
        <w:t>at</w:t>
      </w:r>
      <w:r w:rsidR="00A26D85" w:rsidRPr="00DE74D4">
        <w:rPr>
          <w:bCs/>
          <w:lang w:val="en-US"/>
        </w:rPr>
        <w:t xml:space="preserve"> risk, the Committee must take into account all relevant considerations, pursuant to </w:t>
      </w:r>
      <w:r w:rsidR="00A3595D">
        <w:rPr>
          <w:bCs/>
          <w:lang w:val="en-US"/>
        </w:rPr>
        <w:t>article </w:t>
      </w:r>
      <w:r w:rsidR="004B30A1">
        <w:rPr>
          <w:bCs/>
          <w:lang w:val="en-US"/>
        </w:rPr>
        <w:t>3, paragraph </w:t>
      </w:r>
      <w:r w:rsidR="00A26D85" w:rsidRPr="00DE74D4">
        <w:rPr>
          <w:bCs/>
          <w:lang w:val="en-US"/>
        </w:rPr>
        <w:t xml:space="preserve">2, of the Convention, including the existence of a consistent pattern of gross, flagrant or mass violations of human rights. However, the Committee recalls that the aim of </w:t>
      </w:r>
      <w:r w:rsidR="0005356D">
        <w:rPr>
          <w:bCs/>
          <w:lang w:val="en-US"/>
        </w:rPr>
        <w:t>the</w:t>
      </w:r>
      <w:r w:rsidR="00A26D85" w:rsidRPr="00DE74D4">
        <w:rPr>
          <w:bCs/>
          <w:lang w:val="en-US"/>
        </w:rPr>
        <w:t xml:space="preserve"> determination is to establish whether the individual concerned would be personally at a foreseeable and real risk of being subjected to torture in the country to which he or she would </w:t>
      </w:r>
      <w:r w:rsidR="00A26D85">
        <w:rPr>
          <w:bCs/>
          <w:lang w:val="en-US"/>
        </w:rPr>
        <w:t xml:space="preserve">be </w:t>
      </w:r>
      <w:r w:rsidR="00A26D85" w:rsidRPr="00DE74D4">
        <w:rPr>
          <w:bCs/>
          <w:lang w:val="en-US"/>
        </w:rPr>
        <w:t>return</w:t>
      </w:r>
      <w:r w:rsidR="00A26D85">
        <w:rPr>
          <w:bCs/>
          <w:lang w:val="en-US"/>
        </w:rPr>
        <w:t>ed</w:t>
      </w:r>
      <w:r w:rsidR="00A26D85" w:rsidRPr="00DE74D4">
        <w:rPr>
          <w:bCs/>
          <w:lang w:val="en-US"/>
        </w:rPr>
        <w:t>.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w:t>
      </w:r>
      <w:r w:rsidR="006C78DD">
        <w:rPr>
          <w:bCs/>
          <w:lang w:val="en-US"/>
        </w:rPr>
        <w:t>.</w:t>
      </w:r>
      <w:r w:rsidR="00FF61B4">
        <w:rPr>
          <w:rStyle w:val="FootnoteReference"/>
          <w:bCs/>
          <w:lang w:val="en-US"/>
        </w:rPr>
        <w:footnoteReference w:id="15"/>
      </w:r>
      <w:r w:rsidR="00271958" w:rsidRPr="00271958">
        <w:t xml:space="preserve"> </w:t>
      </w:r>
      <w:r w:rsidR="00271958" w:rsidRPr="0025664E">
        <w:t xml:space="preserve">Conversely, the absence of a consistent pattern of flagrant violations of human rights does not mean </w:t>
      </w:r>
      <w:r w:rsidR="00271958">
        <w:t>that</w:t>
      </w:r>
      <w:r w:rsidR="00271958" w:rsidRPr="0025664E">
        <w:t xml:space="preserve"> a person might not be subjected to torture in his or her specific circumstances.</w:t>
      </w:r>
      <w:r w:rsidR="006921A1">
        <w:rPr>
          <w:sz w:val="18"/>
        </w:rPr>
        <w:t xml:space="preserve"> </w:t>
      </w:r>
    </w:p>
    <w:p w:rsidR="00476B49" w:rsidRDefault="00BF0599" w:rsidP="005C3D03">
      <w:pPr>
        <w:pStyle w:val="SingleTxtG"/>
        <w:rPr>
          <w:bCs/>
          <w:lang w:val="en-US"/>
        </w:rPr>
      </w:pPr>
      <w:r>
        <w:rPr>
          <w:lang w:val="en-US"/>
        </w:rPr>
        <w:t>8</w:t>
      </w:r>
      <w:r w:rsidR="00A26D85">
        <w:rPr>
          <w:lang w:val="en-US"/>
        </w:rPr>
        <w:t>.4</w:t>
      </w:r>
      <w:r w:rsidR="00A26D85">
        <w:rPr>
          <w:lang w:val="en-US"/>
        </w:rPr>
        <w:tab/>
      </w:r>
      <w:r w:rsidR="00A66C2B" w:rsidRPr="00590A27">
        <w:t>The Committee recalls its general comment</w:t>
      </w:r>
      <w:r w:rsidR="00A3595D">
        <w:t xml:space="preserve"> No. </w:t>
      </w:r>
      <w:r w:rsidR="00A66C2B" w:rsidRPr="00590A27">
        <w:t>1</w:t>
      </w:r>
      <w:r w:rsidR="0005356D">
        <w:t xml:space="preserve"> (1997) on the implementation of article 3 of the Convention in the context of article 22 (refoulement and communications)</w:t>
      </w:r>
      <w:r w:rsidR="00A66C2B" w:rsidRPr="00590A27">
        <w:t>, according to which the risk of torture must be assessed on grounds that go beyond mere theory or suspicion. While the risk does not have to meet the test of being “highly probable”, the Committee notes that the burden of proof generally falls on the complainant, who must present an arguable case that he or she faces a “foreseeable, real and personal” risk.</w:t>
      </w:r>
      <w:r w:rsidR="00910A53">
        <w:rPr>
          <w:rStyle w:val="FootnoteReference"/>
        </w:rPr>
        <w:footnoteReference w:id="16"/>
      </w:r>
      <w:r w:rsidR="00A66C2B" w:rsidRPr="00590A27">
        <w:t xml:space="preserve"> </w:t>
      </w:r>
      <w:r w:rsidR="00A66C2B" w:rsidRPr="005420B0">
        <w:t xml:space="preserve">The Committee </w:t>
      </w:r>
      <w:r w:rsidR="005420B0">
        <w:t>also</w:t>
      </w:r>
      <w:r w:rsidR="00A66C2B" w:rsidRPr="005420B0">
        <w:t xml:space="preserve"> recalls that</w:t>
      </w:r>
      <w:r w:rsidR="00FD1B93">
        <w:t>,</w:t>
      </w:r>
      <w:r w:rsidR="00A66C2B" w:rsidRPr="00590A27">
        <w:t xml:space="preserve"> in accordance with its general comment</w:t>
      </w:r>
      <w:r w:rsidR="00A3595D">
        <w:t xml:space="preserve"> No. </w:t>
      </w:r>
      <w:r w:rsidR="00A66C2B" w:rsidRPr="00590A27">
        <w:t>1, it gives considerable weight to findings of fact</w:t>
      </w:r>
      <w:r w:rsidR="005C3D03">
        <w:t>s</w:t>
      </w:r>
      <w:r w:rsidR="00A66C2B" w:rsidRPr="00590A27">
        <w:t xml:space="preserve"> that are made by organs of the State party concerned</w:t>
      </w:r>
      <w:r w:rsidR="005C3D03">
        <w:t>.</w:t>
      </w:r>
      <w:r w:rsidR="00910A53">
        <w:rPr>
          <w:rStyle w:val="FootnoteReference"/>
        </w:rPr>
        <w:footnoteReference w:id="17"/>
      </w:r>
      <w:r w:rsidR="00A66C2B" w:rsidRPr="00590A27">
        <w:t xml:space="preserve"> </w:t>
      </w:r>
      <w:r w:rsidR="005C3D03">
        <w:t>I</w:t>
      </w:r>
      <w:r w:rsidR="00A66C2B" w:rsidRPr="00590A27">
        <w:t>t is not</w:t>
      </w:r>
      <w:r w:rsidR="005C3D03">
        <w:t>, however,</w:t>
      </w:r>
      <w:r w:rsidR="00A66C2B" w:rsidRPr="00590A27">
        <w:t xml:space="preserve"> bound by such findings and has the power, </w:t>
      </w:r>
      <w:r w:rsidR="005C3D03">
        <w:t>under</w:t>
      </w:r>
      <w:r w:rsidR="00A66C2B" w:rsidRPr="00590A27">
        <w:t xml:space="preserve"> </w:t>
      </w:r>
      <w:r w:rsidR="00A3595D">
        <w:t>article </w:t>
      </w:r>
      <w:r w:rsidR="004B30A1">
        <w:t>22, paragraph </w:t>
      </w:r>
      <w:r w:rsidR="00A66C2B" w:rsidRPr="00590A27">
        <w:t>4, of the Convention, of free assessment of the facts based upon the full set of circumstances in every case.</w:t>
      </w:r>
    </w:p>
    <w:p w:rsidR="00325B86" w:rsidRDefault="00BF0599" w:rsidP="00D51CF1">
      <w:pPr>
        <w:pStyle w:val="SingleTxtG"/>
        <w:rPr>
          <w:bCs/>
          <w:lang w:val="en-US"/>
        </w:rPr>
      </w:pPr>
      <w:r>
        <w:rPr>
          <w:bCs/>
          <w:lang w:val="en-US"/>
        </w:rPr>
        <w:lastRenderedPageBreak/>
        <w:t>8</w:t>
      </w:r>
      <w:r w:rsidR="00E9580A">
        <w:rPr>
          <w:bCs/>
          <w:lang w:val="en-US"/>
        </w:rPr>
        <w:t>.5</w:t>
      </w:r>
      <w:r w:rsidR="00E9580A">
        <w:rPr>
          <w:bCs/>
          <w:lang w:val="en-US"/>
        </w:rPr>
        <w:tab/>
        <w:t>Referring to its recent jurisprudence</w:t>
      </w:r>
      <w:r w:rsidR="003B4EE0">
        <w:rPr>
          <w:bCs/>
          <w:lang w:val="en-US"/>
        </w:rPr>
        <w:t>,</w:t>
      </w:r>
      <w:r w:rsidR="00910A53">
        <w:rPr>
          <w:rStyle w:val="FootnoteReference"/>
          <w:bCs/>
          <w:lang w:val="en-US"/>
        </w:rPr>
        <w:footnoteReference w:id="18"/>
      </w:r>
      <w:r w:rsidR="00E9580A">
        <w:rPr>
          <w:bCs/>
          <w:lang w:val="en-US"/>
        </w:rPr>
        <w:t xml:space="preserve"> the Committee recalls that </w:t>
      </w:r>
      <w:r w:rsidR="00E45A21" w:rsidRPr="00E45A21">
        <w:rPr>
          <w:bCs/>
          <w:lang w:val="en-US"/>
        </w:rPr>
        <w:t xml:space="preserve">there are reports </w:t>
      </w:r>
      <w:r w:rsidR="00205DE9">
        <w:rPr>
          <w:bCs/>
          <w:lang w:val="en-US"/>
        </w:rPr>
        <w:t xml:space="preserve">that </w:t>
      </w:r>
      <w:r w:rsidR="00E45A21" w:rsidRPr="00E45A21">
        <w:rPr>
          <w:bCs/>
          <w:lang w:val="en-US"/>
        </w:rPr>
        <w:t xml:space="preserve">psychological and physical torture </w:t>
      </w:r>
      <w:r w:rsidR="00205DE9">
        <w:rPr>
          <w:bCs/>
          <w:lang w:val="en-US"/>
        </w:rPr>
        <w:t xml:space="preserve">are used </w:t>
      </w:r>
      <w:r w:rsidR="00E45A21" w:rsidRPr="00E45A21">
        <w:rPr>
          <w:bCs/>
          <w:lang w:val="en-US"/>
        </w:rPr>
        <w:t>to solicit confessions in Iran, indicat</w:t>
      </w:r>
      <w:r w:rsidR="002F27C8">
        <w:rPr>
          <w:bCs/>
          <w:lang w:val="en-US"/>
        </w:rPr>
        <w:t>ing</w:t>
      </w:r>
      <w:r w:rsidR="00E45A21" w:rsidRPr="00E45A21">
        <w:rPr>
          <w:bCs/>
          <w:lang w:val="en-US"/>
        </w:rPr>
        <w:t xml:space="preserve"> the widespread and systematic use of such practices</w:t>
      </w:r>
      <w:r w:rsidR="002F27C8">
        <w:rPr>
          <w:bCs/>
          <w:lang w:val="en-US"/>
        </w:rPr>
        <w:t>,</w:t>
      </w:r>
      <w:r w:rsidR="00E45A21">
        <w:rPr>
          <w:rStyle w:val="FootnoteReference"/>
          <w:bCs/>
          <w:lang w:val="en-US"/>
        </w:rPr>
        <w:footnoteReference w:id="19"/>
      </w:r>
      <w:r w:rsidR="006921A1">
        <w:rPr>
          <w:bCs/>
          <w:lang w:val="en-US"/>
        </w:rPr>
        <w:t xml:space="preserve"> </w:t>
      </w:r>
      <w:r w:rsidR="00E45A21" w:rsidRPr="00E45A21">
        <w:rPr>
          <w:bCs/>
          <w:lang w:val="en-US"/>
        </w:rPr>
        <w:t xml:space="preserve">and </w:t>
      </w:r>
      <w:r w:rsidR="00E9580A">
        <w:rPr>
          <w:bCs/>
          <w:lang w:val="en-US"/>
        </w:rPr>
        <w:t>ongoing reports of incidents of detention and torture of political opponents</w:t>
      </w:r>
      <w:r w:rsidR="006C78DD">
        <w:rPr>
          <w:bCs/>
          <w:lang w:val="en-US"/>
        </w:rPr>
        <w:t>.</w:t>
      </w:r>
      <w:r w:rsidR="00910A53">
        <w:rPr>
          <w:rStyle w:val="FootnoteReference"/>
          <w:bCs/>
          <w:lang w:val="en-US"/>
        </w:rPr>
        <w:footnoteReference w:id="20"/>
      </w:r>
      <w:r w:rsidR="002A0E65">
        <w:rPr>
          <w:bCs/>
          <w:lang w:val="en-US"/>
        </w:rPr>
        <w:t xml:space="preserve"> </w:t>
      </w:r>
      <w:r w:rsidR="002A0E65" w:rsidRPr="004F5D11">
        <w:rPr>
          <w:bCs/>
          <w:lang w:val="en-US"/>
        </w:rPr>
        <w:t>The Committee also notes the recent escalating trend of arrest and sentencing of individuals</w:t>
      </w:r>
      <w:r w:rsidR="00BA520A">
        <w:rPr>
          <w:bCs/>
          <w:lang w:val="en-US"/>
        </w:rPr>
        <w:t xml:space="preserve"> who</w:t>
      </w:r>
      <w:r w:rsidR="002A0E65" w:rsidRPr="004F5D11">
        <w:rPr>
          <w:bCs/>
          <w:lang w:val="en-US"/>
        </w:rPr>
        <w:t xml:space="preserve"> exercis</w:t>
      </w:r>
      <w:r w:rsidR="00BA520A">
        <w:rPr>
          <w:bCs/>
          <w:lang w:val="en-US"/>
        </w:rPr>
        <w:t>e</w:t>
      </w:r>
      <w:r w:rsidR="002A0E65" w:rsidRPr="004F5D11">
        <w:rPr>
          <w:bCs/>
          <w:lang w:val="en-US"/>
        </w:rPr>
        <w:t xml:space="preserve"> their rights</w:t>
      </w:r>
      <w:r w:rsidR="002A0E65">
        <w:rPr>
          <w:bCs/>
          <w:lang w:val="en-US"/>
        </w:rPr>
        <w:t xml:space="preserve"> to freedom of expression and opinion, peaceful assembly and association</w:t>
      </w:r>
      <w:r w:rsidR="006C78DD">
        <w:rPr>
          <w:bCs/>
          <w:lang w:val="en-US"/>
        </w:rPr>
        <w:t>.</w:t>
      </w:r>
      <w:r w:rsidR="00D72325">
        <w:rPr>
          <w:rStyle w:val="FootnoteReference"/>
          <w:bCs/>
          <w:lang w:val="en-US"/>
        </w:rPr>
        <w:footnoteReference w:id="21"/>
      </w:r>
      <w:r w:rsidR="006C78DD">
        <w:rPr>
          <w:bCs/>
          <w:lang w:val="en-US"/>
        </w:rPr>
        <w:t xml:space="preserve"> </w:t>
      </w:r>
      <w:r w:rsidR="00B359F9">
        <w:rPr>
          <w:bCs/>
          <w:lang w:val="en-US"/>
        </w:rPr>
        <w:t xml:space="preserve">The Committee considers that all the more alarming in the light of the fact that </w:t>
      </w:r>
      <w:r w:rsidR="00D653C7">
        <w:t xml:space="preserve">the </w:t>
      </w:r>
      <w:r w:rsidR="00D653C7" w:rsidRPr="00120788">
        <w:t xml:space="preserve">Islamic Republic of </w:t>
      </w:r>
      <w:r w:rsidR="00B359F9">
        <w:rPr>
          <w:bCs/>
          <w:lang w:val="en-US"/>
        </w:rPr>
        <w:t xml:space="preserve">Iran frequently administers the death penalty and </w:t>
      </w:r>
      <w:r w:rsidR="00325B86">
        <w:rPr>
          <w:bCs/>
          <w:lang w:val="en-US"/>
        </w:rPr>
        <w:t>applies</w:t>
      </w:r>
      <w:r w:rsidR="00B359F9">
        <w:rPr>
          <w:bCs/>
          <w:lang w:val="en-US"/>
        </w:rPr>
        <w:t xml:space="preserve"> it without due process and in cases involving </w:t>
      </w:r>
      <w:r w:rsidR="00BA520A">
        <w:rPr>
          <w:bCs/>
          <w:lang w:val="en-US"/>
        </w:rPr>
        <w:t>some</w:t>
      </w:r>
      <w:r w:rsidR="00B359F9">
        <w:rPr>
          <w:bCs/>
          <w:lang w:val="en-US"/>
        </w:rPr>
        <w:t xml:space="preserve"> crimes </w:t>
      </w:r>
      <w:r w:rsidR="00BA520A">
        <w:rPr>
          <w:bCs/>
          <w:lang w:val="en-US"/>
        </w:rPr>
        <w:t xml:space="preserve">that do </w:t>
      </w:r>
      <w:r w:rsidR="00B359F9">
        <w:rPr>
          <w:bCs/>
          <w:lang w:val="en-US"/>
        </w:rPr>
        <w:t xml:space="preserve">not meet international </w:t>
      </w:r>
      <w:r w:rsidR="00325B86">
        <w:rPr>
          <w:bCs/>
          <w:lang w:val="en-US"/>
        </w:rPr>
        <w:t>standards</w:t>
      </w:r>
      <w:r w:rsidR="00B359F9">
        <w:rPr>
          <w:bCs/>
          <w:lang w:val="en-US"/>
        </w:rPr>
        <w:t xml:space="preserve"> for the most serious offences</w:t>
      </w:r>
      <w:r w:rsidR="006C78DD">
        <w:rPr>
          <w:bCs/>
          <w:lang w:val="en-US"/>
        </w:rPr>
        <w:t>.</w:t>
      </w:r>
      <w:r w:rsidR="00D72325">
        <w:rPr>
          <w:rStyle w:val="FootnoteReference"/>
          <w:bCs/>
          <w:lang w:val="en-US"/>
        </w:rPr>
        <w:footnoteReference w:id="22"/>
      </w:r>
      <w:r w:rsidR="00325B86">
        <w:rPr>
          <w:bCs/>
          <w:lang w:val="en-US"/>
        </w:rPr>
        <w:t xml:space="preserve"> The State party itself has </w:t>
      </w:r>
      <w:r w:rsidR="004D614B">
        <w:rPr>
          <w:bCs/>
          <w:lang w:val="en-US"/>
        </w:rPr>
        <w:t xml:space="preserve">recognized </w:t>
      </w:r>
      <w:r w:rsidR="00E45A21" w:rsidRPr="00E45A21">
        <w:rPr>
          <w:bCs/>
          <w:lang w:val="en-US"/>
        </w:rPr>
        <w:t xml:space="preserve">the existence of </w:t>
      </w:r>
      <w:r w:rsidR="00D51CF1">
        <w:rPr>
          <w:bCs/>
          <w:lang w:val="en-US"/>
        </w:rPr>
        <w:t>that situation in the Islamic Republic of Iran</w:t>
      </w:r>
      <w:r w:rsidR="00E45A21">
        <w:rPr>
          <w:bCs/>
          <w:lang w:val="en-US"/>
        </w:rPr>
        <w:t>.</w:t>
      </w:r>
    </w:p>
    <w:p w:rsidR="00325B86" w:rsidRDefault="00BF0599" w:rsidP="00B819E8">
      <w:pPr>
        <w:pStyle w:val="SingleTxtG"/>
        <w:rPr>
          <w:bCs/>
          <w:lang w:val="en-US"/>
        </w:rPr>
      </w:pPr>
      <w:r>
        <w:rPr>
          <w:bCs/>
          <w:lang w:val="en-US"/>
        </w:rPr>
        <w:t>8</w:t>
      </w:r>
      <w:r w:rsidR="00325B86">
        <w:rPr>
          <w:bCs/>
          <w:lang w:val="en-US"/>
        </w:rPr>
        <w:t>.6</w:t>
      </w:r>
      <w:r w:rsidR="00325B86">
        <w:rPr>
          <w:bCs/>
          <w:lang w:val="en-US"/>
        </w:rPr>
        <w:tab/>
      </w:r>
      <w:r w:rsidR="00367D03">
        <w:rPr>
          <w:bCs/>
          <w:lang w:val="en-US"/>
        </w:rPr>
        <w:t>The Committee notes that the complainant has been an active member of the</w:t>
      </w:r>
      <w:r w:rsidR="00695388">
        <w:rPr>
          <w:bCs/>
          <w:lang w:val="en-US"/>
        </w:rPr>
        <w:t xml:space="preserve"> Swiss branch of </w:t>
      </w:r>
      <w:r w:rsidR="00663D31">
        <w:rPr>
          <w:bCs/>
          <w:lang w:val="en-US"/>
        </w:rPr>
        <w:t xml:space="preserve">KDPI </w:t>
      </w:r>
      <w:r w:rsidR="00695388">
        <w:rPr>
          <w:bCs/>
          <w:lang w:val="en-US"/>
        </w:rPr>
        <w:t xml:space="preserve">and </w:t>
      </w:r>
      <w:r w:rsidR="00695388" w:rsidRPr="0039153B">
        <w:t xml:space="preserve">president of the regional executive committee for </w:t>
      </w:r>
      <w:r w:rsidR="00695388">
        <w:t>several cantons</w:t>
      </w:r>
      <w:r w:rsidR="00E054F6">
        <w:rPr>
          <w:bCs/>
          <w:lang w:val="en-US"/>
        </w:rPr>
        <w:t>,</w:t>
      </w:r>
      <w:r w:rsidR="00367D03">
        <w:rPr>
          <w:bCs/>
          <w:lang w:val="en-US"/>
        </w:rPr>
        <w:t xml:space="preserve"> </w:t>
      </w:r>
      <w:r w:rsidR="00B819E8">
        <w:rPr>
          <w:bCs/>
          <w:lang w:val="en-US"/>
        </w:rPr>
        <w:t xml:space="preserve">has </w:t>
      </w:r>
      <w:r w:rsidR="00695388">
        <w:rPr>
          <w:bCs/>
          <w:lang w:val="en-US"/>
        </w:rPr>
        <w:t xml:space="preserve">participated </w:t>
      </w:r>
      <w:r w:rsidR="00695388" w:rsidRPr="0039153B">
        <w:t xml:space="preserve">in various demonstrations and published articles on the </w:t>
      </w:r>
      <w:r w:rsidR="00E054F6">
        <w:t>I</w:t>
      </w:r>
      <w:r w:rsidR="00695388" w:rsidRPr="0039153B">
        <w:t>nternet.</w:t>
      </w:r>
      <w:r w:rsidR="00367D03">
        <w:t xml:space="preserve"> The State party has not contested th</w:t>
      </w:r>
      <w:r w:rsidR="00E054F6">
        <w:t>at</w:t>
      </w:r>
      <w:r w:rsidR="00367D03">
        <w:t xml:space="preserve"> information. </w:t>
      </w:r>
      <w:r w:rsidR="001B4350">
        <w:t xml:space="preserve">The Committee notes the State party’s observation that the Iranian authorities target high-profile individuals that could represent a </w:t>
      </w:r>
      <w:r w:rsidR="00E054F6">
        <w:t>specific</w:t>
      </w:r>
      <w:r w:rsidR="001B4350">
        <w:t xml:space="preserve"> danger to the Iranian regime</w:t>
      </w:r>
      <w:r w:rsidR="00695388">
        <w:t>;</w:t>
      </w:r>
      <w:r w:rsidR="001B4350">
        <w:t xml:space="preserve"> that </w:t>
      </w:r>
      <w:r w:rsidR="00695388">
        <w:t xml:space="preserve">the complainant does not represent such a </w:t>
      </w:r>
      <w:r w:rsidR="00E054F6">
        <w:t>danger</w:t>
      </w:r>
      <w:r w:rsidR="00695388">
        <w:t xml:space="preserve">; </w:t>
      </w:r>
      <w:r w:rsidR="00E054F6">
        <w:t xml:space="preserve">that </w:t>
      </w:r>
      <w:r w:rsidR="00695388">
        <w:t xml:space="preserve">the activities he alleged to </w:t>
      </w:r>
      <w:r w:rsidR="00E054F6">
        <w:t xml:space="preserve">have </w:t>
      </w:r>
      <w:r w:rsidR="00695388">
        <w:t>participate</w:t>
      </w:r>
      <w:r w:rsidR="00E054F6">
        <w:t>d</w:t>
      </w:r>
      <w:r w:rsidR="00695388">
        <w:t xml:space="preserve"> in are typical activities for many exiled Iranians; and </w:t>
      </w:r>
      <w:r w:rsidR="00E054F6">
        <w:t xml:space="preserve">that the State party </w:t>
      </w:r>
      <w:r w:rsidR="00695388">
        <w:t xml:space="preserve">would not identify the complainant as potentially dangerous to the Iranian regime. </w:t>
      </w:r>
      <w:r w:rsidR="001B4350">
        <w:t xml:space="preserve">However, the Committee observes that recent reports indicate that low-level opposition is also closely monitored in </w:t>
      </w:r>
      <w:r w:rsidR="00E054F6">
        <w:t xml:space="preserve">the </w:t>
      </w:r>
      <w:r w:rsidR="00E054F6" w:rsidRPr="00120788">
        <w:t xml:space="preserve">Islamic Republic of </w:t>
      </w:r>
      <w:r w:rsidR="001B4350">
        <w:t>Iran</w:t>
      </w:r>
      <w:r w:rsidR="00694E9E">
        <w:t>.</w:t>
      </w:r>
      <w:r w:rsidR="00D72325">
        <w:rPr>
          <w:rStyle w:val="FootnoteReference"/>
        </w:rPr>
        <w:footnoteReference w:id="23"/>
      </w:r>
      <w:r w:rsidR="00562E65">
        <w:t xml:space="preserve"> The Committee also notes </w:t>
      </w:r>
      <w:r w:rsidR="00E054F6">
        <w:t xml:space="preserve">the </w:t>
      </w:r>
      <w:r w:rsidR="00A00631">
        <w:t xml:space="preserve">persistent </w:t>
      </w:r>
      <w:r w:rsidR="00562E65">
        <w:t xml:space="preserve">reports of continued persecution of ethnic political activists, including recent executions of Kurdish individuals </w:t>
      </w:r>
      <w:r w:rsidR="00E054F6">
        <w:t xml:space="preserve">whose </w:t>
      </w:r>
      <w:r w:rsidR="00562E65">
        <w:t>convict</w:t>
      </w:r>
      <w:r w:rsidR="00E054F6">
        <w:t xml:space="preserve">ion processes did not meet fair trial </w:t>
      </w:r>
      <w:r w:rsidR="00562E65">
        <w:t>standards.</w:t>
      </w:r>
      <w:r w:rsidR="001202EA">
        <w:rPr>
          <w:rStyle w:val="FootnoteReference"/>
        </w:rPr>
        <w:footnoteReference w:id="24"/>
      </w:r>
      <w:r w:rsidR="00562E65">
        <w:t xml:space="preserve"> </w:t>
      </w:r>
    </w:p>
    <w:p w:rsidR="00844FD9" w:rsidRDefault="00BF0599" w:rsidP="00B819E8">
      <w:pPr>
        <w:pStyle w:val="SingleTxtG"/>
      </w:pPr>
      <w:r>
        <w:rPr>
          <w:bCs/>
          <w:lang w:val="en-US"/>
        </w:rPr>
        <w:t>8</w:t>
      </w:r>
      <w:r w:rsidR="003753EB">
        <w:rPr>
          <w:bCs/>
          <w:lang w:val="en-US"/>
        </w:rPr>
        <w:t>.7</w:t>
      </w:r>
      <w:r w:rsidR="003753EB">
        <w:rPr>
          <w:bCs/>
          <w:lang w:val="en-US"/>
        </w:rPr>
        <w:tab/>
      </w:r>
      <w:r w:rsidR="00695388" w:rsidRPr="009E486B">
        <w:rPr>
          <w:bCs/>
          <w:lang w:val="en-US"/>
        </w:rPr>
        <w:t>The Committee notes the complainant</w:t>
      </w:r>
      <w:r w:rsidR="00B1495F" w:rsidRPr="009E486B">
        <w:rPr>
          <w:bCs/>
          <w:lang w:val="en-US"/>
        </w:rPr>
        <w:t>’s</w:t>
      </w:r>
      <w:r w:rsidR="00695388" w:rsidRPr="009E486B">
        <w:rPr>
          <w:bCs/>
          <w:lang w:val="en-US"/>
        </w:rPr>
        <w:t xml:space="preserve"> </w:t>
      </w:r>
      <w:r w:rsidR="00513BF7" w:rsidRPr="009E486B">
        <w:rPr>
          <w:bCs/>
          <w:lang w:val="en-US"/>
        </w:rPr>
        <w:t xml:space="preserve">claim that his </w:t>
      </w:r>
      <w:r w:rsidR="00513BF7" w:rsidRPr="009E486B">
        <w:t>conversion</w:t>
      </w:r>
      <w:r w:rsidR="00695388" w:rsidRPr="009E486B">
        <w:t xml:space="preserve"> to Christianity </w:t>
      </w:r>
      <w:r w:rsidR="00513BF7" w:rsidRPr="009E486B">
        <w:t>would expose him to a danger of being persecuted, even sentenced to death, for converting or proselytizing.</w:t>
      </w:r>
      <w:r w:rsidR="00C44BB4" w:rsidRPr="009E486B">
        <w:t xml:space="preserve"> </w:t>
      </w:r>
      <w:r w:rsidR="00513BF7" w:rsidRPr="009E486B">
        <w:t>It also notes t</w:t>
      </w:r>
      <w:r w:rsidR="00513BF7" w:rsidRPr="009E486B">
        <w:rPr>
          <w:lang w:eastAsia="en-GB"/>
        </w:rPr>
        <w:t>he State party’s argument that conversion to Christianity abroad would not expose the complainant</w:t>
      </w:r>
      <w:r w:rsidR="00B1495F" w:rsidRPr="009E486B">
        <w:rPr>
          <w:lang w:eastAsia="en-GB"/>
        </w:rPr>
        <w:t xml:space="preserve"> to</w:t>
      </w:r>
      <w:r w:rsidR="00513BF7" w:rsidRPr="009E486B">
        <w:rPr>
          <w:lang w:eastAsia="en-GB"/>
        </w:rPr>
        <w:t xml:space="preserve"> a risk of persecution in </w:t>
      </w:r>
      <w:r w:rsidR="00D653C7">
        <w:t xml:space="preserve">the </w:t>
      </w:r>
      <w:r w:rsidR="00D653C7" w:rsidRPr="00120788">
        <w:t xml:space="preserve">Islamic Republic of </w:t>
      </w:r>
      <w:r w:rsidR="00513BF7" w:rsidRPr="009E486B">
        <w:rPr>
          <w:lang w:eastAsia="en-GB"/>
        </w:rPr>
        <w:t xml:space="preserve">Iran unless </w:t>
      </w:r>
      <w:r w:rsidR="00C0738D">
        <w:rPr>
          <w:lang w:eastAsia="en-GB"/>
        </w:rPr>
        <w:t>he</w:t>
      </w:r>
      <w:r w:rsidR="00513BF7" w:rsidRPr="009E486B">
        <w:rPr>
          <w:lang w:eastAsia="en-GB"/>
        </w:rPr>
        <w:t xml:space="preserve"> had practi</w:t>
      </w:r>
      <w:r w:rsidR="00C0738D">
        <w:rPr>
          <w:lang w:eastAsia="en-GB"/>
        </w:rPr>
        <w:t>s</w:t>
      </w:r>
      <w:r w:rsidR="00513BF7" w:rsidRPr="009E486B">
        <w:rPr>
          <w:lang w:eastAsia="en-GB"/>
        </w:rPr>
        <w:t xml:space="preserve">ed </w:t>
      </w:r>
      <w:r w:rsidR="00C0738D">
        <w:rPr>
          <w:lang w:eastAsia="en-GB"/>
        </w:rPr>
        <w:t xml:space="preserve">Christianity </w:t>
      </w:r>
      <w:r w:rsidR="00513BF7" w:rsidRPr="009E486B">
        <w:rPr>
          <w:lang w:eastAsia="en-GB"/>
        </w:rPr>
        <w:t>actively and visibly.</w:t>
      </w:r>
      <w:r w:rsidR="00700005" w:rsidRPr="009E486B">
        <w:rPr>
          <w:lang w:eastAsia="en-GB"/>
        </w:rPr>
        <w:t xml:space="preserve"> The Committee observes that recent reports indicate that Christians, in particular </w:t>
      </w:r>
      <w:r w:rsidR="00C0738D" w:rsidRPr="009E486B">
        <w:rPr>
          <w:lang w:eastAsia="en-GB"/>
        </w:rPr>
        <w:t>Protestants</w:t>
      </w:r>
      <w:r w:rsidR="00C0738D">
        <w:rPr>
          <w:lang w:eastAsia="en-GB"/>
        </w:rPr>
        <w:t xml:space="preserve"> </w:t>
      </w:r>
      <w:r w:rsidR="00C0738D" w:rsidRPr="009E486B">
        <w:rPr>
          <w:lang w:eastAsia="en-GB"/>
        </w:rPr>
        <w:t>and</w:t>
      </w:r>
      <w:r w:rsidR="00C0738D">
        <w:rPr>
          <w:lang w:eastAsia="en-GB"/>
        </w:rPr>
        <w:t xml:space="preserve"> Christians who have </w:t>
      </w:r>
      <w:r w:rsidR="00700005" w:rsidRPr="009E486B">
        <w:rPr>
          <w:lang w:eastAsia="en-GB"/>
        </w:rPr>
        <w:t>convert</w:t>
      </w:r>
      <w:r w:rsidR="00C0738D">
        <w:rPr>
          <w:lang w:eastAsia="en-GB"/>
        </w:rPr>
        <w:t>ed</w:t>
      </w:r>
      <w:r w:rsidR="00700005" w:rsidRPr="009E486B">
        <w:rPr>
          <w:lang w:eastAsia="en-GB"/>
        </w:rPr>
        <w:t xml:space="preserve"> </w:t>
      </w:r>
      <w:r w:rsidR="00C0738D">
        <w:rPr>
          <w:lang w:eastAsia="en-GB"/>
        </w:rPr>
        <w:t>from Islam</w:t>
      </w:r>
      <w:r w:rsidR="00700005" w:rsidRPr="009E486B">
        <w:rPr>
          <w:lang w:eastAsia="en-GB"/>
        </w:rPr>
        <w:t xml:space="preserve">, face persecution in </w:t>
      </w:r>
      <w:r w:rsidR="00D653C7">
        <w:t xml:space="preserve">the </w:t>
      </w:r>
      <w:r w:rsidR="00D653C7" w:rsidRPr="00120788">
        <w:t xml:space="preserve">Islamic Republic of </w:t>
      </w:r>
      <w:r w:rsidR="00700005" w:rsidRPr="009E486B">
        <w:rPr>
          <w:lang w:eastAsia="en-GB"/>
        </w:rPr>
        <w:t>Iran</w:t>
      </w:r>
      <w:r w:rsidR="00C0738D">
        <w:rPr>
          <w:lang w:eastAsia="en-GB"/>
        </w:rPr>
        <w:t>,</w:t>
      </w:r>
      <w:r w:rsidR="00A6460E">
        <w:rPr>
          <w:lang w:eastAsia="en-GB"/>
        </w:rPr>
        <w:t xml:space="preserve"> that</w:t>
      </w:r>
      <w:r w:rsidR="0030762A" w:rsidRPr="0030762A">
        <w:t xml:space="preserve"> </w:t>
      </w:r>
      <w:r w:rsidR="0030762A">
        <w:rPr>
          <w:lang w:eastAsia="en-GB"/>
        </w:rPr>
        <w:t xml:space="preserve">several </w:t>
      </w:r>
      <w:r w:rsidR="0030762A" w:rsidRPr="0030762A">
        <w:rPr>
          <w:lang w:eastAsia="en-GB"/>
        </w:rPr>
        <w:t xml:space="preserve">hundred </w:t>
      </w:r>
      <w:r w:rsidR="0030762A" w:rsidRPr="0030762A">
        <w:rPr>
          <w:lang w:eastAsia="en-GB"/>
        </w:rPr>
        <w:lastRenderedPageBreak/>
        <w:t xml:space="preserve">Christians </w:t>
      </w:r>
      <w:r w:rsidR="00C0738D">
        <w:rPr>
          <w:lang w:eastAsia="en-GB"/>
        </w:rPr>
        <w:t>have been</w:t>
      </w:r>
      <w:r w:rsidR="0030762A">
        <w:rPr>
          <w:lang w:eastAsia="en-GB"/>
        </w:rPr>
        <w:t xml:space="preserve"> arrested and detained </w:t>
      </w:r>
      <w:r w:rsidR="0030762A" w:rsidRPr="0030762A">
        <w:rPr>
          <w:lang w:eastAsia="en-GB"/>
        </w:rPr>
        <w:t>over the past few years</w:t>
      </w:r>
      <w:r w:rsidR="0030762A">
        <w:rPr>
          <w:lang w:eastAsia="en-GB"/>
        </w:rPr>
        <w:t xml:space="preserve">, and that </w:t>
      </w:r>
      <w:r w:rsidR="0030762A" w:rsidRPr="0030762A">
        <w:rPr>
          <w:lang w:eastAsia="en-GB"/>
        </w:rPr>
        <w:t xml:space="preserve">many churches, especially </w:t>
      </w:r>
      <w:r w:rsidR="00B819E8">
        <w:rPr>
          <w:lang w:eastAsia="en-GB"/>
        </w:rPr>
        <w:t>P</w:t>
      </w:r>
      <w:r w:rsidR="0030762A" w:rsidRPr="0030762A">
        <w:rPr>
          <w:lang w:eastAsia="en-GB"/>
        </w:rPr>
        <w:t>rotestant evangelical houses of worship</w:t>
      </w:r>
      <w:r w:rsidR="00C0738D">
        <w:rPr>
          <w:lang w:eastAsia="en-GB"/>
        </w:rPr>
        <w:t>,</w:t>
      </w:r>
      <w:r w:rsidR="0030762A">
        <w:rPr>
          <w:lang w:eastAsia="en-GB"/>
        </w:rPr>
        <w:t xml:space="preserve"> currently operate in a </w:t>
      </w:r>
      <w:r w:rsidR="0030762A" w:rsidRPr="0030762A">
        <w:rPr>
          <w:lang w:eastAsia="en-GB"/>
        </w:rPr>
        <w:t>climate of fear</w:t>
      </w:r>
      <w:r w:rsidR="006C78DD" w:rsidRPr="009E486B">
        <w:rPr>
          <w:lang w:eastAsia="en-GB"/>
        </w:rPr>
        <w:t>.</w:t>
      </w:r>
      <w:r w:rsidR="001202EA">
        <w:rPr>
          <w:rStyle w:val="FootnoteReference"/>
          <w:lang w:eastAsia="en-GB"/>
        </w:rPr>
        <w:footnoteReference w:id="25"/>
      </w:r>
      <w:r w:rsidR="00844FD9" w:rsidRPr="009E486B">
        <w:rPr>
          <w:lang w:eastAsia="en-GB"/>
        </w:rPr>
        <w:t xml:space="preserve"> </w:t>
      </w:r>
      <w:r w:rsidR="00343633" w:rsidRPr="009E486B">
        <w:rPr>
          <w:lang w:eastAsia="en-GB"/>
        </w:rPr>
        <w:t xml:space="preserve">According to </w:t>
      </w:r>
      <w:r w:rsidR="00445C6B" w:rsidRPr="009E486B">
        <w:rPr>
          <w:lang w:eastAsia="en-GB"/>
        </w:rPr>
        <w:t xml:space="preserve">the information contained in </w:t>
      </w:r>
      <w:r w:rsidR="00343633" w:rsidRPr="009E486B">
        <w:rPr>
          <w:lang w:eastAsia="en-GB"/>
        </w:rPr>
        <w:t>th</w:t>
      </w:r>
      <w:r w:rsidR="00C0738D">
        <w:rPr>
          <w:lang w:eastAsia="en-GB"/>
        </w:rPr>
        <w:t>o</w:t>
      </w:r>
      <w:r w:rsidR="00343633" w:rsidRPr="009E486B">
        <w:rPr>
          <w:lang w:eastAsia="en-GB"/>
        </w:rPr>
        <w:t xml:space="preserve">se reports, </w:t>
      </w:r>
      <w:r w:rsidR="00A00631" w:rsidRPr="009771B5">
        <w:rPr>
          <w:lang w:eastAsia="en-GB"/>
        </w:rPr>
        <w:t>(a)</w:t>
      </w:r>
      <w:r w:rsidR="001E244F" w:rsidRPr="009771B5">
        <w:rPr>
          <w:lang w:eastAsia="en-GB"/>
        </w:rPr>
        <w:t> </w:t>
      </w:r>
      <w:r w:rsidR="00A00631" w:rsidRPr="00A86EED">
        <w:rPr>
          <w:lang w:eastAsia="en-GB"/>
        </w:rPr>
        <w:t>members of religious minorities, including Christians, are detained and subj</w:t>
      </w:r>
      <w:r w:rsidR="00A00631" w:rsidRPr="009E486B">
        <w:rPr>
          <w:lang w:eastAsia="en-GB"/>
        </w:rPr>
        <w:t xml:space="preserve">ected to torture or cruel, inhuman and degrading treatment and prolonged solitary confinement </w:t>
      </w:r>
      <w:r w:rsidR="00A86EED">
        <w:rPr>
          <w:lang w:eastAsia="en-GB"/>
        </w:rPr>
        <w:t xml:space="preserve">in order </w:t>
      </w:r>
      <w:r w:rsidR="00A00631" w:rsidRPr="009E486B">
        <w:rPr>
          <w:lang w:eastAsia="en-GB"/>
        </w:rPr>
        <w:t>to coerce confession, often without access to a lawyer</w:t>
      </w:r>
      <w:r w:rsidR="0038016C">
        <w:rPr>
          <w:lang w:eastAsia="en-GB"/>
        </w:rPr>
        <w:t>;</w:t>
      </w:r>
      <w:r w:rsidR="001202EA">
        <w:rPr>
          <w:rStyle w:val="FootnoteReference"/>
          <w:lang w:eastAsia="en-GB"/>
        </w:rPr>
        <w:footnoteReference w:id="26"/>
      </w:r>
      <w:r w:rsidR="001523C5">
        <w:rPr>
          <w:lang w:eastAsia="en-GB"/>
        </w:rPr>
        <w:t xml:space="preserve"> </w:t>
      </w:r>
      <w:r w:rsidR="00A00631" w:rsidRPr="009E486B">
        <w:rPr>
          <w:lang w:eastAsia="en-GB"/>
        </w:rPr>
        <w:t xml:space="preserve">(b) </w:t>
      </w:r>
      <w:r w:rsidR="00447DA3">
        <w:rPr>
          <w:lang w:eastAsia="en-GB"/>
        </w:rPr>
        <w:t xml:space="preserve">most </w:t>
      </w:r>
      <w:r w:rsidR="00A00631" w:rsidRPr="009E486B">
        <w:rPr>
          <w:lang w:eastAsia="en-GB"/>
        </w:rPr>
        <w:t>c</w:t>
      </w:r>
      <w:r w:rsidR="00844FD9" w:rsidRPr="009E486B">
        <w:rPr>
          <w:lang w:eastAsia="en-GB"/>
        </w:rPr>
        <w:t xml:space="preserve">ases involving Christians are tried in revolutionary courts for national security crimes, </w:t>
      </w:r>
      <w:r w:rsidR="00447DA3">
        <w:rPr>
          <w:lang w:eastAsia="en-GB"/>
        </w:rPr>
        <w:t xml:space="preserve">but </w:t>
      </w:r>
      <w:r w:rsidR="00844FD9" w:rsidRPr="009E486B">
        <w:rPr>
          <w:lang w:eastAsia="en-GB"/>
        </w:rPr>
        <w:t>some Christians face charges in public criminal courts for manifestation of religious belief</w:t>
      </w:r>
      <w:r w:rsidR="00447DA3">
        <w:rPr>
          <w:lang w:eastAsia="en-GB"/>
        </w:rPr>
        <w:t>s</w:t>
      </w:r>
      <w:r w:rsidR="00844FD9" w:rsidRPr="009E486B">
        <w:rPr>
          <w:lang w:eastAsia="en-GB"/>
        </w:rPr>
        <w:t>, and officials routinely threaten to prosecute Christian converts for apostasy</w:t>
      </w:r>
      <w:r w:rsidR="0038016C">
        <w:rPr>
          <w:lang w:eastAsia="en-GB"/>
        </w:rPr>
        <w:t>;</w:t>
      </w:r>
      <w:r w:rsidR="001202EA">
        <w:rPr>
          <w:rStyle w:val="FootnoteReference"/>
          <w:lang w:eastAsia="en-GB"/>
        </w:rPr>
        <w:footnoteReference w:id="27"/>
      </w:r>
      <w:r w:rsidR="00A00631" w:rsidRPr="009E486B">
        <w:rPr>
          <w:lang w:eastAsia="en-GB"/>
        </w:rPr>
        <w:t xml:space="preserve"> (c) prosecutions often fail to meet international standards, </w:t>
      </w:r>
      <w:r w:rsidR="00447DA3">
        <w:rPr>
          <w:lang w:eastAsia="en-GB"/>
        </w:rPr>
        <w:t>with</w:t>
      </w:r>
      <w:r w:rsidR="00A00631" w:rsidRPr="009E486B">
        <w:rPr>
          <w:lang w:eastAsia="en-GB"/>
        </w:rPr>
        <w:t xml:space="preserve"> access to case files and the right to present a defence</w:t>
      </w:r>
      <w:r w:rsidR="00447DA3">
        <w:rPr>
          <w:lang w:eastAsia="en-GB"/>
        </w:rPr>
        <w:t xml:space="preserve"> being limited</w:t>
      </w:r>
      <w:r w:rsidR="00A00631" w:rsidRPr="009E486B">
        <w:rPr>
          <w:lang w:eastAsia="en-GB"/>
        </w:rPr>
        <w:t>;</w:t>
      </w:r>
      <w:r w:rsidR="001202EA">
        <w:rPr>
          <w:rStyle w:val="FootnoteReference"/>
          <w:lang w:eastAsia="en-GB"/>
        </w:rPr>
        <w:footnoteReference w:id="28"/>
      </w:r>
      <w:r w:rsidR="00B4166D" w:rsidRPr="009E486B">
        <w:rPr>
          <w:lang w:eastAsia="en-GB"/>
        </w:rPr>
        <w:t xml:space="preserve"> </w:t>
      </w:r>
      <w:r w:rsidR="00A00631" w:rsidRPr="009E486B">
        <w:rPr>
          <w:lang w:eastAsia="en-GB"/>
        </w:rPr>
        <w:t>and (d) the</w:t>
      </w:r>
      <w:r w:rsidR="00B4166D" w:rsidRPr="009E486B">
        <w:rPr>
          <w:lang w:eastAsia="en-GB"/>
        </w:rPr>
        <w:t xml:space="preserve"> </w:t>
      </w:r>
      <w:r w:rsidR="00844FD9" w:rsidRPr="009E486B">
        <w:rPr>
          <w:lang w:eastAsia="en-GB"/>
        </w:rPr>
        <w:t xml:space="preserve">Iranian authorities at the highest level have designated </w:t>
      </w:r>
      <w:r w:rsidR="00447DA3">
        <w:rPr>
          <w:lang w:eastAsia="en-GB"/>
        </w:rPr>
        <w:t xml:space="preserve">informal </w:t>
      </w:r>
      <w:r w:rsidR="00844FD9" w:rsidRPr="009E486B">
        <w:rPr>
          <w:lang w:eastAsia="en-GB"/>
        </w:rPr>
        <w:t>“house churches” and evangelical Christians as threats to national security.</w:t>
      </w:r>
      <w:r w:rsidR="001202EA">
        <w:rPr>
          <w:rStyle w:val="FootnoteReference"/>
          <w:lang w:eastAsia="en-GB"/>
        </w:rPr>
        <w:footnoteReference w:id="29"/>
      </w:r>
      <w:r w:rsidR="007F26D6" w:rsidRPr="009E486B">
        <w:rPr>
          <w:lang w:eastAsia="en-GB"/>
        </w:rPr>
        <w:t xml:space="preserve"> Current reports </w:t>
      </w:r>
      <w:r w:rsidR="0028414C" w:rsidRPr="009E486B">
        <w:rPr>
          <w:lang w:eastAsia="en-GB"/>
        </w:rPr>
        <w:t xml:space="preserve">also </w:t>
      </w:r>
      <w:r w:rsidR="007F26D6" w:rsidRPr="009E486B">
        <w:rPr>
          <w:lang w:eastAsia="en-GB"/>
        </w:rPr>
        <w:t>suggest increased persecution of Protestant Christians, including their detention for involvement in informal house churches</w:t>
      </w:r>
      <w:r w:rsidR="001202EA">
        <w:rPr>
          <w:rStyle w:val="FootnoteReference"/>
          <w:lang w:eastAsia="en-GB"/>
        </w:rPr>
        <w:footnoteReference w:id="30"/>
      </w:r>
      <w:r w:rsidR="00781601" w:rsidRPr="009E486B">
        <w:rPr>
          <w:lang w:eastAsia="en-GB"/>
        </w:rPr>
        <w:t xml:space="preserve"> and physical and intense psychological abuse, including threats of execution, </w:t>
      </w:r>
      <w:r w:rsidR="00355BFD" w:rsidRPr="009E486B">
        <w:rPr>
          <w:lang w:eastAsia="en-GB"/>
        </w:rPr>
        <w:t>of Christian converts</w:t>
      </w:r>
      <w:r w:rsidR="00355BFD">
        <w:rPr>
          <w:lang w:eastAsia="en-GB"/>
        </w:rPr>
        <w:t xml:space="preserve"> </w:t>
      </w:r>
      <w:r w:rsidR="00781601" w:rsidRPr="009E486B">
        <w:rPr>
          <w:lang w:eastAsia="en-GB"/>
        </w:rPr>
        <w:t>in detention</w:t>
      </w:r>
      <w:r w:rsidR="0038016C">
        <w:rPr>
          <w:lang w:eastAsia="en-GB"/>
        </w:rPr>
        <w:t>.</w:t>
      </w:r>
      <w:r w:rsidR="000B31F1">
        <w:rPr>
          <w:rStyle w:val="FootnoteReference"/>
          <w:lang w:eastAsia="en-GB"/>
        </w:rPr>
        <w:footnoteReference w:id="31"/>
      </w:r>
    </w:p>
    <w:p w:rsidR="00B359F9" w:rsidRDefault="00BF0599" w:rsidP="00355BFD">
      <w:pPr>
        <w:pStyle w:val="SingleTxtG"/>
        <w:rPr>
          <w:bCs/>
          <w:lang w:val="en-US"/>
        </w:rPr>
      </w:pPr>
      <w:r>
        <w:rPr>
          <w:bCs/>
        </w:rPr>
        <w:t>8</w:t>
      </w:r>
      <w:r w:rsidR="00700005">
        <w:rPr>
          <w:bCs/>
        </w:rPr>
        <w:t>.8</w:t>
      </w:r>
      <w:r w:rsidR="00700005">
        <w:rPr>
          <w:bCs/>
        </w:rPr>
        <w:tab/>
      </w:r>
      <w:r w:rsidR="00890724">
        <w:rPr>
          <w:bCs/>
          <w:lang w:val="en-US"/>
        </w:rPr>
        <w:t xml:space="preserve">In </w:t>
      </w:r>
      <w:r w:rsidR="00890724" w:rsidRPr="00814EE5">
        <w:rPr>
          <w:bCs/>
          <w:lang w:val="en-US"/>
        </w:rPr>
        <w:t>the light of all th</w:t>
      </w:r>
      <w:r w:rsidR="00355BFD" w:rsidRPr="00814EE5">
        <w:rPr>
          <w:bCs/>
          <w:lang w:val="en-US"/>
        </w:rPr>
        <w:t>o</w:t>
      </w:r>
      <w:r w:rsidR="00890724" w:rsidRPr="00814EE5">
        <w:rPr>
          <w:bCs/>
          <w:lang w:val="en-US"/>
        </w:rPr>
        <w:t xml:space="preserve">se circumstances, including the general human rights situation in </w:t>
      </w:r>
      <w:r w:rsidR="00814EE5">
        <w:t xml:space="preserve">the </w:t>
      </w:r>
      <w:r w:rsidR="00814EE5" w:rsidRPr="00120788">
        <w:t xml:space="preserve">Islamic Republic of </w:t>
      </w:r>
      <w:r w:rsidR="00890724" w:rsidRPr="00814EE5">
        <w:rPr>
          <w:bCs/>
          <w:lang w:val="en-US"/>
        </w:rPr>
        <w:t xml:space="preserve">Iran, the personal situation of </w:t>
      </w:r>
      <w:r w:rsidR="004D614B" w:rsidRPr="00814EE5">
        <w:rPr>
          <w:bCs/>
          <w:lang w:val="en-US"/>
        </w:rPr>
        <w:t xml:space="preserve">the </w:t>
      </w:r>
      <w:r w:rsidR="00890724" w:rsidRPr="00814EE5">
        <w:rPr>
          <w:bCs/>
          <w:lang w:val="en-US"/>
        </w:rPr>
        <w:t>complainant</w:t>
      </w:r>
      <w:r w:rsidR="00814EE5">
        <w:rPr>
          <w:bCs/>
          <w:lang w:val="en-US"/>
        </w:rPr>
        <w:t>,</w:t>
      </w:r>
      <w:r w:rsidR="00890724" w:rsidRPr="00814EE5">
        <w:rPr>
          <w:bCs/>
          <w:lang w:val="en-US"/>
        </w:rPr>
        <w:t xml:space="preserve"> who continues</w:t>
      </w:r>
      <w:r w:rsidR="00890724">
        <w:rPr>
          <w:bCs/>
          <w:lang w:val="en-US"/>
        </w:rPr>
        <w:t xml:space="preserve"> </w:t>
      </w:r>
      <w:r w:rsidR="0030762A">
        <w:rPr>
          <w:bCs/>
          <w:lang w:val="en-US"/>
        </w:rPr>
        <w:t>his</w:t>
      </w:r>
      <w:r w:rsidR="00890724">
        <w:rPr>
          <w:bCs/>
          <w:lang w:val="en-US"/>
        </w:rPr>
        <w:t xml:space="preserve"> active engagement in political activities against the Iranian regime abroad, and </w:t>
      </w:r>
      <w:r w:rsidR="00814EE5">
        <w:rPr>
          <w:bCs/>
          <w:lang w:val="en-US"/>
        </w:rPr>
        <w:t>the Committee’s</w:t>
      </w:r>
      <w:r w:rsidR="00890724">
        <w:rPr>
          <w:bCs/>
          <w:lang w:val="en-US"/>
        </w:rPr>
        <w:t xml:space="preserve"> jurisprudence</w:t>
      </w:r>
      <w:r w:rsidR="006C78DD">
        <w:rPr>
          <w:bCs/>
          <w:lang w:val="en-US"/>
        </w:rPr>
        <w:t>,</w:t>
      </w:r>
      <w:r w:rsidR="000B31F1">
        <w:rPr>
          <w:rStyle w:val="FootnoteReference"/>
          <w:bCs/>
          <w:lang w:val="en-US"/>
        </w:rPr>
        <w:footnoteReference w:id="32"/>
      </w:r>
      <w:r w:rsidR="00890724">
        <w:rPr>
          <w:bCs/>
          <w:lang w:val="en-US"/>
        </w:rPr>
        <w:t xml:space="preserve"> the Committee is of the opinion that </w:t>
      </w:r>
      <w:r w:rsidR="0060181D">
        <w:rPr>
          <w:bCs/>
          <w:lang w:val="en-US"/>
        </w:rPr>
        <w:t>the complainant</w:t>
      </w:r>
      <w:r w:rsidR="00890724">
        <w:rPr>
          <w:bCs/>
          <w:lang w:val="en-US"/>
        </w:rPr>
        <w:t xml:space="preserve"> could well have attracted </w:t>
      </w:r>
      <w:r w:rsidR="00814EE5">
        <w:rPr>
          <w:bCs/>
          <w:lang w:val="en-US"/>
        </w:rPr>
        <w:t xml:space="preserve">the </w:t>
      </w:r>
      <w:r w:rsidR="00890724">
        <w:rPr>
          <w:bCs/>
          <w:lang w:val="en-US"/>
        </w:rPr>
        <w:t>attention of the Iranian authorities.</w:t>
      </w:r>
      <w:r w:rsidR="00681CB0">
        <w:rPr>
          <w:bCs/>
          <w:lang w:val="en-US"/>
        </w:rPr>
        <w:t xml:space="preserve"> The Committee </w:t>
      </w:r>
      <w:r w:rsidR="00562E65">
        <w:rPr>
          <w:bCs/>
          <w:lang w:val="en-US"/>
        </w:rPr>
        <w:t>is of the view</w:t>
      </w:r>
      <w:r w:rsidR="007334F3">
        <w:rPr>
          <w:bCs/>
          <w:lang w:val="en-US"/>
        </w:rPr>
        <w:t xml:space="preserve"> that the complainant’s conversion to Christianity </w:t>
      </w:r>
      <w:r w:rsidR="00562E65">
        <w:rPr>
          <w:bCs/>
          <w:lang w:val="en-US"/>
        </w:rPr>
        <w:t xml:space="preserve">and his affiliation with Kurdish political activists </w:t>
      </w:r>
      <w:r w:rsidR="00814EE5">
        <w:rPr>
          <w:bCs/>
          <w:lang w:val="en-US"/>
        </w:rPr>
        <w:t>compound</w:t>
      </w:r>
      <w:r w:rsidR="007334F3">
        <w:rPr>
          <w:bCs/>
          <w:lang w:val="en-US"/>
        </w:rPr>
        <w:t xml:space="preserve"> </w:t>
      </w:r>
      <w:r w:rsidR="00814EE5">
        <w:rPr>
          <w:bCs/>
          <w:lang w:val="en-US"/>
        </w:rPr>
        <w:t xml:space="preserve">the </w:t>
      </w:r>
      <w:r w:rsidR="007334F3">
        <w:rPr>
          <w:bCs/>
          <w:lang w:val="en-US"/>
        </w:rPr>
        <w:t xml:space="preserve">risk </w:t>
      </w:r>
      <w:r w:rsidR="00814EE5">
        <w:rPr>
          <w:bCs/>
          <w:lang w:val="en-US"/>
        </w:rPr>
        <w:t xml:space="preserve">that he will be </w:t>
      </w:r>
      <w:r w:rsidR="007334F3">
        <w:rPr>
          <w:bCs/>
          <w:lang w:val="en-US"/>
        </w:rPr>
        <w:t>persecut</w:t>
      </w:r>
      <w:r w:rsidR="00814EE5">
        <w:rPr>
          <w:bCs/>
          <w:lang w:val="en-US"/>
        </w:rPr>
        <w:t>ed</w:t>
      </w:r>
      <w:r w:rsidR="007334F3">
        <w:rPr>
          <w:bCs/>
          <w:lang w:val="en-US"/>
        </w:rPr>
        <w:t xml:space="preserve"> </w:t>
      </w:r>
      <w:r w:rsidR="00814EE5">
        <w:rPr>
          <w:bCs/>
          <w:lang w:val="en-US"/>
        </w:rPr>
        <w:t>if he is returned to the Islamic Republic of</w:t>
      </w:r>
      <w:r w:rsidR="007334F3">
        <w:rPr>
          <w:bCs/>
          <w:lang w:val="en-US"/>
        </w:rPr>
        <w:t xml:space="preserve"> Iran.</w:t>
      </w:r>
      <w:r w:rsidR="00890724">
        <w:rPr>
          <w:bCs/>
          <w:lang w:val="en-US"/>
        </w:rPr>
        <w:t xml:space="preserve"> </w:t>
      </w:r>
      <w:r w:rsidR="00A00631">
        <w:rPr>
          <w:bCs/>
          <w:lang w:val="en-US"/>
        </w:rPr>
        <w:t xml:space="preserve">In </w:t>
      </w:r>
      <w:r w:rsidR="00814EE5">
        <w:rPr>
          <w:bCs/>
          <w:lang w:val="en-US"/>
        </w:rPr>
        <w:t xml:space="preserve">the </w:t>
      </w:r>
      <w:r w:rsidR="00A00631">
        <w:rPr>
          <w:bCs/>
          <w:lang w:val="en-US"/>
        </w:rPr>
        <w:t>light of th</w:t>
      </w:r>
      <w:r w:rsidR="00814EE5">
        <w:rPr>
          <w:bCs/>
          <w:lang w:val="en-US"/>
        </w:rPr>
        <w:t>o</w:t>
      </w:r>
      <w:r w:rsidR="00A00631">
        <w:rPr>
          <w:bCs/>
          <w:lang w:val="en-US"/>
        </w:rPr>
        <w:t xml:space="preserve">se considerations, </w:t>
      </w:r>
      <w:r w:rsidR="00814EE5">
        <w:rPr>
          <w:bCs/>
          <w:lang w:val="en-US"/>
        </w:rPr>
        <w:t>taken</w:t>
      </w:r>
      <w:r w:rsidR="00A00631">
        <w:rPr>
          <w:bCs/>
          <w:lang w:val="en-US"/>
        </w:rPr>
        <w:t xml:space="preserve"> as a whole, t</w:t>
      </w:r>
      <w:r w:rsidR="00B359F9">
        <w:rPr>
          <w:bCs/>
          <w:lang w:val="en-US"/>
        </w:rPr>
        <w:t>he Committee considers that</w:t>
      </w:r>
      <w:r w:rsidR="00A00631">
        <w:rPr>
          <w:bCs/>
          <w:lang w:val="en-US"/>
        </w:rPr>
        <w:t xml:space="preserve"> in </w:t>
      </w:r>
      <w:r w:rsidR="00814EE5">
        <w:rPr>
          <w:bCs/>
          <w:lang w:val="en-US"/>
        </w:rPr>
        <w:t xml:space="preserve">the </w:t>
      </w:r>
      <w:r w:rsidR="00A00631">
        <w:rPr>
          <w:bCs/>
          <w:lang w:val="en-US"/>
        </w:rPr>
        <w:t>particular circumstances of the present case</w:t>
      </w:r>
      <w:r w:rsidR="00814EE5">
        <w:rPr>
          <w:bCs/>
          <w:lang w:val="en-US"/>
        </w:rPr>
        <w:t>,</w:t>
      </w:r>
      <w:r w:rsidR="00B359F9">
        <w:rPr>
          <w:bCs/>
          <w:lang w:val="en-US"/>
        </w:rPr>
        <w:t xml:space="preserve"> there are substantial grounds for believing that the complainant would </w:t>
      </w:r>
      <w:r w:rsidR="00890724">
        <w:rPr>
          <w:bCs/>
          <w:lang w:val="en-US"/>
        </w:rPr>
        <w:t xml:space="preserve">risk being </w:t>
      </w:r>
      <w:r w:rsidR="00B359F9">
        <w:rPr>
          <w:bCs/>
          <w:lang w:val="en-US"/>
        </w:rPr>
        <w:t xml:space="preserve">subjected to torture if </w:t>
      </w:r>
      <w:r w:rsidR="00814EE5">
        <w:rPr>
          <w:bCs/>
          <w:lang w:val="en-US"/>
        </w:rPr>
        <w:t xml:space="preserve">he were </w:t>
      </w:r>
      <w:r w:rsidR="00B359F9">
        <w:rPr>
          <w:bCs/>
          <w:lang w:val="en-US"/>
        </w:rPr>
        <w:t xml:space="preserve">returned to </w:t>
      </w:r>
      <w:r w:rsidR="00814EE5">
        <w:rPr>
          <w:bCs/>
          <w:lang w:val="en-US"/>
        </w:rPr>
        <w:t xml:space="preserve">the Islamic Republic of </w:t>
      </w:r>
      <w:r w:rsidR="00B359F9">
        <w:rPr>
          <w:bCs/>
          <w:lang w:val="en-US"/>
        </w:rPr>
        <w:t xml:space="preserve">Iran. </w:t>
      </w:r>
      <w:r w:rsidR="0030762A" w:rsidRPr="0030762A">
        <w:rPr>
          <w:bCs/>
          <w:lang w:val="en-US"/>
        </w:rPr>
        <w:t xml:space="preserve">Moreover, the Committee notes that, since </w:t>
      </w:r>
      <w:r w:rsidR="00814EE5">
        <w:rPr>
          <w:bCs/>
          <w:lang w:val="en-US"/>
        </w:rPr>
        <w:t>the Islamic Republic of</w:t>
      </w:r>
      <w:r w:rsidR="00814EE5" w:rsidRPr="0030762A">
        <w:rPr>
          <w:bCs/>
          <w:lang w:val="en-US"/>
        </w:rPr>
        <w:t xml:space="preserve"> </w:t>
      </w:r>
      <w:r w:rsidR="0030762A" w:rsidRPr="0030762A">
        <w:rPr>
          <w:bCs/>
          <w:lang w:val="en-US"/>
        </w:rPr>
        <w:t xml:space="preserve">Iran is not a party to the Convention, in the event of </w:t>
      </w:r>
      <w:r w:rsidR="00A6460E">
        <w:rPr>
          <w:bCs/>
          <w:lang w:val="en-US"/>
        </w:rPr>
        <w:t xml:space="preserve">a </w:t>
      </w:r>
      <w:r w:rsidR="0030762A" w:rsidRPr="0030762A">
        <w:rPr>
          <w:bCs/>
          <w:lang w:val="en-US"/>
        </w:rPr>
        <w:t>violation of the complainant’s Convention rights</w:t>
      </w:r>
      <w:r w:rsidR="006921A1">
        <w:rPr>
          <w:bCs/>
          <w:lang w:val="en-US"/>
        </w:rPr>
        <w:t xml:space="preserve"> </w:t>
      </w:r>
      <w:r w:rsidR="00A6460E">
        <w:rPr>
          <w:bCs/>
          <w:lang w:val="en-US"/>
        </w:rPr>
        <w:t xml:space="preserve">in </w:t>
      </w:r>
      <w:r w:rsidR="00814EE5">
        <w:rPr>
          <w:bCs/>
          <w:lang w:val="en-US"/>
        </w:rPr>
        <w:t>th</w:t>
      </w:r>
      <w:r w:rsidR="005C732A">
        <w:rPr>
          <w:bCs/>
          <w:lang w:val="en-US"/>
        </w:rPr>
        <w:t>at State</w:t>
      </w:r>
      <w:r w:rsidR="00A6460E">
        <w:rPr>
          <w:bCs/>
          <w:lang w:val="en-US"/>
        </w:rPr>
        <w:t xml:space="preserve">, </w:t>
      </w:r>
      <w:r w:rsidR="0030762A" w:rsidRPr="0030762A">
        <w:rPr>
          <w:bCs/>
          <w:lang w:val="en-US"/>
        </w:rPr>
        <w:t>he would be deprived of the legal option of recourse to the Committee for protection of any kind.</w:t>
      </w:r>
    </w:p>
    <w:p w:rsidR="00D036B5" w:rsidRPr="007F05ED" w:rsidRDefault="00BF0599" w:rsidP="00D036B5">
      <w:pPr>
        <w:pStyle w:val="SingleTxtG"/>
      </w:pPr>
      <w:r>
        <w:t>9</w:t>
      </w:r>
      <w:r w:rsidR="00940E35">
        <w:t>.</w:t>
      </w:r>
      <w:r w:rsidR="00D036B5" w:rsidRPr="007F05ED">
        <w:tab/>
        <w:t xml:space="preserve">The Committee against Torture, acting under </w:t>
      </w:r>
      <w:r w:rsidR="00A3595D">
        <w:t>article </w:t>
      </w:r>
      <w:r w:rsidR="001E244F">
        <w:t>22, paragraph </w:t>
      </w:r>
      <w:r w:rsidR="00D036B5" w:rsidRPr="007F05ED">
        <w:t xml:space="preserve">7, of the Convention, concludes that the </w:t>
      </w:r>
      <w:r w:rsidR="00B359F9">
        <w:t xml:space="preserve">deportation of the complainant to </w:t>
      </w:r>
      <w:r w:rsidR="00D653C7">
        <w:t xml:space="preserve">the </w:t>
      </w:r>
      <w:r w:rsidR="00D653C7" w:rsidRPr="00120788">
        <w:t xml:space="preserve">Islamic Republic of </w:t>
      </w:r>
      <w:r w:rsidR="00B359F9">
        <w:t xml:space="preserve">Iran would constitute </w:t>
      </w:r>
      <w:r w:rsidR="00D036B5" w:rsidRPr="007F05ED">
        <w:t xml:space="preserve">a violation of </w:t>
      </w:r>
      <w:r w:rsidR="00A3595D">
        <w:t>article </w:t>
      </w:r>
      <w:r w:rsidR="00476B49">
        <w:t>3</w:t>
      </w:r>
      <w:r w:rsidR="00D036B5" w:rsidRPr="007F05ED">
        <w:t xml:space="preserve"> of the Convention against Torture and Other Cruel, Inhuman or Degrading Treatment or Punishment. </w:t>
      </w:r>
    </w:p>
    <w:p w:rsidR="00D036B5" w:rsidRDefault="00BF0599" w:rsidP="00371AF6">
      <w:pPr>
        <w:pStyle w:val="SingleTxtG"/>
      </w:pPr>
      <w:r>
        <w:lastRenderedPageBreak/>
        <w:t>10</w:t>
      </w:r>
      <w:r w:rsidR="00D036B5">
        <w:t>.</w:t>
      </w:r>
      <w:r w:rsidR="008C2531">
        <w:tab/>
        <w:t>Pursuant to rule </w:t>
      </w:r>
      <w:r w:rsidR="00D036B5" w:rsidRPr="007F05ED">
        <w:t>11</w:t>
      </w:r>
      <w:r w:rsidR="00764044">
        <w:t>8</w:t>
      </w:r>
      <w:r w:rsidR="008C2531">
        <w:t>, paragraph </w:t>
      </w:r>
      <w:r w:rsidR="00D036B5" w:rsidRPr="007F05ED">
        <w:t>5, of its rules of procedure, the Committee urges the State party to inform it, within 90</w:t>
      </w:r>
      <w:r w:rsidR="00371AF6">
        <w:t> </w:t>
      </w:r>
      <w:r w:rsidR="00D036B5" w:rsidRPr="007F05ED">
        <w:t>days from the date of the transmittal of th</w:t>
      </w:r>
      <w:r w:rsidR="005C732A">
        <w:t>e present</w:t>
      </w:r>
      <w:r w:rsidR="00D036B5" w:rsidRPr="007F05ED">
        <w:t xml:space="preserve"> decision, of the steps it has taken in </w:t>
      </w:r>
      <w:r w:rsidR="0060181D">
        <w:t>response to the decision expressed above</w:t>
      </w:r>
      <w:r w:rsidR="00D036B5" w:rsidRPr="007F05ED">
        <w:t>.</w:t>
      </w:r>
    </w:p>
    <w:p w:rsidR="008C3D32" w:rsidRPr="008C3D32" w:rsidRDefault="008C3D32" w:rsidP="008C3D32">
      <w:pPr>
        <w:pStyle w:val="SingleTxtG"/>
        <w:spacing w:before="240" w:after="0"/>
        <w:jc w:val="center"/>
        <w:rPr>
          <w:u w:val="single"/>
        </w:rPr>
      </w:pPr>
      <w:r>
        <w:rPr>
          <w:u w:val="single"/>
        </w:rPr>
        <w:tab/>
      </w:r>
      <w:r>
        <w:rPr>
          <w:u w:val="single"/>
        </w:rPr>
        <w:tab/>
      </w:r>
      <w:r>
        <w:rPr>
          <w:u w:val="single"/>
        </w:rPr>
        <w:tab/>
      </w:r>
    </w:p>
    <w:sectPr w:rsidR="008C3D32" w:rsidRPr="008C3D32" w:rsidSect="00560821">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82F" w:rsidRDefault="00FC282F"/>
  </w:endnote>
  <w:endnote w:type="continuationSeparator" w:id="0">
    <w:p w:rsidR="00FC282F" w:rsidRDefault="00FC282F"/>
  </w:endnote>
  <w:endnote w:type="continuationNotice" w:id="1">
    <w:p w:rsidR="00FC282F" w:rsidRDefault="00FC2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95" w:rsidRPr="00560821" w:rsidRDefault="00CB6295" w:rsidP="00560821">
    <w:pPr>
      <w:pStyle w:val="Footer"/>
      <w:tabs>
        <w:tab w:val="right" w:pos="9598"/>
      </w:tabs>
    </w:pPr>
    <w:r w:rsidRPr="00560821">
      <w:rPr>
        <w:b/>
        <w:sz w:val="18"/>
      </w:rPr>
      <w:fldChar w:fldCharType="begin"/>
    </w:r>
    <w:r w:rsidRPr="00560821">
      <w:rPr>
        <w:b/>
        <w:sz w:val="18"/>
      </w:rPr>
      <w:instrText xml:space="preserve"> PAGE  \* MERGEFORMAT </w:instrText>
    </w:r>
    <w:r w:rsidRPr="00560821">
      <w:rPr>
        <w:b/>
        <w:sz w:val="18"/>
      </w:rPr>
      <w:fldChar w:fldCharType="separate"/>
    </w:r>
    <w:r w:rsidR="00CE43F8">
      <w:rPr>
        <w:b/>
        <w:noProof/>
        <w:sz w:val="18"/>
      </w:rPr>
      <w:t>2</w:t>
    </w:r>
    <w:r w:rsidRPr="0056082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95" w:rsidRPr="00560821" w:rsidRDefault="00CB6295" w:rsidP="00560821">
    <w:pPr>
      <w:pStyle w:val="Footer"/>
      <w:tabs>
        <w:tab w:val="right" w:pos="9598"/>
      </w:tabs>
      <w:rPr>
        <w:b/>
        <w:sz w:val="18"/>
      </w:rPr>
    </w:pPr>
    <w:r>
      <w:tab/>
    </w:r>
    <w:r w:rsidRPr="00560821">
      <w:rPr>
        <w:b/>
        <w:sz w:val="18"/>
      </w:rPr>
      <w:fldChar w:fldCharType="begin"/>
    </w:r>
    <w:r w:rsidRPr="00560821">
      <w:rPr>
        <w:b/>
        <w:sz w:val="18"/>
      </w:rPr>
      <w:instrText xml:space="preserve"> PAGE  \* MERGEFORMAT </w:instrText>
    </w:r>
    <w:r w:rsidRPr="00560821">
      <w:rPr>
        <w:b/>
        <w:sz w:val="18"/>
      </w:rPr>
      <w:fldChar w:fldCharType="separate"/>
    </w:r>
    <w:r w:rsidR="00CE43F8">
      <w:rPr>
        <w:b/>
        <w:noProof/>
        <w:sz w:val="18"/>
      </w:rPr>
      <w:t>3</w:t>
    </w:r>
    <w:r w:rsidRPr="0056082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207" w:rsidRPr="00B8503D" w:rsidRDefault="00FC282F" w:rsidP="004E3207">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pt;margin-top:646.25pt;width:73.25pt;height:18.15pt;z-index:1;mso-position-horizontal-relative:margin;mso-position-vertical-relative:margin">
          <v:imagedata r:id="rId1" o:title="recycle_English"/>
          <w10:wrap anchorx="margin" anchory="margin"/>
        </v:shape>
      </w:pict>
    </w:r>
    <w:r w:rsidR="004E3207">
      <w:t>GE.15-</w:t>
    </w:r>
    <w:r w:rsidR="003C1DF7">
      <w:t>00566</w:t>
    </w:r>
  </w:p>
  <w:p w:rsidR="004E3207" w:rsidRPr="00A51E72" w:rsidRDefault="00A51E72" w:rsidP="004E3207">
    <w:pPr>
      <w:pStyle w:val="Footer"/>
      <w:rPr>
        <w:rFonts w:ascii="C39T30Lfz" w:hAnsi="C39T30Lfz"/>
        <w:sz w:val="56"/>
      </w:rPr>
    </w:pPr>
    <w:r w:rsidRPr="00A51E72">
      <w:rPr>
        <w:rFonts w:ascii="C39T30Lfz" w:hAnsi="C39T30Lfz"/>
        <w:sz w:val="56"/>
      </w:rPr>
      <w:t></w:t>
    </w:r>
    <w:r w:rsidRPr="00A51E72">
      <w:rPr>
        <w:rFonts w:ascii="C39T30Lfz" w:hAnsi="C39T30Lfz"/>
        <w:sz w:val="56"/>
      </w:rPr>
      <w:t></w:t>
    </w:r>
    <w:r w:rsidRPr="00A51E72">
      <w:rPr>
        <w:rFonts w:ascii="C39T30Lfz" w:hAnsi="C39T30Lfz"/>
        <w:sz w:val="56"/>
      </w:rPr>
      <w:t></w:t>
    </w:r>
    <w:r w:rsidRPr="00A51E72">
      <w:rPr>
        <w:rFonts w:ascii="C39T30Lfz" w:hAnsi="C39T30Lfz"/>
        <w:sz w:val="56"/>
      </w:rPr>
      <w:t></w:t>
    </w:r>
    <w:r w:rsidRPr="00A51E72">
      <w:rPr>
        <w:rFonts w:ascii="C39T30Lfz" w:hAnsi="C39T30Lfz"/>
        <w:sz w:val="56"/>
      </w:rPr>
      <w:t></w:t>
    </w:r>
    <w:r w:rsidRPr="00A51E72">
      <w:rPr>
        <w:rFonts w:ascii="C39T30Lfz" w:hAnsi="C39T30Lfz"/>
        <w:sz w:val="56"/>
      </w:rPr>
      <w:t></w:t>
    </w:r>
    <w:r w:rsidRPr="00A51E72">
      <w:rPr>
        <w:rFonts w:ascii="C39T30Lfz" w:hAnsi="C39T30Lfz"/>
        <w:sz w:val="56"/>
      </w:rPr>
      <w:t></w:t>
    </w:r>
    <w:r w:rsidRPr="00A51E72">
      <w:rPr>
        <w:rFonts w:ascii="C39T30Lfz" w:hAnsi="C39T30Lfz"/>
        <w:sz w:val="56"/>
      </w:rPr>
      <w:t></w:t>
    </w:r>
    <w:r w:rsidRPr="00A51E72">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82F" w:rsidRPr="000B175B" w:rsidRDefault="00FC282F" w:rsidP="000B175B">
      <w:pPr>
        <w:tabs>
          <w:tab w:val="right" w:pos="2155"/>
        </w:tabs>
        <w:spacing w:after="80"/>
        <w:ind w:left="680"/>
        <w:rPr>
          <w:u w:val="single"/>
        </w:rPr>
      </w:pPr>
      <w:r>
        <w:rPr>
          <w:u w:val="single"/>
        </w:rPr>
        <w:tab/>
      </w:r>
    </w:p>
  </w:footnote>
  <w:footnote w:type="continuationSeparator" w:id="0">
    <w:p w:rsidR="00FC282F" w:rsidRPr="00FC68B7" w:rsidRDefault="00FC282F" w:rsidP="00FC68B7">
      <w:pPr>
        <w:tabs>
          <w:tab w:val="left" w:pos="2155"/>
        </w:tabs>
        <w:spacing w:after="80"/>
        <w:ind w:left="680"/>
        <w:rPr>
          <w:u w:val="single"/>
        </w:rPr>
      </w:pPr>
      <w:r>
        <w:rPr>
          <w:u w:val="single"/>
        </w:rPr>
        <w:tab/>
      </w:r>
    </w:p>
  </w:footnote>
  <w:footnote w:type="continuationNotice" w:id="1">
    <w:p w:rsidR="00FC282F" w:rsidRDefault="00FC282F"/>
  </w:footnote>
  <w:footnote w:id="2">
    <w:p w:rsidR="00120788" w:rsidRPr="001349D3" w:rsidRDefault="00120788" w:rsidP="00120788">
      <w:pPr>
        <w:pStyle w:val="FootnoteText"/>
        <w:widowControl w:val="0"/>
        <w:tabs>
          <w:tab w:val="clear" w:pos="1021"/>
          <w:tab w:val="right" w:pos="1020"/>
        </w:tabs>
        <w:jc w:val="both"/>
      </w:pPr>
      <w:r w:rsidRPr="001349D3">
        <w:tab/>
      </w:r>
      <w:r w:rsidRPr="001349D3">
        <w:rPr>
          <w:rStyle w:val="FootnoteReference"/>
        </w:rPr>
        <w:footnoteRef/>
      </w:r>
      <w:r w:rsidRPr="001349D3">
        <w:tab/>
        <w:t xml:space="preserve">The Kurdish Democratic Party of Iran is the oldest Kurdish opposition group in </w:t>
      </w:r>
      <w:r w:rsidR="006C3C3F">
        <w:t xml:space="preserve">the </w:t>
      </w:r>
      <w:r w:rsidR="006C3C3F" w:rsidRPr="00120788">
        <w:t>Islamic Republic of</w:t>
      </w:r>
      <w:r w:rsidR="006C3C3F">
        <w:rPr>
          <w:lang w:val="en-US"/>
        </w:rPr>
        <w:t xml:space="preserve"> </w:t>
      </w:r>
      <w:r w:rsidRPr="001349D3">
        <w:t>Iran.</w:t>
      </w:r>
      <w:r w:rsidR="006921A1" w:rsidRPr="001349D3">
        <w:t xml:space="preserve"> </w:t>
      </w:r>
    </w:p>
  </w:footnote>
  <w:footnote w:id="3">
    <w:p w:rsidR="00120788" w:rsidRPr="001349D3" w:rsidRDefault="00120788" w:rsidP="00D701E5">
      <w:pPr>
        <w:pStyle w:val="FootnoteText"/>
        <w:widowControl w:val="0"/>
        <w:tabs>
          <w:tab w:val="clear" w:pos="1021"/>
          <w:tab w:val="right" w:pos="1020"/>
        </w:tabs>
        <w:jc w:val="both"/>
      </w:pPr>
      <w:r w:rsidRPr="001349D3">
        <w:tab/>
      </w:r>
      <w:r w:rsidRPr="001349D3">
        <w:rPr>
          <w:rStyle w:val="FootnoteReference"/>
        </w:rPr>
        <w:footnoteRef/>
      </w:r>
      <w:r w:rsidRPr="001349D3">
        <w:tab/>
        <w:t xml:space="preserve">The author refers to the </w:t>
      </w:r>
      <w:r w:rsidRPr="004E3207">
        <w:rPr>
          <w:i/>
          <w:iCs/>
        </w:rPr>
        <w:t>World Report</w:t>
      </w:r>
      <w:r w:rsidRPr="001349D3">
        <w:t xml:space="preserve"> </w:t>
      </w:r>
      <w:r w:rsidR="00D701E5" w:rsidRPr="001349D3">
        <w:rPr>
          <w:i/>
          <w:iCs/>
        </w:rPr>
        <w:t xml:space="preserve">2010 </w:t>
      </w:r>
      <w:r w:rsidR="00A35915" w:rsidRPr="001349D3">
        <w:t>published by Human Rights Watch, which</w:t>
      </w:r>
      <w:r w:rsidR="00A35915" w:rsidRPr="001349D3">
        <w:rPr>
          <w:i/>
          <w:iCs/>
        </w:rPr>
        <w:t xml:space="preserve"> </w:t>
      </w:r>
      <w:r w:rsidRPr="001349D3">
        <w:t>stat</w:t>
      </w:r>
      <w:r w:rsidR="00A35915" w:rsidRPr="001349D3">
        <w:t>es</w:t>
      </w:r>
      <w:r w:rsidRPr="001349D3">
        <w:t xml:space="preserve"> that “both ordinary protestors and prominent opposition figures faced detention without trial, harsh treatment including sexual violence and denial of due process including lack of access to</w:t>
      </w:r>
      <w:r w:rsidR="001A1BF6" w:rsidRPr="001349D3">
        <w:t xml:space="preserve"> lawyers of their choosing”, p. </w:t>
      </w:r>
      <w:r w:rsidRPr="001349D3">
        <w:t>49</w:t>
      </w:r>
      <w:r w:rsidR="00A35915" w:rsidRPr="001349D3">
        <w:t>5</w:t>
      </w:r>
      <w:r w:rsidRPr="001349D3">
        <w:t xml:space="preserve">. </w:t>
      </w:r>
    </w:p>
  </w:footnote>
  <w:footnote w:id="4">
    <w:p w:rsidR="00EF1FB2" w:rsidRPr="001349D3" w:rsidRDefault="00EF1FB2" w:rsidP="003026D6">
      <w:pPr>
        <w:pStyle w:val="FootnoteText"/>
        <w:widowControl w:val="0"/>
        <w:tabs>
          <w:tab w:val="clear" w:pos="1021"/>
          <w:tab w:val="right" w:pos="1020"/>
        </w:tabs>
      </w:pPr>
      <w:r w:rsidRPr="001349D3">
        <w:tab/>
      </w:r>
      <w:r w:rsidRPr="001349D3">
        <w:rPr>
          <w:rStyle w:val="FootnoteReference"/>
        </w:rPr>
        <w:footnoteRef/>
      </w:r>
      <w:r w:rsidRPr="001349D3">
        <w:tab/>
      </w:r>
      <w:r w:rsidR="00D701E5" w:rsidRPr="001349D3">
        <w:t>C</w:t>
      </w:r>
      <w:r w:rsidR="001A1BF6" w:rsidRPr="001349D3">
        <w:t>om</w:t>
      </w:r>
      <w:r w:rsidR="00D701E5" w:rsidRPr="001349D3">
        <w:t xml:space="preserve">munications </w:t>
      </w:r>
      <w:r w:rsidR="00A3595D" w:rsidRPr="001349D3">
        <w:t>No. </w:t>
      </w:r>
      <w:r w:rsidRPr="001349D3">
        <w:t>357/2008</w:t>
      </w:r>
      <w:r w:rsidR="00D701E5" w:rsidRPr="001349D3">
        <w:t>,</w:t>
      </w:r>
      <w:r w:rsidRPr="001349D3">
        <w:t xml:space="preserve"> </w:t>
      </w:r>
      <w:r w:rsidRPr="001349D3">
        <w:rPr>
          <w:i/>
        </w:rPr>
        <w:t>Jahani v. Switzerland</w:t>
      </w:r>
      <w:r w:rsidR="00D701E5" w:rsidRPr="001349D3">
        <w:rPr>
          <w:iCs/>
        </w:rPr>
        <w:t>,</w:t>
      </w:r>
      <w:r w:rsidR="001A1BF6" w:rsidRPr="001349D3">
        <w:t xml:space="preserve"> </w:t>
      </w:r>
      <w:r w:rsidR="00D701E5" w:rsidRPr="001349D3">
        <w:t xml:space="preserve">decision adopted </w:t>
      </w:r>
      <w:r w:rsidR="001A1BF6" w:rsidRPr="001349D3">
        <w:t>o</w:t>
      </w:r>
      <w:r w:rsidR="00D701E5" w:rsidRPr="001349D3">
        <w:t>n</w:t>
      </w:r>
      <w:r w:rsidR="001A1BF6" w:rsidRPr="001349D3">
        <w:t xml:space="preserve"> 23 May 2011</w:t>
      </w:r>
      <w:r w:rsidR="00AC23C0" w:rsidRPr="001349D3">
        <w:t>, para. 9.10</w:t>
      </w:r>
      <w:r w:rsidR="003026D6">
        <w:t>;</w:t>
      </w:r>
      <w:r w:rsidR="001A1BF6" w:rsidRPr="001349D3">
        <w:t xml:space="preserve"> and</w:t>
      </w:r>
      <w:r w:rsidR="00A3595D" w:rsidRPr="001349D3">
        <w:t xml:space="preserve"> No. </w:t>
      </w:r>
      <w:r w:rsidRPr="001349D3">
        <w:t xml:space="preserve">381/2009 </w:t>
      </w:r>
      <w:r w:rsidRPr="001349D3">
        <w:rPr>
          <w:i/>
        </w:rPr>
        <w:t>Faragollah et al. v. Switzerland</w:t>
      </w:r>
      <w:r w:rsidR="00D701E5" w:rsidRPr="001349D3">
        <w:rPr>
          <w:iCs/>
        </w:rPr>
        <w:t>, decision adopted</w:t>
      </w:r>
      <w:r w:rsidRPr="001349D3">
        <w:t xml:space="preserve"> o</w:t>
      </w:r>
      <w:r w:rsidR="00D701E5" w:rsidRPr="001349D3">
        <w:t>n</w:t>
      </w:r>
      <w:r w:rsidRPr="001349D3">
        <w:t xml:space="preserve"> 21 November 2011</w:t>
      </w:r>
      <w:r w:rsidR="00AC23C0" w:rsidRPr="001349D3">
        <w:t>, para. 9.6</w:t>
      </w:r>
      <w:r w:rsidRPr="001349D3">
        <w:t xml:space="preserve">. </w:t>
      </w:r>
    </w:p>
  </w:footnote>
  <w:footnote w:id="5">
    <w:p w:rsidR="00EF1FB2" w:rsidRPr="00AB1764" w:rsidRDefault="00EF1FB2" w:rsidP="002A397C">
      <w:pPr>
        <w:pStyle w:val="FootnoteText"/>
        <w:widowControl w:val="0"/>
        <w:tabs>
          <w:tab w:val="clear" w:pos="1021"/>
          <w:tab w:val="right" w:pos="1020"/>
        </w:tabs>
      </w:pPr>
      <w:r w:rsidRPr="001349D3">
        <w:tab/>
      </w:r>
      <w:r w:rsidRPr="001349D3">
        <w:rPr>
          <w:rStyle w:val="FootnoteReference"/>
        </w:rPr>
        <w:footnoteRef/>
      </w:r>
      <w:r w:rsidRPr="001349D3">
        <w:tab/>
      </w:r>
      <w:r w:rsidR="00AC23C0" w:rsidRPr="00E87506">
        <w:t>See t</w:t>
      </w:r>
      <w:r w:rsidRPr="00E87506">
        <w:t xml:space="preserve">he 2011 </w:t>
      </w:r>
      <w:r w:rsidR="00E87506">
        <w:t>r</w:t>
      </w:r>
      <w:r w:rsidRPr="00E87506">
        <w:t>eport from the German Home Office, Verfassungsschutzbericht, p.</w:t>
      </w:r>
      <w:r w:rsidR="00CE09CC" w:rsidRPr="00E87506">
        <w:t> </w:t>
      </w:r>
      <w:r w:rsidRPr="00E87506">
        <w:t>356</w:t>
      </w:r>
      <w:r w:rsidR="002A397C">
        <w:t xml:space="preserve"> (German only).</w:t>
      </w:r>
      <w:r w:rsidR="00E87506">
        <w:t xml:space="preserve"> </w:t>
      </w:r>
      <w:r w:rsidR="002A397C">
        <w:t>A</w:t>
      </w:r>
      <w:r w:rsidR="00E87506">
        <w:t xml:space="preserve">vailable from </w:t>
      </w:r>
      <w:hyperlink r:id="rId1" w:history="1">
        <w:r w:rsidR="00E87506" w:rsidRPr="00AD4F82">
          <w:rPr>
            <w:rStyle w:val="Hyperlink"/>
            <w:color w:val="auto"/>
            <w:u w:val="none"/>
          </w:rPr>
          <w:t>www.verfassungsschutz.de/download/SHOW/vsbericht_2010.pdf</w:t>
        </w:r>
      </w:hyperlink>
      <w:r w:rsidRPr="00AB1764">
        <w:t xml:space="preserve">. </w:t>
      </w:r>
    </w:p>
  </w:footnote>
  <w:footnote w:id="6">
    <w:p w:rsidR="00EF1FB2" w:rsidRPr="001349D3" w:rsidRDefault="00EF1FB2" w:rsidP="002A397C">
      <w:pPr>
        <w:pStyle w:val="FootnoteText"/>
        <w:widowControl w:val="0"/>
        <w:tabs>
          <w:tab w:val="clear" w:pos="1021"/>
          <w:tab w:val="right" w:pos="1020"/>
        </w:tabs>
      </w:pPr>
      <w:r w:rsidRPr="002A397C">
        <w:tab/>
      </w:r>
      <w:r w:rsidRPr="002A397C">
        <w:rPr>
          <w:rStyle w:val="FootnoteReference"/>
        </w:rPr>
        <w:footnoteRef/>
      </w:r>
      <w:r w:rsidRPr="002A397C">
        <w:tab/>
        <w:t>Dani</w:t>
      </w:r>
      <w:r w:rsidR="00CE09CC" w:rsidRPr="002A397C">
        <w:t xml:space="preserve">sh Immigration </w:t>
      </w:r>
      <w:r w:rsidR="002A397C">
        <w:t>S</w:t>
      </w:r>
      <w:r w:rsidR="00CE09CC" w:rsidRPr="002A397C">
        <w:t>ervice</w:t>
      </w:r>
      <w:r w:rsidR="002A397C">
        <w:t>, “Human rights situation for minorities, women and converts, and entry and exit procedures, ID cards, summons and reporting, etc.”,</w:t>
      </w:r>
      <w:r w:rsidR="00CE09CC" w:rsidRPr="002A397C">
        <w:t xml:space="preserve"> 2009, p. </w:t>
      </w:r>
      <w:r w:rsidRPr="002A397C">
        <w:t>34</w:t>
      </w:r>
      <w:r w:rsidR="002A397C">
        <w:t xml:space="preserve">. Available from </w:t>
      </w:r>
      <w:r w:rsidR="002A397C" w:rsidRPr="004E3207">
        <w:t>www.nyidanmark.dk/NR/rdonlyres/90D772D5-F2DA-45BE-9DBB-87E00CD0EB83/0/iran_report_final.pdf</w:t>
      </w:r>
      <w:r w:rsidR="002A397C">
        <w:t xml:space="preserve"> </w:t>
      </w:r>
      <w:r w:rsidRPr="002A397C">
        <w:t>.</w:t>
      </w:r>
      <w:r w:rsidRPr="001349D3">
        <w:t xml:space="preserve"> </w:t>
      </w:r>
    </w:p>
  </w:footnote>
  <w:footnote w:id="7">
    <w:p w:rsidR="0029780A" w:rsidRPr="001349D3" w:rsidRDefault="0029780A" w:rsidP="003026D6">
      <w:pPr>
        <w:pStyle w:val="FootnoteText"/>
        <w:widowControl w:val="0"/>
        <w:tabs>
          <w:tab w:val="clear" w:pos="1021"/>
          <w:tab w:val="right" w:pos="1020"/>
        </w:tabs>
      </w:pPr>
      <w:r w:rsidRPr="001349D3">
        <w:tab/>
      </w:r>
      <w:r w:rsidRPr="001349D3">
        <w:rPr>
          <w:rStyle w:val="FootnoteReference"/>
        </w:rPr>
        <w:footnoteRef/>
      </w:r>
      <w:r w:rsidRPr="001349D3">
        <w:tab/>
        <w:t>See E</w:t>
      </w:r>
      <w:r w:rsidR="001349D3" w:rsidRPr="001349D3">
        <w:t xml:space="preserve">uropean </w:t>
      </w:r>
      <w:r w:rsidRPr="001349D3">
        <w:t>C</w:t>
      </w:r>
      <w:r w:rsidR="001349D3" w:rsidRPr="001349D3">
        <w:t xml:space="preserve">ourt of </w:t>
      </w:r>
      <w:r w:rsidRPr="001349D3">
        <w:t>H</w:t>
      </w:r>
      <w:r w:rsidR="001349D3" w:rsidRPr="001349D3">
        <w:t xml:space="preserve">uman </w:t>
      </w:r>
      <w:r w:rsidRPr="001349D3">
        <w:t>R</w:t>
      </w:r>
      <w:r w:rsidR="001349D3" w:rsidRPr="001349D3">
        <w:t>ights</w:t>
      </w:r>
      <w:r w:rsidRPr="001349D3">
        <w:t>, Application</w:t>
      </w:r>
      <w:r w:rsidR="001349D3">
        <w:t>s</w:t>
      </w:r>
      <w:r w:rsidR="00A3595D" w:rsidRPr="001349D3">
        <w:t xml:space="preserve"> No. </w:t>
      </w:r>
      <w:r w:rsidRPr="001349D3">
        <w:t xml:space="preserve">41827/07, </w:t>
      </w:r>
      <w:r w:rsidRPr="001349D3">
        <w:rPr>
          <w:i/>
        </w:rPr>
        <w:t>R.C. v. Sweden</w:t>
      </w:r>
      <w:r w:rsidR="001349D3" w:rsidRPr="001349D3">
        <w:t>, decision adopted on 9 March 2010</w:t>
      </w:r>
      <w:r w:rsidR="004B30A1" w:rsidRPr="001349D3">
        <w:t>, paras</w:t>
      </w:r>
      <w:r w:rsidR="001349D3" w:rsidRPr="001349D3">
        <w:t>.</w:t>
      </w:r>
      <w:r w:rsidR="004B30A1" w:rsidRPr="001349D3">
        <w:t> </w:t>
      </w:r>
      <w:r w:rsidRPr="001349D3">
        <w:t>35 and 36</w:t>
      </w:r>
      <w:r w:rsidR="003026D6">
        <w:t>;</w:t>
      </w:r>
      <w:r w:rsidR="001349D3">
        <w:t xml:space="preserve"> and No.</w:t>
      </w:r>
      <w:r w:rsidRPr="001349D3">
        <w:t xml:space="preserve"> 25904/07, </w:t>
      </w:r>
      <w:r w:rsidRPr="001349D3">
        <w:rPr>
          <w:i/>
        </w:rPr>
        <w:t>NA. v. the United Kingdom</w:t>
      </w:r>
      <w:r w:rsidR="00CE09CC" w:rsidRPr="001349D3">
        <w:t>, paras</w:t>
      </w:r>
      <w:r w:rsidR="008A7F78">
        <w:t>.</w:t>
      </w:r>
      <w:r w:rsidR="00CE09CC" w:rsidRPr="001349D3">
        <w:t> </w:t>
      </w:r>
      <w:r w:rsidRPr="001349D3">
        <w:t>134</w:t>
      </w:r>
      <w:r w:rsidR="008A7F78">
        <w:t>–</w:t>
      </w:r>
      <w:r w:rsidRPr="001349D3">
        <w:t>136, de</w:t>
      </w:r>
      <w:r w:rsidR="00CE09CC" w:rsidRPr="001349D3">
        <w:t>cision adopted on 17 July 2008.</w:t>
      </w:r>
    </w:p>
  </w:footnote>
  <w:footnote w:id="8">
    <w:p w:rsidR="0029780A" w:rsidRPr="001349D3" w:rsidRDefault="0029780A" w:rsidP="002D27E1">
      <w:pPr>
        <w:pStyle w:val="FootnoteText"/>
        <w:widowControl w:val="0"/>
        <w:tabs>
          <w:tab w:val="clear" w:pos="1021"/>
          <w:tab w:val="right" w:pos="1020"/>
        </w:tabs>
      </w:pPr>
      <w:r w:rsidRPr="001349D3">
        <w:tab/>
      </w:r>
      <w:r w:rsidRPr="001349D3">
        <w:rPr>
          <w:rStyle w:val="FootnoteReference"/>
        </w:rPr>
        <w:footnoteRef/>
      </w:r>
      <w:r w:rsidRPr="001349D3">
        <w:tab/>
        <w:t>The State party refers to communication</w:t>
      </w:r>
      <w:r w:rsidR="00A3595D" w:rsidRPr="001349D3">
        <w:t xml:space="preserve"> No. </w:t>
      </w:r>
      <w:r w:rsidRPr="001349D3">
        <w:t xml:space="preserve">419/2010, </w:t>
      </w:r>
      <w:r w:rsidRPr="001349D3">
        <w:rPr>
          <w:i/>
        </w:rPr>
        <w:t>Ktiti v. Morocco</w:t>
      </w:r>
      <w:r w:rsidRPr="001349D3">
        <w:t xml:space="preserve">, decision adopted on </w:t>
      </w:r>
      <w:r w:rsidR="003568B5">
        <w:t>26</w:t>
      </w:r>
      <w:r w:rsidRPr="001349D3">
        <w:t xml:space="preserve"> May 20</w:t>
      </w:r>
      <w:r w:rsidR="003568B5">
        <w:t>11</w:t>
      </w:r>
      <w:r w:rsidR="004B30A1" w:rsidRPr="001349D3">
        <w:t>, para</w:t>
      </w:r>
      <w:r w:rsidR="002D27E1">
        <w:t>.</w:t>
      </w:r>
      <w:r w:rsidR="004B30A1" w:rsidRPr="001349D3">
        <w:t> </w:t>
      </w:r>
      <w:r w:rsidR="00502C49" w:rsidRPr="001349D3">
        <w:t>8.7.</w:t>
      </w:r>
    </w:p>
  </w:footnote>
  <w:footnote w:id="9">
    <w:p w:rsidR="0029780A" w:rsidRPr="001349D3" w:rsidRDefault="0029780A" w:rsidP="0029780A">
      <w:pPr>
        <w:pStyle w:val="FootnoteText"/>
        <w:widowControl w:val="0"/>
        <w:tabs>
          <w:tab w:val="clear" w:pos="1021"/>
          <w:tab w:val="right" w:pos="1020"/>
        </w:tabs>
      </w:pPr>
      <w:r w:rsidRPr="001349D3">
        <w:tab/>
      </w:r>
      <w:r w:rsidRPr="001349D3">
        <w:rPr>
          <w:rStyle w:val="FootnoteReference"/>
        </w:rPr>
        <w:footnoteRef/>
      </w:r>
      <w:r w:rsidRPr="001349D3">
        <w:tab/>
        <w:t>Ibid</w:t>
      </w:r>
      <w:r w:rsidR="006C3C3F">
        <w:t>.</w:t>
      </w:r>
      <w:r w:rsidR="002D27E1" w:rsidRPr="001349D3">
        <w:t>, para</w:t>
      </w:r>
      <w:r w:rsidR="002D27E1">
        <w:t>.</w:t>
      </w:r>
      <w:r w:rsidR="002D27E1" w:rsidRPr="001349D3">
        <w:t> 8.7</w:t>
      </w:r>
      <w:r w:rsidRPr="001349D3">
        <w:t xml:space="preserve">. </w:t>
      </w:r>
    </w:p>
  </w:footnote>
  <w:footnote w:id="10">
    <w:p w:rsidR="001F5C5D" w:rsidRPr="001349D3" w:rsidRDefault="001F5C5D" w:rsidP="00D51CF1">
      <w:pPr>
        <w:pStyle w:val="FootnoteText"/>
        <w:widowControl w:val="0"/>
        <w:tabs>
          <w:tab w:val="clear" w:pos="1021"/>
          <w:tab w:val="right" w:pos="1020"/>
        </w:tabs>
      </w:pPr>
      <w:r w:rsidRPr="001349D3">
        <w:tab/>
      </w:r>
      <w:r w:rsidRPr="001349D3">
        <w:rPr>
          <w:rStyle w:val="FootnoteReference"/>
        </w:rPr>
        <w:footnoteRef/>
      </w:r>
      <w:r w:rsidRPr="001349D3">
        <w:tab/>
      </w:r>
      <w:r w:rsidR="00CE6F51" w:rsidRPr="001349D3">
        <w:t>S</w:t>
      </w:r>
      <w:r w:rsidRPr="001349D3">
        <w:t xml:space="preserve">ee note </w:t>
      </w:r>
      <w:r w:rsidR="00D51CF1">
        <w:t>6</w:t>
      </w:r>
      <w:r w:rsidR="00CE6F51" w:rsidRPr="001349D3">
        <w:t xml:space="preserve"> above</w:t>
      </w:r>
      <w:r w:rsidRPr="001349D3">
        <w:t xml:space="preserve">. </w:t>
      </w:r>
    </w:p>
  </w:footnote>
  <w:footnote w:id="11">
    <w:p w:rsidR="001F5C5D" w:rsidRPr="001349D3" w:rsidRDefault="001F5C5D" w:rsidP="004E3207">
      <w:pPr>
        <w:pStyle w:val="FootnoteText"/>
        <w:widowControl w:val="0"/>
        <w:tabs>
          <w:tab w:val="clear" w:pos="1021"/>
          <w:tab w:val="right" w:pos="1020"/>
        </w:tabs>
      </w:pPr>
      <w:r w:rsidRPr="001349D3">
        <w:tab/>
      </w:r>
      <w:r w:rsidRPr="001349D3">
        <w:rPr>
          <w:rStyle w:val="FootnoteReference"/>
        </w:rPr>
        <w:footnoteRef/>
      </w:r>
      <w:r w:rsidRPr="001349D3">
        <w:tab/>
        <w:t>The complainant refers to the recent decision of the European Court o</w:t>
      </w:r>
      <w:r w:rsidR="006C3C3F">
        <w:t>f</w:t>
      </w:r>
      <w:r w:rsidRPr="001349D3">
        <w:t xml:space="preserve"> Human Rights</w:t>
      </w:r>
      <w:r w:rsidR="009E3171">
        <w:t xml:space="preserve"> concerning Application </w:t>
      </w:r>
      <w:r w:rsidR="00A3595D" w:rsidRPr="001349D3">
        <w:t>No. </w:t>
      </w:r>
      <w:r w:rsidRPr="001349D3">
        <w:t>52077/10</w:t>
      </w:r>
      <w:r w:rsidRPr="001349D3">
        <w:rPr>
          <w:i/>
        </w:rPr>
        <w:t xml:space="preserve">, </w:t>
      </w:r>
      <w:r w:rsidR="009E3171">
        <w:rPr>
          <w:i/>
        </w:rPr>
        <w:t xml:space="preserve">Case of </w:t>
      </w:r>
      <w:r w:rsidRPr="001349D3">
        <w:rPr>
          <w:i/>
        </w:rPr>
        <w:t>S.F. and others v. Sweden</w:t>
      </w:r>
      <w:r w:rsidRPr="001349D3">
        <w:t xml:space="preserve">, adopted on 15 May 2012, </w:t>
      </w:r>
      <w:r w:rsidR="009E3171">
        <w:t xml:space="preserve">in </w:t>
      </w:r>
      <w:r w:rsidRPr="001349D3">
        <w:t>wh</w:t>
      </w:r>
      <w:r w:rsidR="009E3171">
        <w:t>ich</w:t>
      </w:r>
      <w:r w:rsidRPr="001349D3">
        <w:t xml:space="preserve"> the Court referred to </w:t>
      </w:r>
      <w:r w:rsidR="00D653C7">
        <w:t xml:space="preserve">the </w:t>
      </w:r>
      <w:r w:rsidR="00D653C7" w:rsidRPr="00120788">
        <w:t xml:space="preserve">Islamic Republic of </w:t>
      </w:r>
      <w:r w:rsidRPr="001349D3">
        <w:t>Iran as “a country where on all accounts the human rights situation gives rise to grave concern. It is noted that the country information has changed and that the situation appears to have deteriorated in Iran since the domestic authorities determined the case. It is evident from the current information available on Iran</w:t>
      </w:r>
      <w:r w:rsidR="009E3171">
        <w:t xml:space="preserve"> …</w:t>
      </w:r>
      <w:r w:rsidRPr="001349D3">
        <w:t xml:space="preserve"> that the Iranian authorities frequently detain and ill-treat persons who peacefully participate in oppositional or human rights activities in the country. The Court notes that it is not only the leaders of the political organizations or other high-profile persons who are detained but that anyone who demonstrates or in any way opposes the current regime may be at risk of being detain</w:t>
      </w:r>
      <w:r w:rsidR="00530928" w:rsidRPr="001349D3">
        <w:t>ed or ill-treated or tortured”</w:t>
      </w:r>
      <w:r w:rsidR="003663EB">
        <w:t xml:space="preserve">, para. </w:t>
      </w:r>
      <w:r w:rsidR="009E3171">
        <w:t>63</w:t>
      </w:r>
      <w:r w:rsidR="003663EB">
        <w:t>.</w:t>
      </w:r>
    </w:p>
  </w:footnote>
  <w:footnote w:id="12">
    <w:p w:rsidR="00FD3D8C" w:rsidRPr="001349D3" w:rsidRDefault="00FD3D8C" w:rsidP="00BB25E5">
      <w:pPr>
        <w:pStyle w:val="FootnoteText"/>
        <w:widowControl w:val="0"/>
        <w:tabs>
          <w:tab w:val="clear" w:pos="1021"/>
          <w:tab w:val="right" w:pos="1020"/>
        </w:tabs>
      </w:pPr>
      <w:r w:rsidRPr="001349D3">
        <w:tab/>
      </w:r>
      <w:r w:rsidRPr="001349D3">
        <w:rPr>
          <w:rStyle w:val="FootnoteReference"/>
        </w:rPr>
        <w:footnoteRef/>
      </w:r>
      <w:r w:rsidR="00AF317C" w:rsidRPr="001349D3">
        <w:tab/>
      </w:r>
      <w:r w:rsidR="00AF317C" w:rsidRPr="004E3207">
        <w:rPr>
          <w:i/>
          <w:iCs/>
        </w:rPr>
        <w:t>BA (Demonstrators in Britain</w:t>
      </w:r>
      <w:r w:rsidR="00BB25E5" w:rsidRPr="004E3207">
        <w:rPr>
          <w:i/>
          <w:iCs/>
        </w:rPr>
        <w:t xml:space="preserve"> –</w:t>
      </w:r>
      <w:r w:rsidRPr="004E3207">
        <w:rPr>
          <w:i/>
          <w:iCs/>
        </w:rPr>
        <w:t xml:space="preserve"> risk on return)</w:t>
      </w:r>
      <w:r w:rsidRPr="001349D3">
        <w:t xml:space="preserve"> </w:t>
      </w:r>
      <w:r w:rsidRPr="001349D3">
        <w:rPr>
          <w:i/>
          <w:iCs/>
        </w:rPr>
        <w:t>Iran v. Secretary of State for the Home Department</w:t>
      </w:r>
      <w:r w:rsidRPr="001349D3">
        <w:t xml:space="preserve">, United Kingdom: Upper Tribunal (Immigration and Asylum Chamber) </w:t>
      </w:r>
      <w:r w:rsidR="00BB25E5">
        <w:t>(</w:t>
      </w:r>
      <w:r w:rsidR="00BB25E5" w:rsidRPr="001349D3">
        <w:t xml:space="preserve">CG </w:t>
      </w:r>
      <w:r w:rsidR="00BB25E5">
        <w:t>[</w:t>
      </w:r>
      <w:r w:rsidR="00BB25E5" w:rsidRPr="001349D3">
        <w:t>2011</w:t>
      </w:r>
      <w:r w:rsidR="00BB25E5">
        <w:t>]</w:t>
      </w:r>
      <w:r w:rsidR="00BB25E5" w:rsidRPr="001349D3">
        <w:t xml:space="preserve"> UKUT 36 (IAC)</w:t>
      </w:r>
      <w:r w:rsidR="00BB25E5">
        <w:t>)</w:t>
      </w:r>
      <w:r w:rsidR="00BB25E5" w:rsidRPr="001349D3">
        <w:t xml:space="preserve">, </w:t>
      </w:r>
      <w:r w:rsidRPr="001349D3">
        <w:t xml:space="preserve">1 February 2011. </w:t>
      </w:r>
    </w:p>
  </w:footnote>
  <w:footnote w:id="13">
    <w:p w:rsidR="00FD3D8C" w:rsidRPr="001349D3" w:rsidRDefault="00FD3D8C" w:rsidP="00BE3095">
      <w:pPr>
        <w:pStyle w:val="FootnoteText"/>
        <w:widowControl w:val="0"/>
        <w:tabs>
          <w:tab w:val="clear" w:pos="1021"/>
          <w:tab w:val="right" w:pos="1020"/>
        </w:tabs>
      </w:pPr>
      <w:r w:rsidRPr="001349D3">
        <w:tab/>
      </w:r>
      <w:r w:rsidRPr="001349D3">
        <w:rPr>
          <w:rStyle w:val="FootnoteReference"/>
        </w:rPr>
        <w:footnoteRef/>
      </w:r>
      <w:r w:rsidRPr="001349D3">
        <w:tab/>
        <w:t>The political activities mentioned by the complainant include participation in a U</w:t>
      </w:r>
      <w:r w:rsidR="00BE3095">
        <w:t xml:space="preserve">nited </w:t>
      </w:r>
      <w:r w:rsidRPr="001349D3">
        <w:t>N</w:t>
      </w:r>
      <w:r w:rsidR="00BE3095">
        <w:t>ations</w:t>
      </w:r>
      <w:r w:rsidRPr="001349D3">
        <w:t xml:space="preserve"> conference concerning human rights (Geneva, 12 March 2013); </w:t>
      </w:r>
      <w:r w:rsidR="00BE3095" w:rsidRPr="001349D3">
        <w:t>ceremon</w:t>
      </w:r>
      <w:r w:rsidR="00BE3095">
        <w:t>ies</w:t>
      </w:r>
      <w:r w:rsidR="00BE3095" w:rsidRPr="001349D3">
        <w:t xml:space="preserve"> </w:t>
      </w:r>
      <w:r w:rsidRPr="001349D3">
        <w:t>commemorati</w:t>
      </w:r>
      <w:r w:rsidR="004B30A1" w:rsidRPr="001349D3">
        <w:t>n</w:t>
      </w:r>
      <w:r w:rsidR="00BE3095">
        <w:t>g</w:t>
      </w:r>
      <w:r w:rsidR="004B30A1" w:rsidRPr="001349D3">
        <w:t xml:space="preserve"> the death of Dr. </w:t>
      </w:r>
      <w:r w:rsidRPr="001349D3">
        <w:t xml:space="preserve">Abdul Rahman Qassemblu, a former leader of </w:t>
      </w:r>
      <w:r w:rsidR="00BE3095">
        <w:t xml:space="preserve">the </w:t>
      </w:r>
      <w:r w:rsidRPr="001349D3">
        <w:t>KDPI (Paris, 13 July 2013 and Biel, 14 July 2012); publications in newspapers</w:t>
      </w:r>
      <w:r w:rsidR="00BE3095">
        <w:t>;</w:t>
      </w:r>
      <w:r w:rsidRPr="001349D3">
        <w:t xml:space="preserve"> and participation in </w:t>
      </w:r>
      <w:r w:rsidR="00BE3095">
        <w:t>a television</w:t>
      </w:r>
      <w:r w:rsidRPr="001349D3">
        <w:t xml:space="preserve"> debate. </w:t>
      </w:r>
    </w:p>
  </w:footnote>
  <w:footnote w:id="14">
    <w:p w:rsidR="00FD3D8C" w:rsidRPr="001349D3" w:rsidRDefault="00FD3D8C" w:rsidP="00764C18">
      <w:pPr>
        <w:pStyle w:val="FootnoteText"/>
        <w:widowControl w:val="0"/>
        <w:tabs>
          <w:tab w:val="clear" w:pos="1021"/>
          <w:tab w:val="right" w:pos="1020"/>
        </w:tabs>
      </w:pPr>
      <w:r w:rsidRPr="001349D3">
        <w:tab/>
      </w:r>
      <w:r w:rsidRPr="001349D3">
        <w:rPr>
          <w:rStyle w:val="FootnoteReference"/>
        </w:rPr>
        <w:footnoteRef/>
      </w:r>
      <w:r w:rsidRPr="001349D3">
        <w:tab/>
        <w:t xml:space="preserve">The religious activities mentioned by the complainant include volunteering </w:t>
      </w:r>
      <w:r w:rsidR="00BE3095">
        <w:t>at</w:t>
      </w:r>
      <w:r w:rsidRPr="001349D3">
        <w:t xml:space="preserve"> a Christian drop-in centre for drug</w:t>
      </w:r>
      <w:r w:rsidR="00BE3095">
        <w:t xml:space="preserve"> </w:t>
      </w:r>
      <w:r w:rsidRPr="001349D3">
        <w:t>addict</w:t>
      </w:r>
      <w:r w:rsidR="00BE3095">
        <w:t>s</w:t>
      </w:r>
      <w:r w:rsidRPr="001349D3">
        <w:t xml:space="preserve"> and participat</w:t>
      </w:r>
      <w:r w:rsidR="00BE3095">
        <w:t>ing</w:t>
      </w:r>
      <w:r w:rsidRPr="001349D3">
        <w:t xml:space="preserve"> in a play </w:t>
      </w:r>
      <w:r w:rsidR="00BE3095">
        <w:t xml:space="preserve">performed at </w:t>
      </w:r>
      <w:r w:rsidRPr="001349D3">
        <w:t xml:space="preserve">the Adventist Church in Schaffhausen. </w:t>
      </w:r>
    </w:p>
  </w:footnote>
  <w:footnote w:id="15">
    <w:p w:rsidR="00FF61B4" w:rsidRPr="001349D3" w:rsidRDefault="00FF61B4" w:rsidP="00764C18">
      <w:pPr>
        <w:pStyle w:val="FootnoteText"/>
        <w:widowControl w:val="0"/>
        <w:tabs>
          <w:tab w:val="clear" w:pos="1021"/>
          <w:tab w:val="right" w:pos="1020"/>
        </w:tabs>
      </w:pPr>
      <w:r w:rsidRPr="001349D3">
        <w:tab/>
      </w:r>
      <w:r w:rsidRPr="001349D3">
        <w:rPr>
          <w:rStyle w:val="FootnoteReference"/>
        </w:rPr>
        <w:footnoteRef/>
      </w:r>
      <w:r w:rsidRPr="001349D3">
        <w:tab/>
        <w:t>See, inter alia, communication</w:t>
      </w:r>
      <w:r w:rsidR="0005356D">
        <w:t>s</w:t>
      </w:r>
      <w:r w:rsidR="00A3595D" w:rsidRPr="001349D3">
        <w:t xml:space="preserve"> No. </w:t>
      </w:r>
      <w:r w:rsidRPr="001349D3">
        <w:t xml:space="preserve">426/2010, </w:t>
      </w:r>
      <w:r w:rsidRPr="001349D3">
        <w:rPr>
          <w:i/>
        </w:rPr>
        <w:t>R.D. v. Switzerland</w:t>
      </w:r>
      <w:r w:rsidRPr="001349D3">
        <w:t>, decision a</w:t>
      </w:r>
      <w:r w:rsidR="004B30A1" w:rsidRPr="001349D3">
        <w:t>dopted on 8 November 2013, para. </w:t>
      </w:r>
      <w:r w:rsidRPr="001349D3">
        <w:t>9.2;</w:t>
      </w:r>
      <w:r w:rsidR="0005356D">
        <w:t xml:space="preserve"> and</w:t>
      </w:r>
      <w:r w:rsidRPr="001349D3">
        <w:t xml:space="preserve"> </w:t>
      </w:r>
      <w:r w:rsidR="00A3595D" w:rsidRPr="001349D3">
        <w:t>No. </w:t>
      </w:r>
      <w:r w:rsidRPr="001349D3">
        <w:t xml:space="preserve">413/2010, </w:t>
      </w:r>
      <w:r w:rsidRPr="001349D3">
        <w:rPr>
          <w:i/>
        </w:rPr>
        <w:t>A.A.M. v. Sweden</w:t>
      </w:r>
      <w:r w:rsidRPr="001349D3">
        <w:t>, decisi</w:t>
      </w:r>
      <w:r w:rsidR="004B30A1" w:rsidRPr="001349D3">
        <w:t>on adopted on 23 May 2012, para. </w:t>
      </w:r>
      <w:r w:rsidRPr="001349D3">
        <w:t xml:space="preserve">9.3. </w:t>
      </w:r>
    </w:p>
  </w:footnote>
  <w:footnote w:id="16">
    <w:p w:rsidR="00910A53" w:rsidRPr="00A86EED" w:rsidRDefault="00910A53" w:rsidP="00A86EED">
      <w:pPr>
        <w:pStyle w:val="FootnoteText"/>
        <w:widowControl w:val="0"/>
        <w:tabs>
          <w:tab w:val="clear" w:pos="1021"/>
          <w:tab w:val="right" w:pos="1020"/>
        </w:tabs>
      </w:pPr>
      <w:r w:rsidRPr="001349D3">
        <w:tab/>
      </w:r>
      <w:r w:rsidRPr="001349D3">
        <w:rPr>
          <w:rStyle w:val="FootnoteReference"/>
        </w:rPr>
        <w:footnoteRef/>
      </w:r>
      <w:r w:rsidRPr="001349D3">
        <w:tab/>
        <w:t>See, inter alia,</w:t>
      </w:r>
      <w:r w:rsidRPr="001349D3">
        <w:rPr>
          <w:szCs w:val="18"/>
        </w:rPr>
        <w:t xml:space="preserve"> communication</w:t>
      </w:r>
      <w:r w:rsidR="003026D6">
        <w:rPr>
          <w:szCs w:val="18"/>
        </w:rPr>
        <w:t>s No.</w:t>
      </w:r>
      <w:r w:rsidRPr="001349D3">
        <w:rPr>
          <w:szCs w:val="18"/>
        </w:rPr>
        <w:t xml:space="preserve"> 435/2010, </w:t>
      </w:r>
      <w:r w:rsidRPr="001349D3">
        <w:rPr>
          <w:i/>
          <w:szCs w:val="18"/>
        </w:rPr>
        <w:t>G.B.M. v. Sweden</w:t>
      </w:r>
      <w:r w:rsidRPr="001349D3">
        <w:rPr>
          <w:szCs w:val="18"/>
        </w:rPr>
        <w:t>, decision ad</w:t>
      </w:r>
      <w:r w:rsidR="004B30A1" w:rsidRPr="001349D3">
        <w:rPr>
          <w:szCs w:val="18"/>
        </w:rPr>
        <w:t>opted on 14 November 2012, para. </w:t>
      </w:r>
      <w:r w:rsidRPr="001349D3">
        <w:rPr>
          <w:szCs w:val="18"/>
        </w:rPr>
        <w:t>7.</w:t>
      </w:r>
      <w:r w:rsidR="00FD1B93">
        <w:rPr>
          <w:szCs w:val="18"/>
        </w:rPr>
        <w:t>4</w:t>
      </w:r>
      <w:r w:rsidRPr="001349D3">
        <w:rPr>
          <w:szCs w:val="18"/>
        </w:rPr>
        <w:t xml:space="preserve">; </w:t>
      </w:r>
      <w:r w:rsidR="00A3595D" w:rsidRPr="001349D3">
        <w:rPr>
          <w:szCs w:val="18"/>
        </w:rPr>
        <w:t>No. </w:t>
      </w:r>
      <w:r w:rsidRPr="001349D3">
        <w:rPr>
          <w:szCs w:val="18"/>
        </w:rPr>
        <w:t xml:space="preserve">463/2011, </w:t>
      </w:r>
      <w:r w:rsidRPr="001349D3">
        <w:rPr>
          <w:i/>
          <w:szCs w:val="18"/>
        </w:rPr>
        <w:t>D.Y. v. Sweden</w:t>
      </w:r>
      <w:r w:rsidRPr="001349D3">
        <w:rPr>
          <w:szCs w:val="18"/>
        </w:rPr>
        <w:t>, decision adopted on 21 May 2013, para</w:t>
      </w:r>
      <w:r w:rsidR="004B30A1" w:rsidRPr="001349D3">
        <w:rPr>
          <w:szCs w:val="18"/>
        </w:rPr>
        <w:t>. </w:t>
      </w:r>
      <w:r w:rsidRPr="001349D3">
        <w:rPr>
          <w:szCs w:val="18"/>
        </w:rPr>
        <w:t xml:space="preserve">9.4; </w:t>
      </w:r>
      <w:r w:rsidR="003026D6">
        <w:rPr>
          <w:szCs w:val="18"/>
        </w:rPr>
        <w:t xml:space="preserve">and </w:t>
      </w:r>
      <w:r w:rsidR="00A3595D" w:rsidRPr="001349D3">
        <w:rPr>
          <w:szCs w:val="18"/>
        </w:rPr>
        <w:t>No. </w:t>
      </w:r>
      <w:r w:rsidRPr="001349D3">
        <w:rPr>
          <w:szCs w:val="18"/>
        </w:rPr>
        <w:t xml:space="preserve">455/2011, </w:t>
      </w:r>
      <w:r w:rsidRPr="001349D3">
        <w:rPr>
          <w:i/>
          <w:szCs w:val="18"/>
        </w:rPr>
        <w:t>X.Q.L. v. Australia</w:t>
      </w:r>
      <w:r w:rsidRPr="001349D3">
        <w:rPr>
          <w:szCs w:val="18"/>
        </w:rPr>
        <w:t>, decis</w:t>
      </w:r>
      <w:r w:rsidR="004B30A1" w:rsidRPr="001349D3">
        <w:rPr>
          <w:szCs w:val="18"/>
        </w:rPr>
        <w:t>ion adopted on 2 May 2014, para. </w:t>
      </w:r>
      <w:r w:rsidRPr="00A86EED">
        <w:rPr>
          <w:szCs w:val="18"/>
        </w:rPr>
        <w:t>9.3.</w:t>
      </w:r>
      <w:r w:rsidR="006921A1" w:rsidRPr="00A86EED">
        <w:t xml:space="preserve"> </w:t>
      </w:r>
    </w:p>
  </w:footnote>
  <w:footnote w:id="17">
    <w:p w:rsidR="00910A53" w:rsidRPr="00A86EED" w:rsidRDefault="00910A53" w:rsidP="00910A53">
      <w:pPr>
        <w:pStyle w:val="FootnoteText"/>
        <w:widowControl w:val="0"/>
        <w:tabs>
          <w:tab w:val="clear" w:pos="1021"/>
          <w:tab w:val="right" w:pos="1020"/>
        </w:tabs>
      </w:pPr>
      <w:r w:rsidRPr="00A86EED">
        <w:tab/>
      </w:r>
      <w:r w:rsidRPr="001349D3">
        <w:rPr>
          <w:rStyle w:val="FootnoteReference"/>
        </w:rPr>
        <w:footnoteRef/>
      </w:r>
      <w:r w:rsidRPr="00A86EED">
        <w:tab/>
      </w:r>
      <w:r w:rsidRPr="001349D3">
        <w:rPr>
          <w:rStyle w:val="FootnoteReference"/>
          <w:szCs w:val="18"/>
          <w:vertAlign w:val="baseline"/>
        </w:rPr>
        <w:t xml:space="preserve">See, </w:t>
      </w:r>
      <w:r w:rsidRPr="001349D3">
        <w:rPr>
          <w:rStyle w:val="FootnoteReference"/>
          <w:iCs/>
          <w:szCs w:val="18"/>
          <w:vertAlign w:val="baseline"/>
        </w:rPr>
        <w:t>inter alia</w:t>
      </w:r>
      <w:r w:rsidRPr="001349D3">
        <w:rPr>
          <w:rStyle w:val="FootnoteReference"/>
          <w:szCs w:val="18"/>
          <w:vertAlign w:val="baseline"/>
        </w:rPr>
        <w:t>, communication</w:t>
      </w:r>
      <w:r w:rsidR="00A3595D" w:rsidRPr="001349D3">
        <w:rPr>
          <w:rStyle w:val="FootnoteReference"/>
          <w:szCs w:val="18"/>
          <w:vertAlign w:val="baseline"/>
        </w:rPr>
        <w:t xml:space="preserve"> No. </w:t>
      </w:r>
      <w:r w:rsidRPr="001349D3">
        <w:rPr>
          <w:rStyle w:val="FootnoteReference"/>
          <w:szCs w:val="18"/>
          <w:vertAlign w:val="baseline"/>
        </w:rPr>
        <w:t xml:space="preserve">356/2008, </w:t>
      </w:r>
      <w:r w:rsidRPr="001349D3">
        <w:rPr>
          <w:rStyle w:val="FootnoteReference"/>
          <w:i/>
          <w:szCs w:val="18"/>
          <w:vertAlign w:val="baseline"/>
        </w:rPr>
        <w:t>N.S</w:t>
      </w:r>
      <w:r w:rsidRPr="001349D3">
        <w:rPr>
          <w:rStyle w:val="FootnoteReference"/>
          <w:i/>
          <w:iCs/>
          <w:szCs w:val="18"/>
          <w:vertAlign w:val="baseline"/>
        </w:rPr>
        <w:t>. v.</w:t>
      </w:r>
      <w:r w:rsidRPr="001349D3">
        <w:rPr>
          <w:rStyle w:val="FootnoteReference"/>
          <w:szCs w:val="18"/>
          <w:vertAlign w:val="baseline"/>
        </w:rPr>
        <w:t xml:space="preserve"> </w:t>
      </w:r>
      <w:r w:rsidRPr="001349D3">
        <w:rPr>
          <w:rStyle w:val="FootnoteReference"/>
          <w:i/>
          <w:szCs w:val="18"/>
          <w:vertAlign w:val="baseline"/>
        </w:rPr>
        <w:t>Switzerland</w:t>
      </w:r>
      <w:r w:rsidRPr="001349D3">
        <w:rPr>
          <w:rStyle w:val="FootnoteReference"/>
          <w:szCs w:val="18"/>
          <w:vertAlign w:val="baseline"/>
        </w:rPr>
        <w:t xml:space="preserve">, </w:t>
      </w:r>
      <w:r w:rsidRPr="001349D3">
        <w:t>d</w:t>
      </w:r>
      <w:r w:rsidRPr="001349D3">
        <w:rPr>
          <w:rStyle w:val="FootnoteReference"/>
          <w:szCs w:val="18"/>
          <w:vertAlign w:val="baseline"/>
        </w:rPr>
        <w:t xml:space="preserve">ecision adopted on 6 May 2010, </w:t>
      </w:r>
      <w:r w:rsidRPr="001349D3">
        <w:t>para.</w:t>
      </w:r>
      <w:r w:rsidR="004B30A1" w:rsidRPr="001349D3">
        <w:t> </w:t>
      </w:r>
      <w:r w:rsidRPr="00A86EED">
        <w:t xml:space="preserve">7.3. </w:t>
      </w:r>
    </w:p>
  </w:footnote>
  <w:footnote w:id="18">
    <w:p w:rsidR="00910A53" w:rsidRPr="001349D3" w:rsidRDefault="00910A53" w:rsidP="00D66FF6">
      <w:pPr>
        <w:pStyle w:val="FootnoteText"/>
        <w:widowControl w:val="0"/>
        <w:tabs>
          <w:tab w:val="clear" w:pos="1021"/>
          <w:tab w:val="right" w:pos="1020"/>
        </w:tabs>
      </w:pPr>
      <w:r w:rsidRPr="00A86EED">
        <w:tab/>
      </w:r>
      <w:r w:rsidRPr="001349D3">
        <w:rPr>
          <w:rStyle w:val="FootnoteReference"/>
        </w:rPr>
        <w:footnoteRef/>
      </w:r>
      <w:r w:rsidRPr="001349D3">
        <w:tab/>
        <w:t>See communication</w:t>
      </w:r>
      <w:r w:rsidR="00D66FF6">
        <w:t>s</w:t>
      </w:r>
      <w:r w:rsidR="00A3595D" w:rsidRPr="001349D3">
        <w:t xml:space="preserve"> No. </w:t>
      </w:r>
      <w:r w:rsidRPr="001349D3">
        <w:t xml:space="preserve">481/2011, </w:t>
      </w:r>
      <w:r w:rsidRPr="001349D3">
        <w:rPr>
          <w:i/>
        </w:rPr>
        <w:t>K.N., F.W. and S.N. v. Switzerland</w:t>
      </w:r>
      <w:r w:rsidRPr="001349D3">
        <w:t xml:space="preserve">, decision adopted on 19 May 2014; </w:t>
      </w:r>
      <w:r w:rsidR="00A3595D" w:rsidRPr="001349D3">
        <w:t>No. </w:t>
      </w:r>
      <w:r w:rsidRPr="001349D3">
        <w:t xml:space="preserve">357/2008, </w:t>
      </w:r>
      <w:r w:rsidRPr="001349D3">
        <w:rPr>
          <w:i/>
        </w:rPr>
        <w:t>Jahani v. Switzerland</w:t>
      </w:r>
      <w:r w:rsidRPr="001349D3">
        <w:t xml:space="preserve">, decision adopted on 23 May 2011; </w:t>
      </w:r>
      <w:r w:rsidR="00D66FF6">
        <w:t>and</w:t>
      </w:r>
      <w:r w:rsidR="00A3595D" w:rsidRPr="001349D3">
        <w:t xml:space="preserve"> No. </w:t>
      </w:r>
      <w:r w:rsidRPr="001349D3">
        <w:t xml:space="preserve">381/2009, </w:t>
      </w:r>
      <w:r w:rsidRPr="001349D3">
        <w:rPr>
          <w:i/>
        </w:rPr>
        <w:t>Faragollah et al. v. Switzerland</w:t>
      </w:r>
      <w:r w:rsidRPr="001349D3">
        <w:t xml:space="preserve">, decision adopted on 21 November 2011. </w:t>
      </w:r>
    </w:p>
  </w:footnote>
  <w:footnote w:id="19">
    <w:p w:rsidR="00E45A21" w:rsidRPr="001349D3" w:rsidRDefault="00AF317C" w:rsidP="004E3207">
      <w:pPr>
        <w:pStyle w:val="FootnoteText"/>
        <w:widowControl w:val="0"/>
        <w:tabs>
          <w:tab w:val="clear" w:pos="1021"/>
          <w:tab w:val="right" w:pos="1020"/>
        </w:tabs>
      </w:pPr>
      <w:r w:rsidRPr="001349D3">
        <w:tab/>
      </w:r>
      <w:r w:rsidR="00E45A21" w:rsidRPr="001349D3">
        <w:rPr>
          <w:rStyle w:val="FootnoteReference"/>
        </w:rPr>
        <w:footnoteRef/>
      </w:r>
      <w:r w:rsidRPr="001349D3">
        <w:tab/>
      </w:r>
      <w:r w:rsidR="00E45A21" w:rsidRPr="001349D3">
        <w:t xml:space="preserve">Report of the Special Rapporteur on the situation of human rights in the Islamic Republic of Iran </w:t>
      </w:r>
      <w:r w:rsidR="00CE6F51" w:rsidRPr="001349D3">
        <w:t>(</w:t>
      </w:r>
      <w:r w:rsidR="00E45A21" w:rsidRPr="001349D3">
        <w:t>A/69/356</w:t>
      </w:r>
      <w:r w:rsidR="00CE6F51" w:rsidRPr="001349D3">
        <w:t>)</w:t>
      </w:r>
      <w:r w:rsidR="00E45A21" w:rsidRPr="001349D3">
        <w:t>, para</w:t>
      </w:r>
      <w:r w:rsidR="004B30A1" w:rsidRPr="001349D3">
        <w:t>. </w:t>
      </w:r>
      <w:r w:rsidR="00E45A21" w:rsidRPr="001349D3">
        <w:t>16.</w:t>
      </w:r>
    </w:p>
  </w:footnote>
  <w:footnote w:id="20">
    <w:p w:rsidR="00910A53" w:rsidRPr="001349D3" w:rsidRDefault="00910A53" w:rsidP="003D51C7">
      <w:pPr>
        <w:pStyle w:val="FootnoteText"/>
        <w:widowControl w:val="0"/>
        <w:tabs>
          <w:tab w:val="clear" w:pos="1021"/>
          <w:tab w:val="right" w:pos="1020"/>
        </w:tabs>
      </w:pPr>
      <w:r w:rsidRPr="001349D3">
        <w:tab/>
      </w:r>
      <w:r w:rsidRPr="001349D3">
        <w:rPr>
          <w:rStyle w:val="FootnoteReference"/>
        </w:rPr>
        <w:footnoteRef/>
      </w:r>
      <w:r w:rsidRPr="001349D3">
        <w:tab/>
        <w:t>Report</w:t>
      </w:r>
      <w:r w:rsidR="003D51C7">
        <w:t>s</w:t>
      </w:r>
      <w:r w:rsidRPr="001349D3">
        <w:t xml:space="preserve"> of the Special Rapporteur on the </w:t>
      </w:r>
      <w:r w:rsidR="002F27C8">
        <w:t>s</w:t>
      </w:r>
      <w:r w:rsidRPr="001349D3">
        <w:t xml:space="preserve">ituation of human rights in the Islamic Republic of Iran </w:t>
      </w:r>
      <w:r w:rsidR="00502C49" w:rsidRPr="001349D3">
        <w:t>(</w:t>
      </w:r>
      <w:r w:rsidR="00CE6F51" w:rsidRPr="001349D3">
        <w:t>A/HRC/25/61</w:t>
      </w:r>
      <w:r w:rsidR="00502C49" w:rsidRPr="001349D3">
        <w:t>), paras. </w:t>
      </w:r>
      <w:r w:rsidRPr="001349D3">
        <w:t>23</w:t>
      </w:r>
      <w:r w:rsidR="002F27C8">
        <w:t>–</w:t>
      </w:r>
      <w:r w:rsidRPr="001349D3">
        <w:t xml:space="preserve">29; </w:t>
      </w:r>
      <w:r w:rsidR="003D51C7">
        <w:t xml:space="preserve">and </w:t>
      </w:r>
      <w:r w:rsidR="00CE6F51" w:rsidRPr="001349D3">
        <w:t>A/68/503</w:t>
      </w:r>
      <w:r w:rsidR="00502C49" w:rsidRPr="001349D3">
        <w:t>, paras. </w:t>
      </w:r>
      <w:r w:rsidRPr="001349D3">
        <w:t>1,</w:t>
      </w:r>
      <w:r w:rsidR="00CE6F51" w:rsidRPr="001349D3">
        <w:t xml:space="preserve"> </w:t>
      </w:r>
      <w:r w:rsidRPr="001349D3">
        <w:t>6,</w:t>
      </w:r>
      <w:r w:rsidR="00CE6F51" w:rsidRPr="001349D3">
        <w:t xml:space="preserve"> </w:t>
      </w:r>
      <w:r w:rsidRPr="001349D3">
        <w:t>8</w:t>
      </w:r>
      <w:r w:rsidR="00CE6F51" w:rsidRPr="001349D3">
        <w:t xml:space="preserve"> and </w:t>
      </w:r>
      <w:r w:rsidRPr="001349D3">
        <w:t xml:space="preserve">30. </w:t>
      </w:r>
    </w:p>
  </w:footnote>
  <w:footnote w:id="21">
    <w:p w:rsidR="00D72325" w:rsidRPr="001349D3" w:rsidRDefault="00D72325" w:rsidP="00C0738D">
      <w:pPr>
        <w:pStyle w:val="FootnoteText"/>
        <w:widowControl w:val="0"/>
        <w:tabs>
          <w:tab w:val="clear" w:pos="1021"/>
          <w:tab w:val="right" w:pos="1020"/>
        </w:tabs>
      </w:pPr>
      <w:r w:rsidRPr="001349D3">
        <w:tab/>
      </w:r>
      <w:r w:rsidRPr="001349D3">
        <w:rPr>
          <w:rStyle w:val="FootnoteReference"/>
        </w:rPr>
        <w:footnoteRef/>
      </w:r>
      <w:r w:rsidRPr="001349D3">
        <w:tab/>
      </w:r>
      <w:r w:rsidRPr="001349D3">
        <w:rPr>
          <w:szCs w:val="18"/>
        </w:rPr>
        <w:t xml:space="preserve">Statement of the </w:t>
      </w:r>
      <w:r w:rsidRPr="001349D3">
        <w:rPr>
          <w:color w:val="000000"/>
          <w:szCs w:val="18"/>
        </w:rPr>
        <w:t xml:space="preserve">Chair-Rapporteur of the Working Group on Arbitrary Detention, the Special Rapporteur on the situation of human rights in </w:t>
      </w:r>
      <w:r w:rsidR="00BA520A" w:rsidRPr="00BA520A">
        <w:rPr>
          <w:color w:val="000000"/>
          <w:szCs w:val="18"/>
        </w:rPr>
        <w:t xml:space="preserve">the Islamic Republic of </w:t>
      </w:r>
      <w:r w:rsidRPr="001349D3">
        <w:rPr>
          <w:color w:val="000000"/>
          <w:szCs w:val="18"/>
        </w:rPr>
        <w:t xml:space="preserve">Iran, the Special Rapporteur on extrajudicial, summary or arbitrary executions, the Special Rapporteur on the promotion and protection of the right to freedom of opinion and expression, the Special Rapporteur on the rights to freedom of peaceful assembly and of association, the Special Rapporteur on the independence of judges and lawyers, </w:t>
      </w:r>
      <w:r w:rsidR="004F5D11">
        <w:rPr>
          <w:color w:val="000000"/>
          <w:szCs w:val="18"/>
        </w:rPr>
        <w:t xml:space="preserve">and </w:t>
      </w:r>
      <w:r w:rsidRPr="001349D3">
        <w:rPr>
          <w:color w:val="000000"/>
          <w:szCs w:val="18"/>
        </w:rPr>
        <w:t>the Special Rapporteur on the situation of human rights defenders (8 August 2014)</w:t>
      </w:r>
      <w:r w:rsidR="00C0738D">
        <w:rPr>
          <w:color w:val="000000"/>
          <w:szCs w:val="18"/>
        </w:rPr>
        <w:t>.</w:t>
      </w:r>
      <w:r w:rsidR="00CE6F51" w:rsidRPr="001349D3">
        <w:rPr>
          <w:color w:val="000000"/>
          <w:szCs w:val="18"/>
        </w:rPr>
        <w:t xml:space="preserve"> </w:t>
      </w:r>
      <w:r w:rsidR="00C0738D">
        <w:rPr>
          <w:color w:val="000000"/>
          <w:szCs w:val="18"/>
        </w:rPr>
        <w:t>A</w:t>
      </w:r>
      <w:r w:rsidR="00CE6F51" w:rsidRPr="001349D3">
        <w:rPr>
          <w:color w:val="000000"/>
          <w:szCs w:val="18"/>
        </w:rPr>
        <w:t>vailable</w:t>
      </w:r>
      <w:r w:rsidRPr="001349D3">
        <w:rPr>
          <w:color w:val="000000"/>
          <w:szCs w:val="18"/>
        </w:rPr>
        <w:t xml:space="preserve"> </w:t>
      </w:r>
      <w:r w:rsidR="004F5D11">
        <w:rPr>
          <w:color w:val="000000"/>
          <w:szCs w:val="18"/>
        </w:rPr>
        <w:t>f</w:t>
      </w:r>
      <w:r w:rsidR="003663EB">
        <w:rPr>
          <w:color w:val="000000"/>
          <w:szCs w:val="18"/>
        </w:rPr>
        <w:t>rom</w:t>
      </w:r>
      <w:r w:rsidRPr="001349D3">
        <w:rPr>
          <w:color w:val="000000"/>
          <w:szCs w:val="18"/>
        </w:rPr>
        <w:t xml:space="preserve"> www.ohchr.org/EN/NewsEvents/Pages/DisplayNews.aspx?NewsID=14926&amp;LangID=E#sthash.kyvBUBmn.dpuf</w:t>
      </w:r>
      <w:r w:rsidR="001E244F" w:rsidRPr="001349D3">
        <w:t>.</w:t>
      </w:r>
    </w:p>
  </w:footnote>
  <w:footnote w:id="22">
    <w:p w:rsidR="00D72325" w:rsidRPr="001349D3" w:rsidRDefault="00D72325" w:rsidP="00B819E8">
      <w:pPr>
        <w:pStyle w:val="FootnoteText"/>
        <w:widowControl w:val="0"/>
        <w:tabs>
          <w:tab w:val="clear" w:pos="1021"/>
          <w:tab w:val="right" w:pos="1020"/>
        </w:tabs>
      </w:pPr>
      <w:r w:rsidRPr="001349D3">
        <w:tab/>
      </w:r>
      <w:r w:rsidRPr="001349D3">
        <w:rPr>
          <w:rStyle w:val="FootnoteReference"/>
        </w:rPr>
        <w:footnoteRef/>
      </w:r>
      <w:r w:rsidRPr="001349D3">
        <w:tab/>
        <w:t xml:space="preserve">See </w:t>
      </w:r>
      <w:r w:rsidR="008C567B" w:rsidRPr="001349D3">
        <w:t>A/HRC/25/61</w:t>
      </w:r>
      <w:r w:rsidR="001E244F" w:rsidRPr="001349D3">
        <w:t>, paras. </w:t>
      </w:r>
      <w:r w:rsidRPr="001349D3">
        <w:t>5</w:t>
      </w:r>
      <w:r w:rsidR="008C567B">
        <w:t xml:space="preserve"> and</w:t>
      </w:r>
      <w:r w:rsidRPr="001349D3">
        <w:t xml:space="preserve"> 84</w:t>
      </w:r>
      <w:r w:rsidR="008C567B">
        <w:t>.</w:t>
      </w:r>
      <w:r w:rsidRPr="001349D3">
        <w:t xml:space="preserve"> See also communication</w:t>
      </w:r>
      <w:r w:rsidR="00A3595D" w:rsidRPr="001349D3">
        <w:t xml:space="preserve"> No. </w:t>
      </w:r>
      <w:r w:rsidRPr="001349D3">
        <w:t>481/2011</w:t>
      </w:r>
      <w:r w:rsidR="00B819E8">
        <w:rPr>
          <w:i/>
        </w:rPr>
        <w:t xml:space="preserve"> </w:t>
      </w:r>
      <w:r w:rsidR="00B819E8">
        <w:rPr>
          <w:iCs/>
        </w:rPr>
        <w:t>(see note 17 above)</w:t>
      </w:r>
      <w:r w:rsidR="001E244F" w:rsidRPr="001349D3">
        <w:t>, para. </w:t>
      </w:r>
      <w:r w:rsidRPr="001349D3">
        <w:t xml:space="preserve">7.6. </w:t>
      </w:r>
    </w:p>
  </w:footnote>
  <w:footnote w:id="23">
    <w:p w:rsidR="00D72325" w:rsidRPr="00E054F6" w:rsidRDefault="00D72325" w:rsidP="00E054F6">
      <w:pPr>
        <w:pStyle w:val="FootnoteText"/>
        <w:widowControl w:val="0"/>
        <w:tabs>
          <w:tab w:val="clear" w:pos="1021"/>
          <w:tab w:val="right" w:pos="1020"/>
        </w:tabs>
      </w:pPr>
      <w:r w:rsidRPr="001349D3">
        <w:tab/>
      </w:r>
      <w:r w:rsidRPr="001349D3">
        <w:rPr>
          <w:rStyle w:val="FootnoteReference"/>
        </w:rPr>
        <w:footnoteRef/>
      </w:r>
      <w:r w:rsidRPr="001349D3">
        <w:tab/>
        <w:t xml:space="preserve">See </w:t>
      </w:r>
      <w:r w:rsidR="00CE6F51" w:rsidRPr="001349D3">
        <w:t>A/HRC/25/61</w:t>
      </w:r>
      <w:r w:rsidR="001E244F" w:rsidRPr="001349D3">
        <w:t>, paras. </w:t>
      </w:r>
      <w:r w:rsidRPr="001349D3">
        <w:t>88</w:t>
      </w:r>
      <w:r w:rsidR="00CE6F51" w:rsidRPr="001349D3">
        <w:t>–</w:t>
      </w:r>
      <w:r w:rsidRPr="001349D3">
        <w:t>90</w:t>
      </w:r>
      <w:r w:rsidR="00E054F6">
        <w:t xml:space="preserve"> and </w:t>
      </w:r>
      <w:r w:rsidR="00CE6F51" w:rsidRPr="001349D3">
        <w:t>A/68/503</w:t>
      </w:r>
      <w:r w:rsidR="001E244F" w:rsidRPr="001349D3">
        <w:t>, paras. </w:t>
      </w:r>
      <w:r w:rsidRPr="001349D3">
        <w:t>6</w:t>
      </w:r>
      <w:r w:rsidR="00CE6F51" w:rsidRPr="001349D3">
        <w:t>–</w:t>
      </w:r>
      <w:r w:rsidRPr="001349D3">
        <w:t>15</w:t>
      </w:r>
      <w:r w:rsidR="00CE6F51" w:rsidRPr="001349D3">
        <w:t xml:space="preserve"> and</w:t>
      </w:r>
      <w:r w:rsidRPr="001349D3">
        <w:t xml:space="preserve"> 88</w:t>
      </w:r>
      <w:r w:rsidR="00CE6F51" w:rsidRPr="001349D3">
        <w:t>–</w:t>
      </w:r>
      <w:r w:rsidRPr="001349D3">
        <w:t>90.</w:t>
      </w:r>
    </w:p>
  </w:footnote>
  <w:footnote w:id="24">
    <w:p w:rsidR="001202EA" w:rsidRPr="00A86EED" w:rsidRDefault="001202EA" w:rsidP="00E054F6">
      <w:pPr>
        <w:pStyle w:val="FootnoteText"/>
        <w:widowControl w:val="0"/>
        <w:tabs>
          <w:tab w:val="clear" w:pos="1021"/>
          <w:tab w:val="right" w:pos="1020"/>
        </w:tabs>
      </w:pPr>
      <w:r w:rsidRPr="001349D3">
        <w:tab/>
      </w:r>
      <w:r w:rsidRPr="001349D3">
        <w:rPr>
          <w:rStyle w:val="FootnoteReference"/>
        </w:rPr>
        <w:footnoteRef/>
      </w:r>
      <w:r w:rsidRPr="001349D3">
        <w:tab/>
        <w:t xml:space="preserve">See </w:t>
      </w:r>
      <w:r w:rsidR="00CE6F51" w:rsidRPr="001349D3">
        <w:t>A/HRC/25/61</w:t>
      </w:r>
      <w:r w:rsidRPr="001349D3">
        <w:t>, para</w:t>
      </w:r>
      <w:r w:rsidR="001E244F" w:rsidRPr="001349D3">
        <w:t>s. </w:t>
      </w:r>
      <w:r w:rsidRPr="001349D3">
        <w:t>82</w:t>
      </w:r>
      <w:r w:rsidR="00CE6F51" w:rsidRPr="001349D3">
        <w:t>–</w:t>
      </w:r>
      <w:r w:rsidRPr="001349D3">
        <w:t xml:space="preserve">83. </w:t>
      </w:r>
    </w:p>
  </w:footnote>
  <w:footnote w:id="25">
    <w:p w:rsidR="001202EA" w:rsidRPr="00A86EED" w:rsidRDefault="001202EA" w:rsidP="00C0738D">
      <w:pPr>
        <w:pStyle w:val="FootnoteText"/>
        <w:widowControl w:val="0"/>
        <w:tabs>
          <w:tab w:val="clear" w:pos="1021"/>
          <w:tab w:val="right" w:pos="1020"/>
        </w:tabs>
      </w:pPr>
      <w:r w:rsidRPr="001349D3">
        <w:tab/>
      </w:r>
      <w:r w:rsidRPr="001349D3">
        <w:rPr>
          <w:rStyle w:val="FootnoteReference"/>
        </w:rPr>
        <w:footnoteRef/>
      </w:r>
      <w:r w:rsidRPr="001349D3">
        <w:tab/>
      </w:r>
      <w:r w:rsidR="001E244F" w:rsidRPr="001349D3">
        <w:rPr>
          <w:szCs w:val="18"/>
        </w:rPr>
        <w:t>Ibid</w:t>
      </w:r>
      <w:r w:rsidR="00CE6F51" w:rsidRPr="001349D3">
        <w:rPr>
          <w:szCs w:val="18"/>
        </w:rPr>
        <w:t>.</w:t>
      </w:r>
      <w:r w:rsidR="001E244F" w:rsidRPr="001349D3">
        <w:rPr>
          <w:szCs w:val="18"/>
        </w:rPr>
        <w:t>, paras. </w:t>
      </w:r>
      <w:r w:rsidRPr="001349D3">
        <w:rPr>
          <w:szCs w:val="18"/>
        </w:rPr>
        <w:t>39</w:t>
      </w:r>
      <w:r w:rsidR="003663EB">
        <w:rPr>
          <w:szCs w:val="18"/>
        </w:rPr>
        <w:t>–</w:t>
      </w:r>
      <w:r w:rsidRPr="001349D3">
        <w:rPr>
          <w:szCs w:val="18"/>
        </w:rPr>
        <w:t>41</w:t>
      </w:r>
      <w:r w:rsidR="00E054F6">
        <w:rPr>
          <w:szCs w:val="18"/>
        </w:rPr>
        <w:t xml:space="preserve"> and</w:t>
      </w:r>
      <w:r w:rsidRPr="001349D3">
        <w:rPr>
          <w:szCs w:val="18"/>
        </w:rPr>
        <w:t xml:space="preserve"> A/</w:t>
      </w:r>
      <w:r w:rsidR="001E244F" w:rsidRPr="001349D3">
        <w:rPr>
          <w:szCs w:val="18"/>
        </w:rPr>
        <w:t>69/356, paras. </w:t>
      </w:r>
      <w:r w:rsidRPr="001349D3">
        <w:rPr>
          <w:szCs w:val="18"/>
        </w:rPr>
        <w:t>42</w:t>
      </w:r>
      <w:r w:rsidR="00CE6F51" w:rsidRPr="001349D3">
        <w:t>–</w:t>
      </w:r>
      <w:r w:rsidRPr="001349D3">
        <w:rPr>
          <w:szCs w:val="18"/>
        </w:rPr>
        <w:t>48</w:t>
      </w:r>
      <w:r w:rsidR="00CE6F51" w:rsidRPr="001349D3">
        <w:rPr>
          <w:szCs w:val="18"/>
        </w:rPr>
        <w:t>.</w:t>
      </w:r>
      <w:r w:rsidRPr="001349D3">
        <w:rPr>
          <w:szCs w:val="18"/>
        </w:rPr>
        <w:t xml:space="preserve"> </w:t>
      </w:r>
      <w:r w:rsidR="00CE6F51" w:rsidRPr="001349D3">
        <w:rPr>
          <w:szCs w:val="18"/>
        </w:rPr>
        <w:t>S</w:t>
      </w:r>
      <w:r w:rsidRPr="001349D3">
        <w:rPr>
          <w:szCs w:val="18"/>
        </w:rPr>
        <w:t xml:space="preserve">ee also </w:t>
      </w:r>
      <w:r w:rsidR="00C0738D">
        <w:rPr>
          <w:szCs w:val="18"/>
        </w:rPr>
        <w:t xml:space="preserve">the </w:t>
      </w:r>
      <w:r w:rsidR="00C0738D">
        <w:rPr>
          <w:iCs/>
          <w:szCs w:val="18"/>
        </w:rPr>
        <w:t>p</w:t>
      </w:r>
      <w:r w:rsidRPr="004E3207">
        <w:rPr>
          <w:iCs/>
          <w:szCs w:val="18"/>
        </w:rPr>
        <w:t xml:space="preserve">ress </w:t>
      </w:r>
      <w:r w:rsidR="00C0738D">
        <w:rPr>
          <w:iCs/>
          <w:szCs w:val="18"/>
        </w:rPr>
        <w:t>r</w:t>
      </w:r>
      <w:r w:rsidRPr="004E3207">
        <w:rPr>
          <w:iCs/>
          <w:szCs w:val="18"/>
        </w:rPr>
        <w:t>elease</w:t>
      </w:r>
      <w:r w:rsidRPr="001349D3">
        <w:rPr>
          <w:szCs w:val="18"/>
        </w:rPr>
        <w:t xml:space="preserve"> of the </w:t>
      </w:r>
      <w:r w:rsidR="00C0738D">
        <w:rPr>
          <w:szCs w:val="18"/>
        </w:rPr>
        <w:t>S</w:t>
      </w:r>
      <w:r w:rsidRPr="001349D3">
        <w:rPr>
          <w:szCs w:val="18"/>
        </w:rPr>
        <w:t xml:space="preserve">pecial Rapporteur on the situation of human rights in the Islamic Republic of Iran, and </w:t>
      </w:r>
      <w:r w:rsidR="00C0738D">
        <w:rPr>
          <w:szCs w:val="18"/>
        </w:rPr>
        <w:t xml:space="preserve">the Special Rapporteur on </w:t>
      </w:r>
      <w:r w:rsidRPr="001349D3">
        <w:rPr>
          <w:szCs w:val="18"/>
        </w:rPr>
        <w:t xml:space="preserve">freedom of religion or belief, </w:t>
      </w:r>
      <w:r w:rsidR="00C0738D">
        <w:rPr>
          <w:szCs w:val="18"/>
        </w:rPr>
        <w:t xml:space="preserve">who </w:t>
      </w:r>
      <w:r w:rsidRPr="001349D3">
        <w:rPr>
          <w:szCs w:val="18"/>
        </w:rPr>
        <w:t>express</w:t>
      </w:r>
      <w:r w:rsidR="00C0738D">
        <w:rPr>
          <w:szCs w:val="18"/>
        </w:rPr>
        <w:t>ed</w:t>
      </w:r>
      <w:r w:rsidRPr="001349D3">
        <w:rPr>
          <w:i/>
          <w:szCs w:val="18"/>
        </w:rPr>
        <w:t xml:space="preserve"> </w:t>
      </w:r>
      <w:r w:rsidRPr="001349D3">
        <w:rPr>
          <w:iCs/>
          <w:szCs w:val="18"/>
        </w:rPr>
        <w:t>“</w:t>
      </w:r>
      <w:r w:rsidRPr="004E3207">
        <w:rPr>
          <w:iCs/>
          <w:szCs w:val="18"/>
        </w:rPr>
        <w:t>deep concern over the arrest and detention of hundreds of Christians over the past few years</w:t>
      </w:r>
      <w:r w:rsidRPr="001349D3">
        <w:rPr>
          <w:iCs/>
          <w:szCs w:val="18"/>
        </w:rPr>
        <w:t xml:space="preserve">” </w:t>
      </w:r>
      <w:r w:rsidRPr="001349D3">
        <w:rPr>
          <w:szCs w:val="18"/>
        </w:rPr>
        <w:t>and call</w:t>
      </w:r>
      <w:r w:rsidR="00C0738D">
        <w:rPr>
          <w:szCs w:val="18"/>
        </w:rPr>
        <w:t>ed</w:t>
      </w:r>
      <w:r w:rsidRPr="001349D3">
        <w:rPr>
          <w:szCs w:val="18"/>
        </w:rPr>
        <w:t xml:space="preserve"> on the authorities to </w:t>
      </w:r>
      <w:r w:rsidRPr="001349D3">
        <w:rPr>
          <w:iCs/>
          <w:szCs w:val="18"/>
        </w:rPr>
        <w:t>“</w:t>
      </w:r>
      <w:r w:rsidRPr="004E3207">
        <w:rPr>
          <w:iCs/>
          <w:szCs w:val="18"/>
        </w:rPr>
        <w:t>ease the</w:t>
      </w:r>
      <w:r w:rsidRPr="001349D3">
        <w:rPr>
          <w:i/>
          <w:szCs w:val="18"/>
        </w:rPr>
        <w:t xml:space="preserve"> </w:t>
      </w:r>
      <w:r w:rsidRPr="004E3207">
        <w:rPr>
          <w:iCs/>
          <w:szCs w:val="18"/>
        </w:rPr>
        <w:t>current climate of fear in which many churches operate, especially protestant evangelical houses of worship</w:t>
      </w:r>
      <w:r w:rsidRPr="001349D3">
        <w:rPr>
          <w:iCs/>
          <w:szCs w:val="18"/>
        </w:rPr>
        <w:t xml:space="preserve">” </w:t>
      </w:r>
      <w:r w:rsidRPr="001349D3">
        <w:rPr>
          <w:szCs w:val="18"/>
        </w:rPr>
        <w:t>(20 September 2012)</w:t>
      </w:r>
      <w:r w:rsidR="00C0738D">
        <w:rPr>
          <w:szCs w:val="18"/>
        </w:rPr>
        <w:t>. A</w:t>
      </w:r>
      <w:r w:rsidRPr="001349D3">
        <w:rPr>
          <w:szCs w:val="18"/>
        </w:rPr>
        <w:t xml:space="preserve">vailable </w:t>
      </w:r>
      <w:r w:rsidR="003663EB">
        <w:rPr>
          <w:szCs w:val="18"/>
        </w:rPr>
        <w:t>from</w:t>
      </w:r>
      <w:r w:rsidRPr="001349D3">
        <w:rPr>
          <w:szCs w:val="18"/>
        </w:rPr>
        <w:t xml:space="preserve"> </w:t>
      </w:r>
      <w:hyperlink r:id="rId2" w:history="1">
        <w:r w:rsidR="00C0738D" w:rsidRPr="00D51CF1">
          <w:rPr>
            <w:rStyle w:val="Hyperlink"/>
            <w:color w:val="auto"/>
            <w:szCs w:val="18"/>
            <w:u w:val="none"/>
          </w:rPr>
          <w:t>www.ohchr.org/EN/NewsEvents/Pages/</w:t>
        </w:r>
        <w:r w:rsidR="00C0738D" w:rsidRPr="00D51CF1">
          <w:rPr>
            <w:rStyle w:val="Hyperlink"/>
            <w:color w:val="auto"/>
            <w:szCs w:val="18"/>
            <w:u w:val="none"/>
          </w:rPr>
          <w:br/>
          <w:t>DisplayNews.aspx?NewsID=12551&amp;LangID=E#sthash.MU9FGkH3.dpuf</w:t>
        </w:r>
      </w:hyperlink>
      <w:r w:rsidR="003663EB">
        <w:rPr>
          <w:szCs w:val="18"/>
        </w:rPr>
        <w:t>.</w:t>
      </w:r>
      <w:r w:rsidRPr="001349D3">
        <w:t xml:space="preserve"> </w:t>
      </w:r>
    </w:p>
  </w:footnote>
  <w:footnote w:id="26">
    <w:p w:rsidR="001202EA" w:rsidRPr="00A86EED" w:rsidRDefault="001202EA" w:rsidP="00A86EED">
      <w:pPr>
        <w:pStyle w:val="FootnoteText"/>
        <w:widowControl w:val="0"/>
        <w:tabs>
          <w:tab w:val="clear" w:pos="1021"/>
          <w:tab w:val="right" w:pos="1020"/>
        </w:tabs>
      </w:pPr>
      <w:r w:rsidRPr="001349D3">
        <w:tab/>
      </w:r>
      <w:r w:rsidRPr="001349D3">
        <w:rPr>
          <w:rStyle w:val="FootnoteReference"/>
        </w:rPr>
        <w:footnoteRef/>
      </w:r>
      <w:r w:rsidRPr="001349D3">
        <w:tab/>
        <w:t xml:space="preserve">See </w:t>
      </w:r>
      <w:r w:rsidR="00CE6F51" w:rsidRPr="001349D3">
        <w:t>A/HRC/25/61</w:t>
      </w:r>
      <w:r w:rsidR="001A1BF6" w:rsidRPr="001349D3">
        <w:t>, para. </w:t>
      </w:r>
      <w:r w:rsidRPr="001349D3">
        <w:t xml:space="preserve">36. </w:t>
      </w:r>
    </w:p>
  </w:footnote>
  <w:footnote w:id="27">
    <w:p w:rsidR="001202EA" w:rsidRPr="00A86EED" w:rsidRDefault="001202EA" w:rsidP="001202EA">
      <w:pPr>
        <w:pStyle w:val="FootnoteText"/>
        <w:widowControl w:val="0"/>
        <w:tabs>
          <w:tab w:val="clear" w:pos="1021"/>
          <w:tab w:val="right" w:pos="1020"/>
        </w:tabs>
      </w:pPr>
      <w:r w:rsidRPr="001349D3">
        <w:tab/>
      </w:r>
      <w:r w:rsidRPr="001349D3">
        <w:rPr>
          <w:rStyle w:val="FootnoteReference"/>
        </w:rPr>
        <w:footnoteRef/>
      </w:r>
      <w:r w:rsidR="001A1BF6" w:rsidRPr="00A86EED">
        <w:tab/>
        <w:t>Ibid</w:t>
      </w:r>
      <w:r w:rsidR="00CE6F51" w:rsidRPr="00A86EED">
        <w:t>.</w:t>
      </w:r>
      <w:r w:rsidR="001A1BF6" w:rsidRPr="00A86EED">
        <w:t>, para. </w:t>
      </w:r>
      <w:r w:rsidRPr="00A86EED">
        <w:t xml:space="preserve">41. </w:t>
      </w:r>
    </w:p>
  </w:footnote>
  <w:footnote w:id="28">
    <w:p w:rsidR="001202EA" w:rsidRPr="00A86EED" w:rsidRDefault="001202EA" w:rsidP="001202EA">
      <w:pPr>
        <w:pStyle w:val="FootnoteText"/>
        <w:widowControl w:val="0"/>
        <w:tabs>
          <w:tab w:val="clear" w:pos="1021"/>
          <w:tab w:val="right" w:pos="1020"/>
        </w:tabs>
      </w:pPr>
      <w:r w:rsidRPr="00A86EED">
        <w:tab/>
      </w:r>
      <w:r w:rsidRPr="001349D3">
        <w:rPr>
          <w:rStyle w:val="FootnoteReference"/>
        </w:rPr>
        <w:footnoteRef/>
      </w:r>
      <w:r w:rsidR="001A1BF6" w:rsidRPr="00A86EED">
        <w:tab/>
        <w:t>Ibid</w:t>
      </w:r>
      <w:r w:rsidR="00CE6F51" w:rsidRPr="00A86EED">
        <w:t>.</w:t>
      </w:r>
      <w:r w:rsidR="001A1BF6" w:rsidRPr="00A86EED">
        <w:t>, para. 36.</w:t>
      </w:r>
    </w:p>
  </w:footnote>
  <w:footnote w:id="29">
    <w:p w:rsidR="001202EA" w:rsidRPr="00A86EED" w:rsidRDefault="001202EA" w:rsidP="00447DA3">
      <w:pPr>
        <w:pStyle w:val="FootnoteText"/>
        <w:widowControl w:val="0"/>
        <w:tabs>
          <w:tab w:val="clear" w:pos="1021"/>
          <w:tab w:val="right" w:pos="1020"/>
        </w:tabs>
      </w:pPr>
      <w:r w:rsidRPr="00A86EED">
        <w:tab/>
      </w:r>
      <w:r w:rsidRPr="001349D3">
        <w:rPr>
          <w:rStyle w:val="FootnoteReference"/>
        </w:rPr>
        <w:footnoteRef/>
      </w:r>
      <w:r w:rsidR="001A1BF6" w:rsidRPr="00A86EED">
        <w:tab/>
        <w:t>Ibid</w:t>
      </w:r>
      <w:r w:rsidR="00CE6F51" w:rsidRPr="00A86EED">
        <w:t>.</w:t>
      </w:r>
      <w:r w:rsidR="001A1BF6" w:rsidRPr="00A86EED">
        <w:t>, para. </w:t>
      </w:r>
      <w:r w:rsidR="00447DA3">
        <w:t>40</w:t>
      </w:r>
      <w:r w:rsidRPr="00A86EED">
        <w:t xml:space="preserve">. </w:t>
      </w:r>
    </w:p>
  </w:footnote>
  <w:footnote w:id="30">
    <w:p w:rsidR="001202EA" w:rsidRPr="00A86EED" w:rsidRDefault="001202EA" w:rsidP="00355BFD">
      <w:pPr>
        <w:pStyle w:val="FootnoteText"/>
        <w:widowControl w:val="0"/>
        <w:tabs>
          <w:tab w:val="clear" w:pos="1021"/>
          <w:tab w:val="right" w:pos="1020"/>
        </w:tabs>
      </w:pPr>
      <w:r w:rsidRPr="00A86EED">
        <w:tab/>
      </w:r>
      <w:r w:rsidRPr="001349D3">
        <w:rPr>
          <w:rStyle w:val="FootnoteReference"/>
        </w:rPr>
        <w:footnoteRef/>
      </w:r>
      <w:r w:rsidRPr="001349D3">
        <w:tab/>
      </w:r>
      <w:r w:rsidR="00355BFD" w:rsidRPr="001349D3">
        <w:rPr>
          <w:szCs w:val="18"/>
        </w:rPr>
        <w:t>A/69/356</w:t>
      </w:r>
      <w:r w:rsidRPr="001349D3">
        <w:t>, para.</w:t>
      </w:r>
      <w:r w:rsidR="001A1BF6" w:rsidRPr="001349D3">
        <w:t> </w:t>
      </w:r>
      <w:r w:rsidRPr="001349D3">
        <w:t xml:space="preserve">47. </w:t>
      </w:r>
    </w:p>
  </w:footnote>
  <w:footnote w:id="31">
    <w:p w:rsidR="000B31F1" w:rsidRPr="00A86EED" w:rsidRDefault="000B31F1" w:rsidP="000B31F1">
      <w:pPr>
        <w:pStyle w:val="FootnoteText"/>
        <w:widowControl w:val="0"/>
        <w:tabs>
          <w:tab w:val="clear" w:pos="1021"/>
          <w:tab w:val="right" w:pos="1020"/>
        </w:tabs>
      </w:pPr>
      <w:r w:rsidRPr="001349D3">
        <w:tab/>
      </w:r>
      <w:r w:rsidRPr="001349D3">
        <w:rPr>
          <w:rStyle w:val="FootnoteReference"/>
        </w:rPr>
        <w:footnoteRef/>
      </w:r>
      <w:r w:rsidR="001A1BF6" w:rsidRPr="001349D3">
        <w:tab/>
        <w:t>Ibid., para. </w:t>
      </w:r>
      <w:r w:rsidRPr="001349D3">
        <w:t xml:space="preserve">48. </w:t>
      </w:r>
    </w:p>
  </w:footnote>
  <w:footnote w:id="32">
    <w:p w:rsidR="000B31F1" w:rsidRPr="001349D3" w:rsidRDefault="000B31F1" w:rsidP="003F2B3A">
      <w:pPr>
        <w:pStyle w:val="FootnoteText"/>
        <w:widowControl w:val="0"/>
        <w:tabs>
          <w:tab w:val="clear" w:pos="1021"/>
          <w:tab w:val="right" w:pos="1020"/>
        </w:tabs>
      </w:pPr>
      <w:r w:rsidRPr="001349D3">
        <w:tab/>
      </w:r>
      <w:r w:rsidRPr="001349D3">
        <w:rPr>
          <w:rStyle w:val="FootnoteReference"/>
        </w:rPr>
        <w:footnoteRef/>
      </w:r>
      <w:r w:rsidRPr="001349D3">
        <w:tab/>
        <w:t xml:space="preserve">See </w:t>
      </w:r>
      <w:r w:rsidR="001A1BF6" w:rsidRPr="001349D3">
        <w:t>communications</w:t>
      </w:r>
      <w:r w:rsidR="00A3595D" w:rsidRPr="001349D3">
        <w:t xml:space="preserve"> No. </w:t>
      </w:r>
      <w:r w:rsidRPr="001349D3">
        <w:t xml:space="preserve">339/2008, </w:t>
      </w:r>
      <w:r w:rsidRPr="001349D3">
        <w:rPr>
          <w:i/>
        </w:rPr>
        <w:t>Amini v.Denmark</w:t>
      </w:r>
      <w:r w:rsidR="001A1BF6" w:rsidRPr="001349D3">
        <w:t>, decision adopted on 15 November 2010, para. 9.8</w:t>
      </w:r>
      <w:r w:rsidR="00CE6F51" w:rsidRPr="001349D3">
        <w:t>;</w:t>
      </w:r>
      <w:r w:rsidR="00A3595D" w:rsidRPr="001349D3">
        <w:t xml:space="preserve"> No. </w:t>
      </w:r>
      <w:r w:rsidRPr="001349D3">
        <w:t xml:space="preserve">357/2008 </w:t>
      </w:r>
      <w:r w:rsidRPr="001349D3">
        <w:rPr>
          <w:i/>
        </w:rPr>
        <w:t>Jahani v. Switzerland</w:t>
      </w:r>
      <w:r w:rsidRPr="001349D3">
        <w:t>,</w:t>
      </w:r>
      <w:r w:rsidR="001A1BF6" w:rsidRPr="001349D3">
        <w:t xml:space="preserve"> footnote 11, para. 9.4</w:t>
      </w:r>
      <w:r w:rsidR="00CE6F51" w:rsidRPr="001349D3">
        <w:t>;</w:t>
      </w:r>
      <w:r w:rsidR="00A3595D" w:rsidRPr="001349D3">
        <w:t xml:space="preserve"> </w:t>
      </w:r>
      <w:r w:rsidR="00CE6F51" w:rsidRPr="001349D3">
        <w:t xml:space="preserve">and </w:t>
      </w:r>
      <w:r w:rsidR="00A3595D" w:rsidRPr="001349D3">
        <w:t>No. </w:t>
      </w:r>
      <w:r w:rsidRPr="001349D3">
        <w:t xml:space="preserve">381/2009, </w:t>
      </w:r>
      <w:r w:rsidRPr="001349D3">
        <w:rPr>
          <w:i/>
        </w:rPr>
        <w:t>Faragollah et al. v. Switzerland</w:t>
      </w:r>
      <w:r w:rsidR="001A1BF6" w:rsidRPr="001349D3">
        <w:t>, footnote 11, para. </w:t>
      </w:r>
      <w:r w:rsidRPr="001349D3">
        <w:t xml:space="preserve">9.6.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95" w:rsidRPr="00560821" w:rsidRDefault="00CB6295" w:rsidP="00560821">
    <w:pPr>
      <w:pStyle w:val="Header"/>
    </w:pPr>
    <w:r w:rsidRPr="00560821">
      <w:t>CAT/C/5</w:t>
    </w:r>
    <w:r w:rsidR="007C01BE">
      <w:t>3</w:t>
    </w:r>
    <w:r w:rsidRPr="00560821">
      <w:t>/D/</w:t>
    </w:r>
    <w:r w:rsidR="007C01BE">
      <w:t>49</w:t>
    </w:r>
    <w:r w:rsidR="00127263">
      <w:t>2</w:t>
    </w:r>
    <w:r w:rsidRPr="00560821">
      <w:t>/20</w:t>
    </w:r>
    <w:r w:rsidR="007C01BE">
      <w:t>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95" w:rsidRPr="00560821" w:rsidRDefault="00CB6295" w:rsidP="00560821">
    <w:pPr>
      <w:pStyle w:val="Header"/>
      <w:jc w:val="right"/>
    </w:pPr>
    <w:r w:rsidRPr="00560821">
      <w:t>CAT/C/5</w:t>
    </w:r>
    <w:r w:rsidR="007C01BE">
      <w:t>3</w:t>
    </w:r>
    <w:r w:rsidRPr="00560821">
      <w:t>/D/</w:t>
    </w:r>
    <w:r w:rsidR="007C01BE">
      <w:t>49</w:t>
    </w:r>
    <w:r w:rsidR="00127263">
      <w:t>2</w:t>
    </w:r>
    <w:r w:rsidRPr="00560821">
      <w:t>/20</w:t>
    </w:r>
    <w:r w:rsidR="007C01BE">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C05691"/>
    <w:multiLevelType w:val="singleLevel"/>
    <w:tmpl w:val="36084DBE"/>
    <w:lvl w:ilvl="0">
      <w:start w:val="1"/>
      <w:numFmt w:val="decimal"/>
      <w:lvlText w:val="%1."/>
      <w:lvlJc w:val="left"/>
      <w:pPr>
        <w:tabs>
          <w:tab w:val="num" w:pos="1440"/>
        </w:tabs>
        <w:ind w:left="1440" w:hanging="720"/>
      </w:p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AC26C62"/>
    <w:multiLevelType w:val="singleLevel"/>
    <w:tmpl w:val="561E0F3E"/>
    <w:lvl w:ilvl="0">
      <w:start w:val="1"/>
      <w:numFmt w:val="decimal"/>
      <w:lvlText w:val="%1."/>
      <w:lvlJc w:val="left"/>
      <w:pPr>
        <w:tabs>
          <w:tab w:val="num" w:pos="720"/>
        </w:tabs>
        <w:ind w:left="720" w:hanging="720"/>
      </w:pPr>
    </w:lvl>
  </w:abstractNum>
  <w:abstractNum w:abstractNumId="15" w15:restartNumberingAfterBreak="0">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C549E"/>
    <w:multiLevelType w:val="singleLevel"/>
    <w:tmpl w:val="01325DD6"/>
    <w:lvl w:ilvl="0">
      <w:start w:val="1"/>
      <w:numFmt w:val="lowerLetter"/>
      <w:lvlText w:val="(%1)"/>
      <w:lvlJc w:val="left"/>
      <w:pPr>
        <w:tabs>
          <w:tab w:val="num" w:pos="720"/>
        </w:tabs>
        <w:ind w:left="720" w:hanging="720"/>
      </w:pPr>
    </w:lvl>
  </w:abstractNum>
  <w:abstractNum w:abstractNumId="1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2FB"/>
    <w:multiLevelType w:val="multilevel"/>
    <w:tmpl w:val="1E889F86"/>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121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431D71"/>
    <w:multiLevelType w:val="hybridMultilevel"/>
    <w:tmpl w:val="4B00A394"/>
    <w:lvl w:ilvl="0" w:tplc="F558ED82">
      <w:start w:val="1"/>
      <w:numFmt w:val="bullet"/>
      <w:lvlText w:val=""/>
      <w:lvlJc w:val="left"/>
      <w:pPr>
        <w:tabs>
          <w:tab w:val="num" w:pos="2345"/>
        </w:tabs>
        <w:ind w:left="2268"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23" w15:restartNumberingAfterBreak="0">
    <w:nsid w:val="2B645B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EE137A6"/>
    <w:multiLevelType w:val="hybridMultilevel"/>
    <w:tmpl w:val="32E840B0"/>
    <w:lvl w:ilvl="0" w:tplc="19D69D98">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2A75A7"/>
    <w:multiLevelType w:val="singleLevel"/>
    <w:tmpl w:val="3496DD40"/>
    <w:lvl w:ilvl="0">
      <w:start w:val="1"/>
      <w:numFmt w:val="decimal"/>
      <w:lvlText w:val="(%1)"/>
      <w:lvlJc w:val="left"/>
      <w:pPr>
        <w:tabs>
          <w:tab w:val="num" w:pos="1440"/>
        </w:tabs>
        <w:ind w:left="1440" w:hanging="720"/>
      </w:pPr>
    </w:lvl>
  </w:abstractNum>
  <w:abstractNum w:abstractNumId="2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255761"/>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3CB061AB"/>
    <w:multiLevelType w:val="singleLevel"/>
    <w:tmpl w:val="11B83F58"/>
    <w:lvl w:ilvl="0">
      <w:start w:val="1"/>
      <w:numFmt w:val="decimal"/>
      <w:lvlText w:val="%1."/>
      <w:lvlJc w:val="left"/>
      <w:pPr>
        <w:tabs>
          <w:tab w:val="num" w:pos="1494"/>
        </w:tabs>
        <w:ind w:left="1133" w:firstLine="1"/>
      </w:pPr>
      <w:rPr>
        <w:rFonts w:hint="default"/>
      </w:rPr>
    </w:lvl>
  </w:abstractNum>
  <w:abstractNum w:abstractNumId="29" w15:restartNumberingAfterBreak="0">
    <w:nsid w:val="40221049"/>
    <w:multiLevelType w:val="singleLevel"/>
    <w:tmpl w:val="04D4B0C4"/>
    <w:lvl w:ilvl="0">
      <w:start w:val="1"/>
      <w:numFmt w:val="decimal"/>
      <w:lvlText w:val="%1."/>
      <w:lvlJc w:val="left"/>
      <w:pPr>
        <w:tabs>
          <w:tab w:val="num" w:pos="360"/>
        </w:tabs>
        <w:ind w:left="360" w:hanging="360"/>
      </w:pPr>
    </w:lvl>
  </w:abstractNum>
  <w:abstractNum w:abstractNumId="30" w15:restartNumberingAfterBreak="0">
    <w:nsid w:val="452D144C"/>
    <w:multiLevelType w:val="singleLevel"/>
    <w:tmpl w:val="7C4C0A7C"/>
    <w:lvl w:ilvl="0">
      <w:start w:val="1"/>
      <w:numFmt w:val="decimal"/>
      <w:lvlText w:val="(%1)"/>
      <w:lvlJc w:val="left"/>
      <w:pPr>
        <w:tabs>
          <w:tab w:val="num" w:pos="720"/>
        </w:tabs>
        <w:ind w:left="720" w:hanging="720"/>
      </w:pPr>
    </w:lvl>
  </w:abstractNum>
  <w:abstractNum w:abstractNumId="31" w15:restartNumberingAfterBreak="0">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32" w15:restartNumberingAfterBreak="0">
    <w:nsid w:val="4EFA259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3034E71"/>
    <w:multiLevelType w:val="hybridMultilevel"/>
    <w:tmpl w:val="163C6DCC"/>
    <w:lvl w:ilvl="0" w:tplc="7148736E">
      <w:start w:val="1"/>
      <w:numFmt w:val="bullet"/>
      <w:lvlText w:val=""/>
      <w:lvlJc w:val="left"/>
      <w:pPr>
        <w:tabs>
          <w:tab w:val="num" w:pos="1778"/>
        </w:tabs>
        <w:ind w:left="1701"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35" w15:restartNumberingAfterBreak="0">
    <w:nsid w:val="5DBD60B6"/>
    <w:multiLevelType w:val="multilevel"/>
    <w:tmpl w:val="56E2A324"/>
    <w:lvl w:ilvl="0">
      <w:start w:val="1"/>
      <w:numFmt w:val="bullet"/>
      <w:lvlText w:val="•"/>
      <w:lvlJc w:val="left"/>
      <w:pPr>
        <w:tabs>
          <w:tab w:val="num" w:pos="1701"/>
        </w:tabs>
        <w:ind w:left="1701"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5D15DFE"/>
    <w:multiLevelType w:val="singleLevel"/>
    <w:tmpl w:val="475E6D3C"/>
    <w:lvl w:ilvl="0">
      <w:start w:val="1"/>
      <w:numFmt w:val="decimal"/>
      <w:lvlText w:val="%1."/>
      <w:lvlJc w:val="left"/>
      <w:pPr>
        <w:tabs>
          <w:tab w:val="num" w:pos="360"/>
        </w:tabs>
        <w:ind w:left="360" w:hanging="360"/>
      </w:pPr>
    </w:lvl>
  </w:abstractNum>
  <w:abstractNum w:abstractNumId="38" w15:restartNumberingAfterBreak="0">
    <w:nsid w:val="754105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ACA643D"/>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C9538FD"/>
    <w:multiLevelType w:val="hybridMultilevel"/>
    <w:tmpl w:val="038A2DC0"/>
    <w:lvl w:ilvl="0" w:tplc="A5265396">
      <w:start w:val="1"/>
      <w:numFmt w:val="none"/>
      <w:lvlText w:val="%1"/>
      <w:lvlJc w:val="left"/>
      <w:pPr>
        <w:tabs>
          <w:tab w:val="num" w:pos="1134"/>
        </w:tabs>
        <w:ind w:left="1134" w:hanging="397"/>
      </w:pPr>
      <w:rPr>
        <w:rFonts w:hint="default"/>
        <w:b/>
        <w:i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abstractNum w:abstractNumId="42" w15:restartNumberingAfterBreak="0">
    <w:nsid w:val="7DBF6B58"/>
    <w:multiLevelType w:val="singleLevel"/>
    <w:tmpl w:val="0409000F"/>
    <w:lvl w:ilvl="0">
      <w:start w:val="1"/>
      <w:numFmt w:val="decimal"/>
      <w:lvlText w:val="%1."/>
      <w:lvlJc w:val="left"/>
      <w:pPr>
        <w:tabs>
          <w:tab w:val="num" w:pos="360"/>
        </w:tabs>
        <w:ind w:left="360" w:hanging="360"/>
      </w:pPr>
    </w:lvl>
  </w:abstractNum>
  <w:num w:numId="1">
    <w:abstractNumId w:val="41"/>
  </w:num>
  <w:num w:numId="2">
    <w:abstractNumId w:val="22"/>
  </w:num>
  <w:num w:numId="3">
    <w:abstractNumId w:val="41"/>
  </w:num>
  <w:num w:numId="4">
    <w:abstractNumId w:val="22"/>
  </w:num>
  <w:num w:numId="5">
    <w:abstractNumId w:val="13"/>
  </w:num>
  <w:num w:numId="6">
    <w:abstractNumId w:val="27"/>
  </w:num>
  <w:num w:numId="7">
    <w:abstractNumId w:val="29"/>
  </w:num>
  <w:num w:numId="8">
    <w:abstractNumId w:val="39"/>
  </w:num>
  <w:num w:numId="9">
    <w:abstractNumId w:val="32"/>
  </w:num>
  <w:num w:numId="10">
    <w:abstractNumId w:val="42"/>
  </w:num>
  <w:num w:numId="11">
    <w:abstractNumId w:val="29"/>
  </w:num>
  <w:num w:numId="12">
    <w:abstractNumId w:val="31"/>
  </w:num>
  <w:num w:numId="13">
    <w:abstractNumId w:val="31"/>
  </w:num>
  <w:num w:numId="14">
    <w:abstractNumId w:val="37"/>
  </w:num>
  <w:num w:numId="15">
    <w:abstractNumId w:val="28"/>
  </w:num>
  <w:num w:numId="16">
    <w:abstractNumId w:val="28"/>
  </w:num>
  <w:num w:numId="17">
    <w:abstractNumId w:val="41"/>
  </w:num>
  <w:num w:numId="18">
    <w:abstractNumId w:val="22"/>
  </w:num>
  <w:num w:numId="19">
    <w:abstractNumId w:val="1"/>
  </w:num>
  <w:num w:numId="20">
    <w:abstractNumId w:val="0"/>
  </w:num>
  <w:num w:numId="21">
    <w:abstractNumId w:val="25"/>
  </w:num>
  <w:num w:numId="22">
    <w:abstractNumId w:val="11"/>
  </w:num>
  <w:num w:numId="23">
    <w:abstractNumId w:val="17"/>
  </w:num>
  <w:num w:numId="24">
    <w:abstractNumId w:val="14"/>
  </w:num>
  <w:num w:numId="25">
    <w:abstractNumId w:val="30"/>
  </w:num>
  <w:num w:numId="26">
    <w:abstractNumId w:val="34"/>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5"/>
  </w:num>
  <w:num w:numId="36">
    <w:abstractNumId w:val="40"/>
  </w:num>
  <w:num w:numId="37">
    <w:abstractNumId w:val="24"/>
  </w:num>
  <w:num w:numId="38">
    <w:abstractNumId w:val="21"/>
  </w:num>
  <w:num w:numId="39">
    <w:abstractNumId w:val="33"/>
  </w:num>
  <w:num w:numId="40">
    <w:abstractNumId w:val="26"/>
  </w:num>
  <w:num w:numId="41">
    <w:abstractNumId w:val="18"/>
  </w:num>
  <w:num w:numId="42">
    <w:abstractNumId w:val="10"/>
  </w:num>
  <w:num w:numId="43">
    <w:abstractNumId w:val="23"/>
  </w:num>
  <w:num w:numId="44">
    <w:abstractNumId w:val="20"/>
  </w:num>
  <w:num w:numId="45">
    <w:abstractNumId w:val="35"/>
  </w:num>
  <w:num w:numId="46">
    <w:abstractNumId w:val="19"/>
  </w:num>
  <w:num w:numId="47">
    <w:abstractNumId w:val="38"/>
  </w:num>
  <w:num w:numId="48">
    <w:abstractNumId w:val="36"/>
  </w:num>
  <w:num w:numId="49">
    <w:abstractNumId w:val="16"/>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D6C"/>
    <w:rsid w:val="0000095F"/>
    <w:rsid w:val="000028FC"/>
    <w:rsid w:val="00005189"/>
    <w:rsid w:val="00006405"/>
    <w:rsid w:val="00011DC1"/>
    <w:rsid w:val="00016C0A"/>
    <w:rsid w:val="00023F2B"/>
    <w:rsid w:val="000266C0"/>
    <w:rsid w:val="00027F2B"/>
    <w:rsid w:val="00031F75"/>
    <w:rsid w:val="000413CF"/>
    <w:rsid w:val="00050F6B"/>
    <w:rsid w:val="00051271"/>
    <w:rsid w:val="000518CF"/>
    <w:rsid w:val="00052EBC"/>
    <w:rsid w:val="0005356D"/>
    <w:rsid w:val="00054D61"/>
    <w:rsid w:val="000602F6"/>
    <w:rsid w:val="00063027"/>
    <w:rsid w:val="0006382F"/>
    <w:rsid w:val="00070DA6"/>
    <w:rsid w:val="00072C8C"/>
    <w:rsid w:val="000733B5"/>
    <w:rsid w:val="00085153"/>
    <w:rsid w:val="000931C0"/>
    <w:rsid w:val="000945D5"/>
    <w:rsid w:val="000B175B"/>
    <w:rsid w:val="000B31F1"/>
    <w:rsid w:val="000B3A0F"/>
    <w:rsid w:val="000B4EF7"/>
    <w:rsid w:val="000B517B"/>
    <w:rsid w:val="000B6467"/>
    <w:rsid w:val="000C2D2E"/>
    <w:rsid w:val="000C6CD1"/>
    <w:rsid w:val="000E0415"/>
    <w:rsid w:val="000E20A4"/>
    <w:rsid w:val="000E3177"/>
    <w:rsid w:val="000F13F7"/>
    <w:rsid w:val="001103AA"/>
    <w:rsid w:val="001202EA"/>
    <w:rsid w:val="00120788"/>
    <w:rsid w:val="00122EFB"/>
    <w:rsid w:val="00127263"/>
    <w:rsid w:val="00130539"/>
    <w:rsid w:val="00133B42"/>
    <w:rsid w:val="001349D3"/>
    <w:rsid w:val="00141B37"/>
    <w:rsid w:val="00143F45"/>
    <w:rsid w:val="001514E7"/>
    <w:rsid w:val="001523C5"/>
    <w:rsid w:val="00160A1C"/>
    <w:rsid w:val="00164C14"/>
    <w:rsid w:val="00171751"/>
    <w:rsid w:val="00174C76"/>
    <w:rsid w:val="00182019"/>
    <w:rsid w:val="0018633C"/>
    <w:rsid w:val="0019563F"/>
    <w:rsid w:val="00195DB3"/>
    <w:rsid w:val="00197142"/>
    <w:rsid w:val="001A1BF6"/>
    <w:rsid w:val="001A327F"/>
    <w:rsid w:val="001B0C71"/>
    <w:rsid w:val="001B135F"/>
    <w:rsid w:val="001B4350"/>
    <w:rsid w:val="001B4B04"/>
    <w:rsid w:val="001C6663"/>
    <w:rsid w:val="001C7624"/>
    <w:rsid w:val="001C7895"/>
    <w:rsid w:val="001C7B38"/>
    <w:rsid w:val="001D1CB2"/>
    <w:rsid w:val="001D26DF"/>
    <w:rsid w:val="001D2774"/>
    <w:rsid w:val="001E0468"/>
    <w:rsid w:val="001E244F"/>
    <w:rsid w:val="001E6639"/>
    <w:rsid w:val="001F5C5D"/>
    <w:rsid w:val="00202970"/>
    <w:rsid w:val="00202DA8"/>
    <w:rsid w:val="00203774"/>
    <w:rsid w:val="00205A0F"/>
    <w:rsid w:val="00205DE9"/>
    <w:rsid w:val="00211E0B"/>
    <w:rsid w:val="00221EEA"/>
    <w:rsid w:val="00226410"/>
    <w:rsid w:val="002534C4"/>
    <w:rsid w:val="00257F1E"/>
    <w:rsid w:val="00260846"/>
    <w:rsid w:val="002611EE"/>
    <w:rsid w:val="00261B65"/>
    <w:rsid w:val="00264725"/>
    <w:rsid w:val="0026480B"/>
    <w:rsid w:val="00266B1B"/>
    <w:rsid w:val="00271958"/>
    <w:rsid w:val="00271E18"/>
    <w:rsid w:val="00281A94"/>
    <w:rsid w:val="0028414C"/>
    <w:rsid w:val="002912BC"/>
    <w:rsid w:val="00292104"/>
    <w:rsid w:val="0029537D"/>
    <w:rsid w:val="00296729"/>
    <w:rsid w:val="0029780A"/>
    <w:rsid w:val="00297B01"/>
    <w:rsid w:val="002A0E65"/>
    <w:rsid w:val="002A397C"/>
    <w:rsid w:val="002A39FD"/>
    <w:rsid w:val="002A73AB"/>
    <w:rsid w:val="002C1B53"/>
    <w:rsid w:val="002D27E1"/>
    <w:rsid w:val="002D31CE"/>
    <w:rsid w:val="002D4593"/>
    <w:rsid w:val="002D5AF4"/>
    <w:rsid w:val="002E77C3"/>
    <w:rsid w:val="002F175C"/>
    <w:rsid w:val="002F27C8"/>
    <w:rsid w:val="002F4BFF"/>
    <w:rsid w:val="003026D6"/>
    <w:rsid w:val="0030762A"/>
    <w:rsid w:val="0031201C"/>
    <w:rsid w:val="0032118C"/>
    <w:rsid w:val="003229D8"/>
    <w:rsid w:val="00325B86"/>
    <w:rsid w:val="00335D28"/>
    <w:rsid w:val="00337991"/>
    <w:rsid w:val="00343633"/>
    <w:rsid w:val="00346714"/>
    <w:rsid w:val="00347BA6"/>
    <w:rsid w:val="00352709"/>
    <w:rsid w:val="003557DD"/>
    <w:rsid w:val="00355BFD"/>
    <w:rsid w:val="003568B5"/>
    <w:rsid w:val="0036359E"/>
    <w:rsid w:val="00365C96"/>
    <w:rsid w:val="003663EB"/>
    <w:rsid w:val="00367D03"/>
    <w:rsid w:val="00371178"/>
    <w:rsid w:val="00371AF6"/>
    <w:rsid w:val="003753EB"/>
    <w:rsid w:val="00376CF3"/>
    <w:rsid w:val="0037757E"/>
    <w:rsid w:val="0038016C"/>
    <w:rsid w:val="00382852"/>
    <w:rsid w:val="00385136"/>
    <w:rsid w:val="00387FA7"/>
    <w:rsid w:val="0039153B"/>
    <w:rsid w:val="00393C08"/>
    <w:rsid w:val="003A6805"/>
    <w:rsid w:val="003A6810"/>
    <w:rsid w:val="003B4EE0"/>
    <w:rsid w:val="003B56C0"/>
    <w:rsid w:val="003B65F3"/>
    <w:rsid w:val="003C0C4E"/>
    <w:rsid w:val="003C0E5D"/>
    <w:rsid w:val="003C1DF7"/>
    <w:rsid w:val="003C2CC4"/>
    <w:rsid w:val="003D0925"/>
    <w:rsid w:val="003D4B23"/>
    <w:rsid w:val="003D51C7"/>
    <w:rsid w:val="003D5392"/>
    <w:rsid w:val="003D6776"/>
    <w:rsid w:val="003E312D"/>
    <w:rsid w:val="003F0587"/>
    <w:rsid w:val="003F0898"/>
    <w:rsid w:val="003F1BE4"/>
    <w:rsid w:val="003F2B3A"/>
    <w:rsid w:val="00404E71"/>
    <w:rsid w:val="00410C89"/>
    <w:rsid w:val="00417AD5"/>
    <w:rsid w:val="0042699E"/>
    <w:rsid w:val="00426B9B"/>
    <w:rsid w:val="00426F00"/>
    <w:rsid w:val="00431BF0"/>
    <w:rsid w:val="0043216E"/>
    <w:rsid w:val="004325CB"/>
    <w:rsid w:val="00433E49"/>
    <w:rsid w:val="00437299"/>
    <w:rsid w:val="00437AF8"/>
    <w:rsid w:val="00440653"/>
    <w:rsid w:val="00443F4C"/>
    <w:rsid w:val="00445C6B"/>
    <w:rsid w:val="00446F4C"/>
    <w:rsid w:val="00447DA3"/>
    <w:rsid w:val="004517E5"/>
    <w:rsid w:val="0045495B"/>
    <w:rsid w:val="00456549"/>
    <w:rsid w:val="004616B8"/>
    <w:rsid w:val="0046483F"/>
    <w:rsid w:val="00471570"/>
    <w:rsid w:val="0047693D"/>
    <w:rsid w:val="00476B49"/>
    <w:rsid w:val="00477436"/>
    <w:rsid w:val="00483514"/>
    <w:rsid w:val="0048691F"/>
    <w:rsid w:val="004A3664"/>
    <w:rsid w:val="004A3A3E"/>
    <w:rsid w:val="004A4DB1"/>
    <w:rsid w:val="004B30A1"/>
    <w:rsid w:val="004D03EE"/>
    <w:rsid w:val="004D4CD5"/>
    <w:rsid w:val="004D614B"/>
    <w:rsid w:val="004E3207"/>
    <w:rsid w:val="004F5D11"/>
    <w:rsid w:val="00500A07"/>
    <w:rsid w:val="00502C49"/>
    <w:rsid w:val="00512C0A"/>
    <w:rsid w:val="00512E4F"/>
    <w:rsid w:val="00513BF7"/>
    <w:rsid w:val="00520FEC"/>
    <w:rsid w:val="00524808"/>
    <w:rsid w:val="00530928"/>
    <w:rsid w:val="00536DEC"/>
    <w:rsid w:val="005420B0"/>
    <w:rsid w:val="005420F2"/>
    <w:rsid w:val="00551804"/>
    <w:rsid w:val="00551869"/>
    <w:rsid w:val="00551C51"/>
    <w:rsid w:val="00560821"/>
    <w:rsid w:val="00562E65"/>
    <w:rsid w:val="005B1BF6"/>
    <w:rsid w:val="005B3DB3"/>
    <w:rsid w:val="005B5866"/>
    <w:rsid w:val="005B6006"/>
    <w:rsid w:val="005B63FE"/>
    <w:rsid w:val="005C3D03"/>
    <w:rsid w:val="005C732A"/>
    <w:rsid w:val="005D68BC"/>
    <w:rsid w:val="005E4E20"/>
    <w:rsid w:val="005F162C"/>
    <w:rsid w:val="005F3830"/>
    <w:rsid w:val="006001EE"/>
    <w:rsid w:val="0060181D"/>
    <w:rsid w:val="0060305E"/>
    <w:rsid w:val="00604917"/>
    <w:rsid w:val="00607D2A"/>
    <w:rsid w:val="00611FC4"/>
    <w:rsid w:val="00616E62"/>
    <w:rsid w:val="006176FB"/>
    <w:rsid w:val="0062795C"/>
    <w:rsid w:val="00640977"/>
    <w:rsid w:val="00640B26"/>
    <w:rsid w:val="006500BC"/>
    <w:rsid w:val="00650BCA"/>
    <w:rsid w:val="00652D0A"/>
    <w:rsid w:val="00653ABB"/>
    <w:rsid w:val="00657C82"/>
    <w:rsid w:val="00663D31"/>
    <w:rsid w:val="00676F25"/>
    <w:rsid w:val="00676FEB"/>
    <w:rsid w:val="00681CB0"/>
    <w:rsid w:val="006827F1"/>
    <w:rsid w:val="00685E71"/>
    <w:rsid w:val="006921A1"/>
    <w:rsid w:val="0069238F"/>
    <w:rsid w:val="00694E9E"/>
    <w:rsid w:val="00695388"/>
    <w:rsid w:val="006A05F8"/>
    <w:rsid w:val="006B25BD"/>
    <w:rsid w:val="006C3C3F"/>
    <w:rsid w:val="006C78DD"/>
    <w:rsid w:val="006D088C"/>
    <w:rsid w:val="006D0FAF"/>
    <w:rsid w:val="006D1FB2"/>
    <w:rsid w:val="006E4EE9"/>
    <w:rsid w:val="006E564B"/>
    <w:rsid w:val="006E6E4C"/>
    <w:rsid w:val="006F0B7B"/>
    <w:rsid w:val="006F75A4"/>
    <w:rsid w:val="00700005"/>
    <w:rsid w:val="00703146"/>
    <w:rsid w:val="00703CDA"/>
    <w:rsid w:val="00706D71"/>
    <w:rsid w:val="00713D1B"/>
    <w:rsid w:val="0071735E"/>
    <w:rsid w:val="0072632A"/>
    <w:rsid w:val="007334F3"/>
    <w:rsid w:val="007453E7"/>
    <w:rsid w:val="00745424"/>
    <w:rsid w:val="00753360"/>
    <w:rsid w:val="007540E9"/>
    <w:rsid w:val="00754AAC"/>
    <w:rsid w:val="00755DB1"/>
    <w:rsid w:val="00764044"/>
    <w:rsid w:val="00764C18"/>
    <w:rsid w:val="00765E88"/>
    <w:rsid w:val="00773A32"/>
    <w:rsid w:val="00774492"/>
    <w:rsid w:val="00781601"/>
    <w:rsid w:val="00786989"/>
    <w:rsid w:val="00786AF6"/>
    <w:rsid w:val="0079190C"/>
    <w:rsid w:val="007A7430"/>
    <w:rsid w:val="007B1A68"/>
    <w:rsid w:val="007B6BA5"/>
    <w:rsid w:val="007B6BF7"/>
    <w:rsid w:val="007B7400"/>
    <w:rsid w:val="007C01BE"/>
    <w:rsid w:val="007C3390"/>
    <w:rsid w:val="007C4F4B"/>
    <w:rsid w:val="007C6684"/>
    <w:rsid w:val="007C7F9D"/>
    <w:rsid w:val="007D1F5E"/>
    <w:rsid w:val="007D36AC"/>
    <w:rsid w:val="007D56AB"/>
    <w:rsid w:val="007E2A1D"/>
    <w:rsid w:val="007E36B7"/>
    <w:rsid w:val="007E4003"/>
    <w:rsid w:val="007F26D6"/>
    <w:rsid w:val="007F3FAA"/>
    <w:rsid w:val="007F6611"/>
    <w:rsid w:val="007F6CAD"/>
    <w:rsid w:val="00814703"/>
    <w:rsid w:val="00814EE5"/>
    <w:rsid w:val="008242D7"/>
    <w:rsid w:val="0082622D"/>
    <w:rsid w:val="008314DC"/>
    <w:rsid w:val="00844FD9"/>
    <w:rsid w:val="00850F42"/>
    <w:rsid w:val="008573E8"/>
    <w:rsid w:val="0086394B"/>
    <w:rsid w:val="00890724"/>
    <w:rsid w:val="008979B1"/>
    <w:rsid w:val="008A0D64"/>
    <w:rsid w:val="008A39F6"/>
    <w:rsid w:val="008A6B25"/>
    <w:rsid w:val="008A6C4F"/>
    <w:rsid w:val="008A7F78"/>
    <w:rsid w:val="008B2335"/>
    <w:rsid w:val="008B2FDE"/>
    <w:rsid w:val="008B41B1"/>
    <w:rsid w:val="008C2531"/>
    <w:rsid w:val="008C3D32"/>
    <w:rsid w:val="008C567B"/>
    <w:rsid w:val="008E414B"/>
    <w:rsid w:val="008F248A"/>
    <w:rsid w:val="008F26D2"/>
    <w:rsid w:val="008F6259"/>
    <w:rsid w:val="009026B5"/>
    <w:rsid w:val="0090482F"/>
    <w:rsid w:val="00907E1F"/>
    <w:rsid w:val="00910A53"/>
    <w:rsid w:val="009203B3"/>
    <w:rsid w:val="009223CA"/>
    <w:rsid w:val="0092542E"/>
    <w:rsid w:val="009332D1"/>
    <w:rsid w:val="00940E35"/>
    <w:rsid w:val="00940F93"/>
    <w:rsid w:val="009426A9"/>
    <w:rsid w:val="0095705F"/>
    <w:rsid w:val="00960C4E"/>
    <w:rsid w:val="009771B5"/>
    <w:rsid w:val="009824ED"/>
    <w:rsid w:val="00986BD7"/>
    <w:rsid w:val="009876AC"/>
    <w:rsid w:val="00994288"/>
    <w:rsid w:val="00995E1A"/>
    <w:rsid w:val="00997B99"/>
    <w:rsid w:val="009A1A00"/>
    <w:rsid w:val="009A25D1"/>
    <w:rsid w:val="009A39DD"/>
    <w:rsid w:val="009A62D9"/>
    <w:rsid w:val="009C4F32"/>
    <w:rsid w:val="009D4E48"/>
    <w:rsid w:val="009E3171"/>
    <w:rsid w:val="009E486B"/>
    <w:rsid w:val="009E4F57"/>
    <w:rsid w:val="009F6F01"/>
    <w:rsid w:val="00A00631"/>
    <w:rsid w:val="00A01489"/>
    <w:rsid w:val="00A03DD4"/>
    <w:rsid w:val="00A0619C"/>
    <w:rsid w:val="00A10F41"/>
    <w:rsid w:val="00A25068"/>
    <w:rsid w:val="00A26D85"/>
    <w:rsid w:val="00A34643"/>
    <w:rsid w:val="00A35915"/>
    <w:rsid w:val="00A3595D"/>
    <w:rsid w:val="00A43596"/>
    <w:rsid w:val="00A51E72"/>
    <w:rsid w:val="00A5384B"/>
    <w:rsid w:val="00A5427E"/>
    <w:rsid w:val="00A600FB"/>
    <w:rsid w:val="00A6460E"/>
    <w:rsid w:val="00A66C2B"/>
    <w:rsid w:val="00A66D6C"/>
    <w:rsid w:val="00A70C28"/>
    <w:rsid w:val="00A72F22"/>
    <w:rsid w:val="00A732E2"/>
    <w:rsid w:val="00A748A6"/>
    <w:rsid w:val="00A776B4"/>
    <w:rsid w:val="00A86EED"/>
    <w:rsid w:val="00A94361"/>
    <w:rsid w:val="00AA1FFC"/>
    <w:rsid w:val="00AA332E"/>
    <w:rsid w:val="00AA5DAE"/>
    <w:rsid w:val="00AB0209"/>
    <w:rsid w:val="00AB1764"/>
    <w:rsid w:val="00AC23C0"/>
    <w:rsid w:val="00AC2C50"/>
    <w:rsid w:val="00AC552A"/>
    <w:rsid w:val="00AD4DD9"/>
    <w:rsid w:val="00AD4F82"/>
    <w:rsid w:val="00AE06BD"/>
    <w:rsid w:val="00AE2136"/>
    <w:rsid w:val="00AE353C"/>
    <w:rsid w:val="00AE5CE1"/>
    <w:rsid w:val="00AE663B"/>
    <w:rsid w:val="00AF0682"/>
    <w:rsid w:val="00AF15B5"/>
    <w:rsid w:val="00AF236C"/>
    <w:rsid w:val="00AF317C"/>
    <w:rsid w:val="00AF39BE"/>
    <w:rsid w:val="00AF7567"/>
    <w:rsid w:val="00B07BEE"/>
    <w:rsid w:val="00B1443B"/>
    <w:rsid w:val="00B1495F"/>
    <w:rsid w:val="00B20FFB"/>
    <w:rsid w:val="00B21AFD"/>
    <w:rsid w:val="00B243D4"/>
    <w:rsid w:val="00B2479E"/>
    <w:rsid w:val="00B272CD"/>
    <w:rsid w:val="00B30179"/>
    <w:rsid w:val="00B33CB1"/>
    <w:rsid w:val="00B359F9"/>
    <w:rsid w:val="00B37590"/>
    <w:rsid w:val="00B4166D"/>
    <w:rsid w:val="00B503A8"/>
    <w:rsid w:val="00B52B2B"/>
    <w:rsid w:val="00B541E4"/>
    <w:rsid w:val="00B56E9C"/>
    <w:rsid w:val="00B64B1F"/>
    <w:rsid w:val="00B6553F"/>
    <w:rsid w:val="00B765C1"/>
    <w:rsid w:val="00B819E8"/>
    <w:rsid w:val="00B81E12"/>
    <w:rsid w:val="00B966B4"/>
    <w:rsid w:val="00BA24A2"/>
    <w:rsid w:val="00BA276C"/>
    <w:rsid w:val="00BA520A"/>
    <w:rsid w:val="00BB25E5"/>
    <w:rsid w:val="00BB6B22"/>
    <w:rsid w:val="00BB7C59"/>
    <w:rsid w:val="00BC74E9"/>
    <w:rsid w:val="00BD17F2"/>
    <w:rsid w:val="00BD2BB2"/>
    <w:rsid w:val="00BD3535"/>
    <w:rsid w:val="00BE3095"/>
    <w:rsid w:val="00BE589F"/>
    <w:rsid w:val="00BE7562"/>
    <w:rsid w:val="00BE7C1F"/>
    <w:rsid w:val="00BF0599"/>
    <w:rsid w:val="00BF4171"/>
    <w:rsid w:val="00BF68A8"/>
    <w:rsid w:val="00C01FF8"/>
    <w:rsid w:val="00C0322E"/>
    <w:rsid w:val="00C0738D"/>
    <w:rsid w:val="00C13B60"/>
    <w:rsid w:val="00C15A4D"/>
    <w:rsid w:val="00C17554"/>
    <w:rsid w:val="00C25057"/>
    <w:rsid w:val="00C37745"/>
    <w:rsid w:val="00C42384"/>
    <w:rsid w:val="00C433B5"/>
    <w:rsid w:val="00C44BB4"/>
    <w:rsid w:val="00C463DD"/>
    <w:rsid w:val="00C46705"/>
    <w:rsid w:val="00C4724C"/>
    <w:rsid w:val="00C54F06"/>
    <w:rsid w:val="00C629A0"/>
    <w:rsid w:val="00C6559E"/>
    <w:rsid w:val="00C741FE"/>
    <w:rsid w:val="00C745C3"/>
    <w:rsid w:val="00C77FA0"/>
    <w:rsid w:val="00C823FC"/>
    <w:rsid w:val="00C87469"/>
    <w:rsid w:val="00C92DCA"/>
    <w:rsid w:val="00CA19B5"/>
    <w:rsid w:val="00CA28AB"/>
    <w:rsid w:val="00CA4805"/>
    <w:rsid w:val="00CB6295"/>
    <w:rsid w:val="00CD26E9"/>
    <w:rsid w:val="00CD4DA5"/>
    <w:rsid w:val="00CD731D"/>
    <w:rsid w:val="00CE09CC"/>
    <w:rsid w:val="00CE0E13"/>
    <w:rsid w:val="00CE3187"/>
    <w:rsid w:val="00CE43F8"/>
    <w:rsid w:val="00CE4A8F"/>
    <w:rsid w:val="00CE6F51"/>
    <w:rsid w:val="00CF2D46"/>
    <w:rsid w:val="00CF45A4"/>
    <w:rsid w:val="00CF61B2"/>
    <w:rsid w:val="00D036B5"/>
    <w:rsid w:val="00D06875"/>
    <w:rsid w:val="00D13952"/>
    <w:rsid w:val="00D2031B"/>
    <w:rsid w:val="00D25FE2"/>
    <w:rsid w:val="00D3143E"/>
    <w:rsid w:val="00D34284"/>
    <w:rsid w:val="00D43252"/>
    <w:rsid w:val="00D4647E"/>
    <w:rsid w:val="00D47067"/>
    <w:rsid w:val="00D47F56"/>
    <w:rsid w:val="00D51CF1"/>
    <w:rsid w:val="00D547AD"/>
    <w:rsid w:val="00D653C7"/>
    <w:rsid w:val="00D66DD9"/>
    <w:rsid w:val="00D66FF6"/>
    <w:rsid w:val="00D67A7D"/>
    <w:rsid w:val="00D67CA8"/>
    <w:rsid w:val="00D701E5"/>
    <w:rsid w:val="00D72325"/>
    <w:rsid w:val="00D730FC"/>
    <w:rsid w:val="00D85321"/>
    <w:rsid w:val="00D85FF0"/>
    <w:rsid w:val="00D93FE0"/>
    <w:rsid w:val="00D95303"/>
    <w:rsid w:val="00D978C6"/>
    <w:rsid w:val="00DA0B44"/>
    <w:rsid w:val="00DA1060"/>
    <w:rsid w:val="00DA3C1C"/>
    <w:rsid w:val="00DB0097"/>
    <w:rsid w:val="00DB74FF"/>
    <w:rsid w:val="00DD1965"/>
    <w:rsid w:val="00DD20A6"/>
    <w:rsid w:val="00DD4FB9"/>
    <w:rsid w:val="00DE049E"/>
    <w:rsid w:val="00DE5CF5"/>
    <w:rsid w:val="00DF398E"/>
    <w:rsid w:val="00E04321"/>
    <w:rsid w:val="00E046DE"/>
    <w:rsid w:val="00E054F6"/>
    <w:rsid w:val="00E0610E"/>
    <w:rsid w:val="00E10A50"/>
    <w:rsid w:val="00E14FC7"/>
    <w:rsid w:val="00E26D05"/>
    <w:rsid w:val="00E408F1"/>
    <w:rsid w:val="00E40934"/>
    <w:rsid w:val="00E42D79"/>
    <w:rsid w:val="00E43B87"/>
    <w:rsid w:val="00E45A21"/>
    <w:rsid w:val="00E50256"/>
    <w:rsid w:val="00E54ECE"/>
    <w:rsid w:val="00E569F0"/>
    <w:rsid w:val="00E7124F"/>
    <w:rsid w:val="00E71BC8"/>
    <w:rsid w:val="00E7260F"/>
    <w:rsid w:val="00E72E7A"/>
    <w:rsid w:val="00E736DD"/>
    <w:rsid w:val="00E803B3"/>
    <w:rsid w:val="00E8133C"/>
    <w:rsid w:val="00E852C4"/>
    <w:rsid w:val="00E862C8"/>
    <w:rsid w:val="00E87506"/>
    <w:rsid w:val="00E94E8B"/>
    <w:rsid w:val="00E9508F"/>
    <w:rsid w:val="00E9580A"/>
    <w:rsid w:val="00E96630"/>
    <w:rsid w:val="00EA0124"/>
    <w:rsid w:val="00EA042F"/>
    <w:rsid w:val="00EB23FA"/>
    <w:rsid w:val="00EB2995"/>
    <w:rsid w:val="00EB59A8"/>
    <w:rsid w:val="00EC576A"/>
    <w:rsid w:val="00ED3A86"/>
    <w:rsid w:val="00ED7A2A"/>
    <w:rsid w:val="00EE4BC8"/>
    <w:rsid w:val="00EF1D7F"/>
    <w:rsid w:val="00EF1FB2"/>
    <w:rsid w:val="00EF6DFD"/>
    <w:rsid w:val="00EF784D"/>
    <w:rsid w:val="00F41EAB"/>
    <w:rsid w:val="00F4203D"/>
    <w:rsid w:val="00F67437"/>
    <w:rsid w:val="00F8529C"/>
    <w:rsid w:val="00F86540"/>
    <w:rsid w:val="00F91E95"/>
    <w:rsid w:val="00FA2225"/>
    <w:rsid w:val="00FA620C"/>
    <w:rsid w:val="00FC282F"/>
    <w:rsid w:val="00FC68B7"/>
    <w:rsid w:val="00FD1B93"/>
    <w:rsid w:val="00FD3D8C"/>
    <w:rsid w:val="00FD4E8F"/>
    <w:rsid w:val="00FE50EF"/>
    <w:rsid w:val="00FE5B00"/>
    <w:rsid w:val="00FF1A16"/>
    <w:rsid w:val="00FF3D76"/>
    <w:rsid w:val="00FF61B4"/>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93B17B4-CE1A-4B37-8A91-48E93219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9C"/>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42"/>
      </w:numPr>
      <w:tabs>
        <w:tab w:val="clear" w:pos="1494"/>
      </w:tabs>
    </w:pPr>
  </w:style>
  <w:style w:type="paragraph" w:customStyle="1" w:styleId="SingleTxtG">
    <w:name w:val="_ Single Txt_G"/>
    <w:basedOn w:val="Normal"/>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link w:val="PlainTextChar"/>
    <w:uiPriority w:val="99"/>
    <w:semiHidden/>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qFormat/>
    <w:rsid w:val="006921A1"/>
    <w:rPr>
      <w:rFonts w:ascii="Times New Roman" w:hAnsi="Times New Roman"/>
      <w:sz w:val="18"/>
      <w:vertAlign w:val="superscript"/>
    </w:rPr>
  </w:style>
  <w:style w:type="paragraph" w:styleId="FootnoteText">
    <w:name w:val="footnote text"/>
    <w:aliases w:val="5_G"/>
    <w:basedOn w:val="Normal"/>
    <w:link w:val="FootnoteTextChar"/>
    <w:qFormat/>
    <w:rsid w:val="006921A1"/>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40"/>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3C2CC4"/>
    <w:pPr>
      <w:numPr>
        <w:numId w:val="41"/>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48"/>
      </w:numPr>
    </w:pPr>
  </w:style>
  <w:style w:type="numbering" w:styleId="1ai">
    <w:name w:val="Outline List 1"/>
    <w:basedOn w:val="NoList"/>
    <w:semiHidden/>
    <w:rsid w:val="008A6C4F"/>
    <w:pPr>
      <w:numPr>
        <w:numId w:val="49"/>
      </w:numPr>
    </w:pPr>
  </w:style>
  <w:style w:type="numbering" w:styleId="ArticleSection">
    <w:name w:val="Outline List 3"/>
    <w:basedOn w:val="NoList"/>
    <w:semiHidden/>
    <w:rsid w:val="008A6C4F"/>
    <w:pPr>
      <w:numPr>
        <w:numId w:val="50"/>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30"/>
      </w:numPr>
    </w:pPr>
  </w:style>
  <w:style w:type="paragraph" w:styleId="ListBullet2">
    <w:name w:val="List Bullet 2"/>
    <w:basedOn w:val="Normal"/>
    <w:semiHidden/>
    <w:rsid w:val="008A6C4F"/>
    <w:pPr>
      <w:numPr>
        <w:numId w:val="31"/>
      </w:numPr>
    </w:pPr>
  </w:style>
  <w:style w:type="paragraph" w:styleId="ListBullet3">
    <w:name w:val="List Bullet 3"/>
    <w:basedOn w:val="Normal"/>
    <w:semiHidden/>
    <w:rsid w:val="008A6C4F"/>
    <w:pPr>
      <w:numPr>
        <w:numId w:val="32"/>
      </w:numPr>
    </w:pPr>
  </w:style>
  <w:style w:type="paragraph" w:styleId="ListBullet4">
    <w:name w:val="List Bullet 4"/>
    <w:basedOn w:val="Normal"/>
    <w:semiHidden/>
    <w:rsid w:val="008A6C4F"/>
    <w:pPr>
      <w:numPr>
        <w:numId w:val="33"/>
      </w:numPr>
    </w:pPr>
  </w:style>
  <w:style w:type="paragraph" w:styleId="ListBullet5">
    <w:name w:val="List Bullet 5"/>
    <w:basedOn w:val="Normal"/>
    <w:semiHidden/>
    <w:rsid w:val="008A6C4F"/>
    <w:pPr>
      <w:numPr>
        <w:numId w:val="34"/>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29"/>
      </w:numPr>
    </w:pPr>
  </w:style>
  <w:style w:type="paragraph" w:styleId="ListNumber2">
    <w:name w:val="List Number 2"/>
    <w:basedOn w:val="Normal"/>
    <w:semiHidden/>
    <w:rsid w:val="008A6C4F"/>
    <w:pPr>
      <w:numPr>
        <w:numId w:val="28"/>
      </w:numPr>
    </w:pPr>
  </w:style>
  <w:style w:type="paragraph" w:styleId="ListNumber3">
    <w:name w:val="List Number 3"/>
    <w:basedOn w:val="Normal"/>
    <w:semiHidden/>
    <w:rsid w:val="008A6C4F"/>
    <w:pPr>
      <w:numPr>
        <w:numId w:val="27"/>
      </w:numPr>
    </w:pPr>
  </w:style>
  <w:style w:type="paragraph" w:styleId="ListNumber4">
    <w:name w:val="List Number 4"/>
    <w:basedOn w:val="Normal"/>
    <w:semiHidden/>
    <w:rsid w:val="008A6C4F"/>
    <w:pPr>
      <w:numPr>
        <w:numId w:val="19"/>
      </w:numPr>
    </w:pPr>
  </w:style>
  <w:style w:type="paragraph" w:styleId="ListNumber5">
    <w:name w:val="List Number 5"/>
    <w:basedOn w:val="Normal"/>
    <w:semiHidden/>
    <w:rsid w:val="008A6C4F"/>
    <w:pPr>
      <w:numPr>
        <w:numId w:val="20"/>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E803B3"/>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character" w:customStyle="1" w:styleId="FootnoteTextChar">
    <w:name w:val="Footnote Text Char"/>
    <w:aliases w:val="5_G Char"/>
    <w:link w:val="FootnoteText"/>
    <w:rsid w:val="00A26D85"/>
    <w:rPr>
      <w:rFonts w:eastAsia="SimSun"/>
      <w:sz w:val="18"/>
    </w:rPr>
  </w:style>
  <w:style w:type="paragraph" w:styleId="BalloonText">
    <w:name w:val="Balloon Text"/>
    <w:basedOn w:val="Normal"/>
    <w:link w:val="BalloonTextChar"/>
    <w:rsid w:val="003753EB"/>
    <w:pPr>
      <w:spacing w:line="240" w:lineRule="auto"/>
    </w:pPr>
    <w:rPr>
      <w:rFonts w:ascii="Tahoma" w:hAnsi="Tahoma"/>
      <w:sz w:val="16"/>
      <w:szCs w:val="16"/>
    </w:rPr>
  </w:style>
  <w:style w:type="character" w:customStyle="1" w:styleId="BalloonTextChar">
    <w:name w:val="Balloon Text Char"/>
    <w:link w:val="BalloonText"/>
    <w:rsid w:val="003753EB"/>
    <w:rPr>
      <w:rFonts w:ascii="Tahoma" w:hAnsi="Tahoma" w:cs="Tahoma"/>
      <w:sz w:val="16"/>
      <w:szCs w:val="16"/>
      <w:lang w:eastAsia="en-US"/>
    </w:rPr>
  </w:style>
  <w:style w:type="paragraph" w:styleId="CommentSubject">
    <w:name w:val="annotation subject"/>
    <w:basedOn w:val="CommentText"/>
    <w:next w:val="CommentText"/>
    <w:link w:val="CommentSubjectChar"/>
    <w:rsid w:val="00CD4DA5"/>
    <w:rPr>
      <w:b/>
      <w:bCs/>
    </w:rPr>
  </w:style>
  <w:style w:type="character" w:customStyle="1" w:styleId="CommentTextChar">
    <w:name w:val="Comment Text Char"/>
    <w:link w:val="CommentText"/>
    <w:semiHidden/>
    <w:rsid w:val="00CD4DA5"/>
    <w:rPr>
      <w:lang w:eastAsia="en-US"/>
    </w:rPr>
  </w:style>
  <w:style w:type="character" w:customStyle="1" w:styleId="CommentSubjectChar">
    <w:name w:val="Comment Subject Char"/>
    <w:link w:val="CommentSubject"/>
    <w:rsid w:val="00CD4DA5"/>
    <w:rPr>
      <w:b/>
      <w:bCs/>
      <w:lang w:eastAsia="en-US"/>
    </w:rPr>
  </w:style>
  <w:style w:type="character" w:customStyle="1" w:styleId="st">
    <w:name w:val="st"/>
    <w:rsid w:val="00437299"/>
  </w:style>
  <w:style w:type="character" w:customStyle="1" w:styleId="PlainTextChar">
    <w:name w:val="Plain Text Char"/>
    <w:link w:val="PlainText"/>
    <w:uiPriority w:val="99"/>
    <w:semiHidden/>
    <w:rsid w:val="00781601"/>
    <w:rPr>
      <w:rFonts w:cs="Courier New"/>
      <w:lang w:eastAsia="en-US"/>
    </w:rPr>
  </w:style>
  <w:style w:type="paragraph" w:styleId="Revision">
    <w:name w:val="Revision"/>
    <w:hidden/>
    <w:uiPriority w:val="99"/>
    <w:semiHidden/>
    <w:rsid w:val="002A397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15343">
      <w:bodyDiv w:val="1"/>
      <w:marLeft w:val="0"/>
      <w:marRight w:val="0"/>
      <w:marTop w:val="0"/>
      <w:marBottom w:val="0"/>
      <w:divBdr>
        <w:top w:val="none" w:sz="0" w:space="0" w:color="auto"/>
        <w:left w:val="none" w:sz="0" w:space="0" w:color="auto"/>
        <w:bottom w:val="none" w:sz="0" w:space="0" w:color="auto"/>
        <w:right w:val="none" w:sz="0" w:space="0" w:color="auto"/>
      </w:divBdr>
    </w:div>
    <w:div w:id="789862639">
      <w:bodyDiv w:val="1"/>
      <w:marLeft w:val="0"/>
      <w:marRight w:val="0"/>
      <w:marTop w:val="0"/>
      <w:marBottom w:val="0"/>
      <w:divBdr>
        <w:top w:val="none" w:sz="0" w:space="0" w:color="auto"/>
        <w:left w:val="none" w:sz="0" w:space="0" w:color="auto"/>
        <w:bottom w:val="none" w:sz="0" w:space="0" w:color="auto"/>
        <w:right w:val="none" w:sz="0" w:space="0" w:color="auto"/>
      </w:divBdr>
    </w:div>
    <w:div w:id="198299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file:///D:\downloads\www.ohchr.org\EN\NewsEvents\Pages\DisplayNews.aspx%3fNewsID=12551&amp;LangID=E" TargetMode="External"/><Relationship Id="rId1" Type="http://schemas.openxmlformats.org/officeDocument/2006/relationships/hyperlink" Target="http://www.verfassungsschutz.de/download/SHOW/vsbericht_201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C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Template>
  <TotalTime>0</TotalTime>
  <Pages>11</Pages>
  <Words>4065</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1441274</vt:lpstr>
    </vt:vector>
  </TitlesOfParts>
  <Company>CSD</Company>
  <LinksUpToDate>false</LinksUpToDate>
  <CharactersWithSpaces>27188</CharactersWithSpaces>
  <SharedDoc>false</SharedDoc>
  <HLinks>
    <vt:vector size="12" baseType="variant">
      <vt:variant>
        <vt:i4>2424859</vt:i4>
      </vt:variant>
      <vt:variant>
        <vt:i4>3</vt:i4>
      </vt:variant>
      <vt:variant>
        <vt:i4>0</vt:i4>
      </vt:variant>
      <vt:variant>
        <vt:i4>5</vt:i4>
      </vt:variant>
      <vt:variant>
        <vt:lpwstr>D:\downloads\www.ohchr.org\EN\NewsEvents\Pages\_x000b_DisplayNews.aspx?NewsID=12551&amp;LangID=E</vt:lpwstr>
      </vt:variant>
      <vt:variant>
        <vt:lpwstr/>
      </vt:variant>
      <vt:variant>
        <vt:i4>6291456</vt:i4>
      </vt:variant>
      <vt:variant>
        <vt:i4>0</vt:i4>
      </vt:variant>
      <vt:variant>
        <vt:i4>0</vt:i4>
      </vt:variant>
      <vt:variant>
        <vt:i4>5</vt:i4>
      </vt:variant>
      <vt:variant>
        <vt:lpwstr>http://www.verfassungsschutz.de/download/SHOW/vsbericht_2010.pdf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1441274</dc:title>
  <dc:subject/>
  <dc:creator>Pool</dc:creator>
  <cp:keywords>CAT/C/52/DR/372/2009</cp:keywords>
  <dc:description>Final</dc:description>
  <cp:lastModifiedBy>Sarah Willig</cp:lastModifiedBy>
  <cp:revision>2</cp:revision>
  <cp:lastPrinted>2015-01-19T12:43:00Z</cp:lastPrinted>
  <dcterms:created xsi:type="dcterms:W3CDTF">2017-01-25T01:32:00Z</dcterms:created>
  <dcterms:modified xsi:type="dcterms:W3CDTF">2017-01-25T01:32:00Z</dcterms:modified>
</cp:coreProperties>
</file>