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1A76F36D" w14:textId="77777777" w:rsidTr="00316264">
        <w:trPr>
          <w:cantSplit/>
          <w:trHeight w:hRule="exact" w:val="851"/>
        </w:trPr>
        <w:tc>
          <w:tcPr>
            <w:tcW w:w="1276" w:type="dxa"/>
            <w:tcBorders>
              <w:bottom w:val="single" w:sz="4" w:space="0" w:color="auto"/>
            </w:tcBorders>
            <w:shd w:val="clear" w:color="auto" w:fill="auto"/>
            <w:vAlign w:val="bottom"/>
          </w:tcPr>
          <w:p w14:paraId="1610AEC4" w14:textId="77777777" w:rsidR="00B56E9C" w:rsidRPr="00174FBD" w:rsidRDefault="00B56E9C" w:rsidP="00174FBD">
            <w:pPr>
              <w:pStyle w:val="SingleTxtG"/>
              <w:spacing w:after="0" w:line="20" w:lineRule="exact"/>
              <w:rPr>
                <w:sz w:val="2"/>
              </w:rPr>
            </w:pPr>
            <w:bookmarkStart w:id="0" w:name="_GoBack"/>
            <w:bookmarkEnd w:id="0"/>
          </w:p>
          <w:p w14:paraId="190D5F03" w14:textId="77777777" w:rsidR="00174FBD" w:rsidRPr="00ED616A" w:rsidRDefault="00174FBD" w:rsidP="00316264">
            <w:pPr>
              <w:pStyle w:val="SingleTxtG"/>
            </w:pPr>
          </w:p>
        </w:tc>
        <w:tc>
          <w:tcPr>
            <w:tcW w:w="2268" w:type="dxa"/>
            <w:tcBorders>
              <w:bottom w:val="single" w:sz="4" w:space="0" w:color="auto"/>
            </w:tcBorders>
            <w:shd w:val="clear" w:color="auto" w:fill="auto"/>
            <w:vAlign w:val="bottom"/>
          </w:tcPr>
          <w:p w14:paraId="3102A658" w14:textId="77777777" w:rsidR="00B56E9C" w:rsidRPr="00316264" w:rsidRDefault="00B56E9C" w:rsidP="00316264">
            <w:pPr>
              <w:spacing w:after="80" w:line="300" w:lineRule="exact"/>
              <w:rPr>
                <w:b/>
                <w:sz w:val="24"/>
                <w:szCs w:val="24"/>
              </w:rPr>
            </w:pPr>
            <w:r w:rsidRPr="00316264">
              <w:rPr>
                <w:sz w:val="28"/>
                <w:szCs w:val="28"/>
              </w:rPr>
              <w:t>United Nations</w:t>
            </w:r>
          </w:p>
        </w:tc>
        <w:tc>
          <w:tcPr>
            <w:tcW w:w="6095" w:type="dxa"/>
            <w:gridSpan w:val="2"/>
            <w:tcBorders>
              <w:bottom w:val="single" w:sz="4" w:space="0" w:color="auto"/>
            </w:tcBorders>
            <w:shd w:val="clear" w:color="auto" w:fill="auto"/>
            <w:vAlign w:val="bottom"/>
          </w:tcPr>
          <w:p w14:paraId="4DB456E8" w14:textId="77777777" w:rsidR="00B56E9C" w:rsidRPr="002E51B7" w:rsidRDefault="00843F4B" w:rsidP="005133EB">
            <w:pPr>
              <w:jc w:val="right"/>
            </w:pPr>
            <w:r>
              <w:rPr>
                <w:sz w:val="40"/>
              </w:rPr>
              <w:t>CAT</w:t>
            </w:r>
            <w:r w:rsidR="005B51FA">
              <w:t>/C/</w:t>
            </w:r>
            <w:r>
              <w:t>56</w:t>
            </w:r>
            <w:r w:rsidR="005B51FA">
              <w:t>/D/591/2014</w:t>
            </w:r>
          </w:p>
        </w:tc>
      </w:tr>
      <w:tr w:rsidR="00B56E9C" w14:paraId="6FF68A80" w14:textId="77777777" w:rsidTr="00316264">
        <w:trPr>
          <w:cantSplit/>
          <w:trHeight w:hRule="exact" w:val="2835"/>
        </w:trPr>
        <w:tc>
          <w:tcPr>
            <w:tcW w:w="1276" w:type="dxa"/>
            <w:tcBorders>
              <w:top w:val="single" w:sz="4" w:space="0" w:color="auto"/>
              <w:bottom w:val="single" w:sz="12" w:space="0" w:color="auto"/>
            </w:tcBorders>
            <w:shd w:val="clear" w:color="auto" w:fill="auto"/>
          </w:tcPr>
          <w:p w14:paraId="60655AB6" w14:textId="77777777" w:rsidR="004C0E7F" w:rsidRPr="004C0E7F" w:rsidRDefault="004C0E7F" w:rsidP="004C0E7F">
            <w:pPr>
              <w:spacing w:line="20" w:lineRule="exact"/>
              <w:jc w:val="center"/>
              <w:rPr>
                <w:sz w:val="2"/>
              </w:rPr>
            </w:pPr>
            <w:r>
              <w:rPr>
                <w:rStyle w:val="CommentReference"/>
              </w:rPr>
              <w:commentReference w:id="1"/>
            </w:r>
          </w:p>
          <w:p w14:paraId="2B55E836" w14:textId="77777777" w:rsidR="00B56E9C" w:rsidRDefault="004D40E8" w:rsidP="00316264">
            <w:pPr>
              <w:spacing w:before="120"/>
              <w:jc w:val="center"/>
            </w:pPr>
            <w:r>
              <w:rPr>
                <w:noProof/>
                <w:lang w:val="en-US"/>
              </w:rPr>
              <w:drawing>
                <wp:inline distT="0" distB="0" distL="0" distR="0" wp14:anchorId="4E33AF9A" wp14:editId="2FE48CB3">
                  <wp:extent cx="716280" cy="594360"/>
                  <wp:effectExtent l="0" t="0" r="7620"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19BA2F45" w14:textId="77777777" w:rsidR="00B56E9C" w:rsidRDefault="00843F4B" w:rsidP="00316264">
            <w:pPr>
              <w:spacing w:before="120" w:line="42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r>
              <w:t xml:space="preserve"> </w:t>
            </w:r>
          </w:p>
        </w:tc>
        <w:tc>
          <w:tcPr>
            <w:tcW w:w="2835" w:type="dxa"/>
            <w:tcBorders>
              <w:top w:val="single" w:sz="4" w:space="0" w:color="auto"/>
              <w:bottom w:val="single" w:sz="12" w:space="0" w:color="auto"/>
            </w:tcBorders>
            <w:shd w:val="clear" w:color="auto" w:fill="auto"/>
          </w:tcPr>
          <w:p w14:paraId="16B420C4" w14:textId="77777777" w:rsidR="00B56E9C" w:rsidRDefault="005B51FA" w:rsidP="005B51FA">
            <w:pPr>
              <w:spacing w:before="240" w:line="240" w:lineRule="exact"/>
            </w:pPr>
            <w:r>
              <w:t xml:space="preserve">Distr.: </w:t>
            </w:r>
            <w:r w:rsidR="005133EB">
              <w:t>General</w:t>
            </w:r>
          </w:p>
          <w:p w14:paraId="1759C99C" w14:textId="77777777" w:rsidR="005B51FA" w:rsidRDefault="00C14ECE" w:rsidP="003E5770">
            <w:pPr>
              <w:spacing w:line="240" w:lineRule="exact"/>
            </w:pPr>
            <w:r>
              <w:t>1</w:t>
            </w:r>
            <w:r w:rsidR="003E5770">
              <w:t>7</w:t>
            </w:r>
            <w:r w:rsidR="00030F7F">
              <w:t xml:space="preserve"> February</w:t>
            </w:r>
            <w:r>
              <w:t xml:space="preserve"> </w:t>
            </w:r>
            <w:r w:rsidR="005B51FA">
              <w:t>201</w:t>
            </w:r>
            <w:r>
              <w:t>6</w:t>
            </w:r>
          </w:p>
          <w:p w14:paraId="6A98274F" w14:textId="77777777" w:rsidR="005B51FA" w:rsidRDefault="005B51FA" w:rsidP="005B51FA">
            <w:pPr>
              <w:spacing w:line="240" w:lineRule="exact"/>
            </w:pPr>
          </w:p>
          <w:p w14:paraId="6A28E008" w14:textId="77777777" w:rsidR="005B51FA" w:rsidRDefault="005B51FA" w:rsidP="005B51FA">
            <w:pPr>
              <w:spacing w:line="240" w:lineRule="exact"/>
            </w:pPr>
            <w:r>
              <w:t>Original: English</w:t>
            </w:r>
          </w:p>
          <w:p w14:paraId="3D27870C" w14:textId="77777777" w:rsidR="005E2BF6" w:rsidRDefault="005E2BF6" w:rsidP="00467C18">
            <w:pPr>
              <w:spacing w:line="240" w:lineRule="exact"/>
            </w:pPr>
          </w:p>
          <w:p w14:paraId="30749FAB" w14:textId="77777777" w:rsidR="005E2BF6" w:rsidRDefault="005E2BF6" w:rsidP="00467C18">
            <w:pPr>
              <w:spacing w:line="240" w:lineRule="exact"/>
            </w:pPr>
          </w:p>
          <w:p w14:paraId="051E2177" w14:textId="77777777" w:rsidR="005E2BF6" w:rsidRPr="005E2BF6" w:rsidRDefault="005E2BF6" w:rsidP="00467C18">
            <w:pPr>
              <w:spacing w:line="240" w:lineRule="exact"/>
              <w:rPr>
                <w:b/>
                <w:sz w:val="32"/>
                <w:szCs w:val="32"/>
              </w:rPr>
            </w:pPr>
          </w:p>
        </w:tc>
      </w:tr>
    </w:tbl>
    <w:p w14:paraId="602C3A26" w14:textId="77777777" w:rsidR="00B22288" w:rsidRPr="00B22288" w:rsidRDefault="00B22288" w:rsidP="00B22288">
      <w:pPr>
        <w:suppressAutoHyphens w:val="0"/>
        <w:autoSpaceDE w:val="0"/>
        <w:autoSpaceDN w:val="0"/>
        <w:adjustRightInd w:val="0"/>
        <w:spacing w:before="120" w:line="240" w:lineRule="auto"/>
        <w:rPr>
          <w:rFonts w:eastAsia="SimSun"/>
          <w:b/>
          <w:bCs/>
          <w:color w:val="000000"/>
          <w:sz w:val="24"/>
          <w:szCs w:val="24"/>
          <w:lang w:eastAsia="en-GB"/>
        </w:rPr>
      </w:pPr>
      <w:r w:rsidRPr="00B22288">
        <w:rPr>
          <w:rFonts w:eastAsia="SimSun"/>
          <w:b/>
          <w:bCs/>
          <w:color w:val="000000"/>
          <w:sz w:val="24"/>
          <w:szCs w:val="24"/>
          <w:lang w:eastAsia="en-GB"/>
        </w:rPr>
        <w:t>Committee against Torture</w:t>
      </w:r>
    </w:p>
    <w:p w14:paraId="1BBFA224" w14:textId="77777777" w:rsidR="00B22288" w:rsidRPr="00B22288" w:rsidRDefault="00B22288" w:rsidP="00B23A14">
      <w:pPr>
        <w:pStyle w:val="HChG"/>
        <w:rPr>
          <w:rFonts w:eastAsia="SimSun"/>
          <w:w w:val="103"/>
          <w:lang w:eastAsia="zh-CN"/>
        </w:rPr>
      </w:pPr>
      <w:r w:rsidRPr="00B22288">
        <w:rPr>
          <w:rFonts w:eastAsia="SimSun"/>
          <w:w w:val="103"/>
          <w:lang w:eastAsia="zh-CN"/>
        </w:rPr>
        <w:tab/>
      </w:r>
      <w:r w:rsidRPr="00B22288">
        <w:rPr>
          <w:rFonts w:eastAsia="SimSun"/>
          <w:w w:val="103"/>
          <w:lang w:eastAsia="zh-CN"/>
        </w:rPr>
        <w:tab/>
        <w:t>Communication No. 591/2014</w:t>
      </w:r>
    </w:p>
    <w:p w14:paraId="21BC0CDB" w14:textId="77777777" w:rsidR="00B22288" w:rsidRPr="00B22288" w:rsidRDefault="00B22288" w:rsidP="00314958">
      <w:pPr>
        <w:pStyle w:val="H1G"/>
        <w:rPr>
          <w:rFonts w:eastAsia="SimSun"/>
          <w:spacing w:val="4"/>
          <w:w w:val="103"/>
          <w:kern w:val="14"/>
          <w:sz w:val="10"/>
          <w:lang w:eastAsia="zh-CN"/>
        </w:rPr>
      </w:pPr>
      <w:r w:rsidRPr="00B22288">
        <w:rPr>
          <w:rFonts w:eastAsia="SimSun"/>
          <w:spacing w:val="4"/>
          <w:w w:val="103"/>
          <w:kern w:val="14"/>
          <w:lang w:eastAsia="zh-CN"/>
        </w:rPr>
        <w:tab/>
      </w:r>
      <w:r w:rsidRPr="00B22288">
        <w:rPr>
          <w:rFonts w:eastAsia="SimSun"/>
          <w:spacing w:val="4"/>
          <w:w w:val="103"/>
          <w:kern w:val="14"/>
          <w:lang w:eastAsia="zh-CN"/>
        </w:rPr>
        <w:tab/>
      </w:r>
      <w:r w:rsidR="005133EB" w:rsidRPr="005133EB">
        <w:t>Decision adopted by the Committee at its fifty-sixth session (9</w:t>
      </w:r>
      <w:r w:rsidR="00314958">
        <w:t> </w:t>
      </w:r>
      <w:r w:rsidR="005133EB" w:rsidRPr="005133EB">
        <w:t>November-9 December 2015)</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B22288" w:rsidRPr="00B22288" w14:paraId="6D03DF8B" w14:textId="77777777" w:rsidTr="00B23A14">
        <w:tc>
          <w:tcPr>
            <w:tcW w:w="3402" w:type="dxa"/>
            <w:shd w:val="clear" w:color="auto" w:fill="auto"/>
          </w:tcPr>
          <w:p w14:paraId="4645F5DD" w14:textId="77777777" w:rsidR="00B22288" w:rsidRPr="00B22288" w:rsidRDefault="00B22288" w:rsidP="00B22288">
            <w:pPr>
              <w:spacing w:after="120" w:line="240" w:lineRule="exact"/>
              <w:rPr>
                <w:rFonts w:eastAsia="SimSun"/>
                <w:i/>
                <w:spacing w:val="4"/>
                <w:w w:val="103"/>
                <w:kern w:val="14"/>
                <w:lang w:val="fr-CH" w:eastAsia="zh-CN"/>
              </w:rPr>
            </w:pPr>
            <w:r w:rsidRPr="00B22288">
              <w:rPr>
                <w:rFonts w:eastAsia="SimSun"/>
                <w:i/>
                <w:spacing w:val="4"/>
                <w:w w:val="103"/>
                <w:kern w:val="14"/>
                <w:lang w:eastAsia="zh-CN"/>
              </w:rPr>
              <w:t>Submitted by:</w:t>
            </w:r>
          </w:p>
        </w:tc>
        <w:tc>
          <w:tcPr>
            <w:tcW w:w="3969" w:type="dxa"/>
            <w:shd w:val="clear" w:color="auto" w:fill="auto"/>
          </w:tcPr>
          <w:p w14:paraId="04F603FE" w14:textId="77777777" w:rsidR="00B22288" w:rsidRPr="00B22288" w:rsidRDefault="00B22288" w:rsidP="00574EB2">
            <w:pPr>
              <w:spacing w:after="120" w:line="240" w:lineRule="exact"/>
              <w:rPr>
                <w:rFonts w:eastAsia="SimSun"/>
                <w:spacing w:val="4"/>
                <w:w w:val="103"/>
                <w:kern w:val="14"/>
                <w:lang w:eastAsia="zh-CN"/>
              </w:rPr>
            </w:pPr>
            <w:r w:rsidRPr="00B22288">
              <w:rPr>
                <w:rFonts w:eastAsia="SimSun"/>
                <w:spacing w:val="4"/>
                <w:w w:val="103"/>
                <w:kern w:val="14"/>
                <w:lang w:eastAsia="zh-CN"/>
              </w:rPr>
              <w:t>K</w:t>
            </w:r>
            <w:r w:rsidR="00200846">
              <w:rPr>
                <w:rFonts w:eastAsia="SimSun"/>
                <w:spacing w:val="4"/>
                <w:w w:val="103"/>
                <w:kern w:val="14"/>
                <w:lang w:eastAsia="zh-CN"/>
              </w:rPr>
              <w:t xml:space="preserve"> </w:t>
            </w:r>
            <w:r w:rsidRPr="00B22288">
              <w:rPr>
                <w:rFonts w:eastAsia="SimSun"/>
                <w:spacing w:val="4"/>
                <w:w w:val="103"/>
                <w:kern w:val="14"/>
                <w:lang w:eastAsia="zh-CN"/>
              </w:rPr>
              <w:t>(not represented by counsel)</w:t>
            </w:r>
          </w:p>
        </w:tc>
      </w:tr>
      <w:tr w:rsidR="00B22288" w:rsidRPr="00B22288" w14:paraId="19804E12" w14:textId="77777777" w:rsidTr="00B23A14">
        <w:tc>
          <w:tcPr>
            <w:tcW w:w="3402" w:type="dxa"/>
            <w:shd w:val="clear" w:color="auto" w:fill="auto"/>
          </w:tcPr>
          <w:p w14:paraId="48A3C125" w14:textId="77777777" w:rsidR="00B22288" w:rsidRPr="00200846" w:rsidRDefault="00B22288" w:rsidP="00B22288">
            <w:pPr>
              <w:spacing w:after="120" w:line="240" w:lineRule="exact"/>
              <w:rPr>
                <w:rFonts w:eastAsia="SimSun"/>
                <w:i/>
                <w:spacing w:val="4"/>
                <w:w w:val="103"/>
                <w:kern w:val="14"/>
                <w:lang w:eastAsia="zh-CN"/>
              </w:rPr>
            </w:pPr>
            <w:r w:rsidRPr="00B22288">
              <w:rPr>
                <w:rFonts w:eastAsia="SimSun"/>
                <w:i/>
                <w:spacing w:val="4"/>
                <w:w w:val="103"/>
                <w:kern w:val="14"/>
                <w:lang w:eastAsia="zh-CN"/>
              </w:rPr>
              <w:t>Alleged victim:</w:t>
            </w:r>
          </w:p>
        </w:tc>
        <w:tc>
          <w:tcPr>
            <w:tcW w:w="3969" w:type="dxa"/>
            <w:shd w:val="clear" w:color="auto" w:fill="auto"/>
          </w:tcPr>
          <w:p w14:paraId="4D3586C7" w14:textId="77777777" w:rsidR="00B22288" w:rsidRPr="00200846" w:rsidRDefault="00B22288" w:rsidP="00B22288">
            <w:pPr>
              <w:spacing w:after="120" w:line="240" w:lineRule="exact"/>
              <w:rPr>
                <w:rFonts w:eastAsia="SimSun"/>
                <w:spacing w:val="4"/>
                <w:w w:val="103"/>
                <w:kern w:val="14"/>
                <w:lang w:eastAsia="zh-CN"/>
              </w:rPr>
            </w:pPr>
            <w:r w:rsidRPr="00B22288">
              <w:rPr>
                <w:rFonts w:eastAsia="SimSun"/>
                <w:spacing w:val="4"/>
                <w:w w:val="103"/>
                <w:kern w:val="14"/>
                <w:lang w:eastAsia="zh-CN"/>
              </w:rPr>
              <w:t>The complainant</w:t>
            </w:r>
          </w:p>
        </w:tc>
      </w:tr>
      <w:tr w:rsidR="00B22288" w:rsidRPr="00B22288" w14:paraId="6B211D9E" w14:textId="77777777" w:rsidTr="00B23A14">
        <w:tc>
          <w:tcPr>
            <w:tcW w:w="3402" w:type="dxa"/>
            <w:shd w:val="clear" w:color="auto" w:fill="auto"/>
          </w:tcPr>
          <w:p w14:paraId="6A3FD0D8" w14:textId="77777777" w:rsidR="00B22288" w:rsidRPr="00200846" w:rsidRDefault="00B22288" w:rsidP="00B22288">
            <w:pPr>
              <w:spacing w:after="120" w:line="240" w:lineRule="exact"/>
              <w:rPr>
                <w:rFonts w:eastAsia="SimSun"/>
                <w:i/>
                <w:spacing w:val="4"/>
                <w:w w:val="103"/>
                <w:kern w:val="14"/>
                <w:lang w:eastAsia="zh-CN"/>
              </w:rPr>
            </w:pPr>
            <w:r w:rsidRPr="00B22288">
              <w:rPr>
                <w:rFonts w:eastAsia="SimSun"/>
                <w:i/>
                <w:spacing w:val="4"/>
                <w:w w:val="103"/>
                <w:kern w:val="14"/>
                <w:lang w:eastAsia="zh-CN"/>
              </w:rPr>
              <w:t>State party:</w:t>
            </w:r>
          </w:p>
        </w:tc>
        <w:tc>
          <w:tcPr>
            <w:tcW w:w="3969" w:type="dxa"/>
            <w:shd w:val="clear" w:color="auto" w:fill="auto"/>
          </w:tcPr>
          <w:p w14:paraId="2D3BD32D" w14:textId="77777777" w:rsidR="00B22288" w:rsidRPr="00200846" w:rsidRDefault="00B22288" w:rsidP="00B22288">
            <w:pPr>
              <w:spacing w:after="120" w:line="240" w:lineRule="exact"/>
              <w:rPr>
                <w:rFonts w:eastAsia="SimSun"/>
                <w:b/>
                <w:spacing w:val="4"/>
                <w:w w:val="103"/>
                <w:kern w:val="14"/>
                <w:lang w:eastAsia="zh-CN"/>
              </w:rPr>
            </w:pPr>
            <w:r w:rsidRPr="00B22288">
              <w:rPr>
                <w:rFonts w:eastAsia="SimSun"/>
                <w:spacing w:val="4"/>
                <w:w w:val="103"/>
                <w:kern w:val="14"/>
                <w:lang w:eastAsia="zh-CN"/>
              </w:rPr>
              <w:t>Australia</w:t>
            </w:r>
          </w:p>
        </w:tc>
      </w:tr>
      <w:tr w:rsidR="00B22288" w:rsidRPr="00B22288" w14:paraId="763A5C83" w14:textId="77777777" w:rsidTr="00B23A14">
        <w:tc>
          <w:tcPr>
            <w:tcW w:w="3402" w:type="dxa"/>
            <w:shd w:val="clear" w:color="auto" w:fill="auto"/>
          </w:tcPr>
          <w:p w14:paraId="707A200B" w14:textId="77777777" w:rsidR="00B22288" w:rsidRPr="00200846" w:rsidRDefault="00B22288" w:rsidP="00B22288">
            <w:pPr>
              <w:spacing w:after="120" w:line="240" w:lineRule="exact"/>
              <w:rPr>
                <w:rFonts w:eastAsia="SimSun"/>
                <w:i/>
                <w:spacing w:val="4"/>
                <w:w w:val="103"/>
                <w:kern w:val="14"/>
                <w:lang w:eastAsia="zh-CN"/>
              </w:rPr>
            </w:pPr>
            <w:r w:rsidRPr="00B22288">
              <w:rPr>
                <w:rFonts w:eastAsia="SimSun"/>
                <w:i/>
                <w:spacing w:val="4"/>
                <w:w w:val="103"/>
                <w:kern w:val="14"/>
                <w:lang w:eastAsia="zh-CN"/>
              </w:rPr>
              <w:t>Date of complaint:</w:t>
            </w:r>
          </w:p>
        </w:tc>
        <w:tc>
          <w:tcPr>
            <w:tcW w:w="3969" w:type="dxa"/>
            <w:shd w:val="clear" w:color="auto" w:fill="auto"/>
          </w:tcPr>
          <w:p w14:paraId="182C4AB2" w14:textId="77777777" w:rsidR="00B22288" w:rsidRPr="00200846" w:rsidRDefault="00B22288" w:rsidP="00B22288">
            <w:pPr>
              <w:spacing w:after="120" w:line="240" w:lineRule="exact"/>
              <w:rPr>
                <w:rFonts w:eastAsia="SimSun"/>
                <w:spacing w:val="4"/>
                <w:w w:val="103"/>
                <w:kern w:val="14"/>
                <w:lang w:eastAsia="zh-CN"/>
              </w:rPr>
            </w:pPr>
            <w:r w:rsidRPr="00B22288">
              <w:rPr>
                <w:rFonts w:eastAsia="SimSun"/>
                <w:spacing w:val="4"/>
                <w:w w:val="103"/>
                <w:kern w:val="14"/>
                <w:lang w:eastAsia="zh-CN"/>
              </w:rPr>
              <w:t>17 March 2014 (initial submission)</w:t>
            </w:r>
          </w:p>
        </w:tc>
      </w:tr>
      <w:tr w:rsidR="00B22288" w:rsidRPr="00B22288" w14:paraId="659CAD6B" w14:textId="77777777" w:rsidTr="00B23A14">
        <w:tc>
          <w:tcPr>
            <w:tcW w:w="3402" w:type="dxa"/>
            <w:shd w:val="clear" w:color="auto" w:fill="auto"/>
          </w:tcPr>
          <w:p w14:paraId="37FC033A" w14:textId="77777777" w:rsidR="00B22288" w:rsidRPr="00B22288" w:rsidRDefault="00B22288" w:rsidP="00B22288">
            <w:pPr>
              <w:spacing w:after="120" w:line="240" w:lineRule="exact"/>
              <w:rPr>
                <w:rFonts w:eastAsia="SimSun"/>
                <w:i/>
                <w:spacing w:val="4"/>
                <w:w w:val="103"/>
                <w:kern w:val="14"/>
                <w:lang w:val="en-US" w:eastAsia="zh-CN"/>
              </w:rPr>
            </w:pPr>
            <w:r w:rsidRPr="00B22288">
              <w:rPr>
                <w:rFonts w:eastAsia="SimSun"/>
                <w:i/>
                <w:spacing w:val="4"/>
                <w:w w:val="103"/>
                <w:kern w:val="14"/>
                <w:lang w:val="en-US" w:eastAsia="zh-CN"/>
              </w:rPr>
              <w:t>Date of present decision:</w:t>
            </w:r>
          </w:p>
        </w:tc>
        <w:tc>
          <w:tcPr>
            <w:tcW w:w="3969" w:type="dxa"/>
            <w:shd w:val="clear" w:color="auto" w:fill="auto"/>
          </w:tcPr>
          <w:p w14:paraId="5A14A8CD" w14:textId="77777777" w:rsidR="00B22288" w:rsidRPr="00B22288" w:rsidRDefault="005133EB" w:rsidP="00B22288">
            <w:pPr>
              <w:spacing w:after="120" w:line="240" w:lineRule="exact"/>
              <w:rPr>
                <w:rFonts w:eastAsia="SimSun"/>
                <w:spacing w:val="4"/>
                <w:w w:val="103"/>
                <w:kern w:val="14"/>
                <w:lang w:val="en-US" w:eastAsia="zh-CN"/>
              </w:rPr>
            </w:pPr>
            <w:r>
              <w:rPr>
                <w:rFonts w:eastAsia="SimSun"/>
                <w:spacing w:val="4"/>
                <w:w w:val="103"/>
                <w:kern w:val="14"/>
                <w:lang w:eastAsia="zh-CN"/>
              </w:rPr>
              <w:t>25</w:t>
            </w:r>
            <w:r w:rsidRPr="00B22288">
              <w:rPr>
                <w:rFonts w:eastAsia="SimSun"/>
                <w:spacing w:val="4"/>
                <w:w w:val="103"/>
                <w:kern w:val="14"/>
                <w:lang w:eastAsia="zh-CN"/>
              </w:rPr>
              <w:t xml:space="preserve"> </w:t>
            </w:r>
            <w:r w:rsidR="00B22288" w:rsidRPr="00B22288">
              <w:rPr>
                <w:rFonts w:eastAsia="SimSun"/>
                <w:spacing w:val="4"/>
                <w:w w:val="103"/>
                <w:kern w:val="14"/>
                <w:lang w:eastAsia="zh-CN"/>
              </w:rPr>
              <w:t>November 2015</w:t>
            </w:r>
          </w:p>
        </w:tc>
      </w:tr>
      <w:tr w:rsidR="00B22288" w:rsidRPr="00B22288" w14:paraId="63BEA2DE" w14:textId="77777777" w:rsidTr="00B23A14">
        <w:tc>
          <w:tcPr>
            <w:tcW w:w="3402" w:type="dxa"/>
            <w:shd w:val="clear" w:color="auto" w:fill="auto"/>
          </w:tcPr>
          <w:p w14:paraId="46B5BFC2" w14:textId="77777777" w:rsidR="00B22288" w:rsidRPr="00B22288" w:rsidRDefault="00B22288" w:rsidP="00B22288">
            <w:pPr>
              <w:spacing w:after="120" w:line="240" w:lineRule="exact"/>
              <w:rPr>
                <w:rFonts w:eastAsia="SimSun"/>
                <w:i/>
                <w:spacing w:val="4"/>
                <w:w w:val="103"/>
                <w:kern w:val="14"/>
                <w:lang w:val="fr-CH" w:eastAsia="zh-CN"/>
              </w:rPr>
            </w:pPr>
            <w:r w:rsidRPr="00B22288">
              <w:rPr>
                <w:rFonts w:eastAsia="SimSun"/>
                <w:i/>
                <w:iCs/>
                <w:spacing w:val="4"/>
                <w:w w:val="103"/>
                <w:kern w:val="14"/>
                <w:lang w:eastAsia="zh-CN"/>
              </w:rPr>
              <w:t>Subject matter:</w:t>
            </w:r>
          </w:p>
        </w:tc>
        <w:tc>
          <w:tcPr>
            <w:tcW w:w="3969" w:type="dxa"/>
            <w:shd w:val="clear" w:color="auto" w:fill="auto"/>
          </w:tcPr>
          <w:p w14:paraId="458A3FCE" w14:textId="77777777" w:rsidR="00B22288" w:rsidRPr="00B22288" w:rsidRDefault="00B22288" w:rsidP="00B22288">
            <w:pPr>
              <w:spacing w:after="120" w:line="240" w:lineRule="exact"/>
              <w:rPr>
                <w:rFonts w:eastAsia="SimSun"/>
                <w:spacing w:val="4"/>
                <w:w w:val="103"/>
                <w:kern w:val="14"/>
                <w:lang w:val="fr-CH" w:eastAsia="zh-CN"/>
              </w:rPr>
            </w:pPr>
            <w:r w:rsidRPr="00B22288">
              <w:rPr>
                <w:rFonts w:eastAsia="SimSun"/>
                <w:spacing w:val="4"/>
                <w:w w:val="103"/>
                <w:kern w:val="14"/>
                <w:lang w:eastAsia="zh-CN"/>
              </w:rPr>
              <w:t>Deportation to Sri Lanka</w:t>
            </w:r>
          </w:p>
        </w:tc>
      </w:tr>
      <w:tr w:rsidR="00B22288" w:rsidRPr="00B22288" w14:paraId="5ABA8171" w14:textId="77777777" w:rsidTr="00B23A14">
        <w:tc>
          <w:tcPr>
            <w:tcW w:w="3402" w:type="dxa"/>
            <w:shd w:val="clear" w:color="auto" w:fill="auto"/>
          </w:tcPr>
          <w:p w14:paraId="237B011B" w14:textId="77777777" w:rsidR="00B22288" w:rsidRPr="00B22288" w:rsidRDefault="00B22288" w:rsidP="00B22288">
            <w:pPr>
              <w:spacing w:after="120" w:line="240" w:lineRule="exact"/>
              <w:rPr>
                <w:rFonts w:eastAsia="SimSun"/>
                <w:i/>
                <w:spacing w:val="4"/>
                <w:w w:val="103"/>
                <w:kern w:val="14"/>
                <w:lang w:val="fr-CH" w:eastAsia="zh-CN"/>
              </w:rPr>
            </w:pPr>
            <w:r w:rsidRPr="00B22288">
              <w:rPr>
                <w:rFonts w:eastAsia="SimSun"/>
                <w:i/>
                <w:iCs/>
                <w:spacing w:val="4"/>
                <w:w w:val="103"/>
                <w:kern w:val="14"/>
                <w:lang w:eastAsia="zh-CN"/>
              </w:rPr>
              <w:t>Procedural issue:</w:t>
            </w:r>
          </w:p>
        </w:tc>
        <w:tc>
          <w:tcPr>
            <w:tcW w:w="3969" w:type="dxa"/>
            <w:shd w:val="clear" w:color="auto" w:fill="auto"/>
          </w:tcPr>
          <w:p w14:paraId="40E63636" w14:textId="77777777" w:rsidR="00B22288" w:rsidRPr="00B22288" w:rsidRDefault="00B22288" w:rsidP="00BE55FF">
            <w:pPr>
              <w:spacing w:after="120" w:line="240" w:lineRule="exact"/>
              <w:rPr>
                <w:rFonts w:eastAsia="SimSun"/>
                <w:spacing w:val="4"/>
                <w:w w:val="103"/>
                <w:kern w:val="14"/>
                <w:lang w:eastAsia="zh-CN"/>
              </w:rPr>
            </w:pPr>
            <w:r w:rsidRPr="00B22288">
              <w:rPr>
                <w:rFonts w:eastAsia="SimSun"/>
                <w:spacing w:val="4"/>
                <w:w w:val="103"/>
                <w:kern w:val="14"/>
                <w:lang w:eastAsia="zh-CN"/>
              </w:rPr>
              <w:t>Failure to substantiate complaint</w:t>
            </w:r>
          </w:p>
        </w:tc>
      </w:tr>
      <w:tr w:rsidR="00B22288" w:rsidRPr="00B22288" w14:paraId="2C95DAF8" w14:textId="77777777" w:rsidTr="00B23A14">
        <w:tc>
          <w:tcPr>
            <w:tcW w:w="3402" w:type="dxa"/>
            <w:shd w:val="clear" w:color="auto" w:fill="auto"/>
          </w:tcPr>
          <w:p w14:paraId="4004C55C" w14:textId="77777777" w:rsidR="00B22288" w:rsidRPr="00B22288" w:rsidRDefault="00B22288" w:rsidP="00B22288">
            <w:pPr>
              <w:spacing w:after="120" w:line="240" w:lineRule="exact"/>
              <w:rPr>
                <w:rFonts w:eastAsia="SimSun"/>
                <w:i/>
                <w:spacing w:val="4"/>
                <w:w w:val="103"/>
                <w:kern w:val="14"/>
                <w:lang w:val="fr-CH" w:eastAsia="zh-CN"/>
              </w:rPr>
            </w:pPr>
            <w:r w:rsidRPr="00B22288">
              <w:rPr>
                <w:rFonts w:eastAsia="SimSun"/>
                <w:i/>
                <w:iCs/>
                <w:spacing w:val="4"/>
                <w:w w:val="103"/>
                <w:kern w:val="14"/>
                <w:lang w:eastAsia="zh-CN"/>
              </w:rPr>
              <w:t>Substantive issue:</w:t>
            </w:r>
          </w:p>
        </w:tc>
        <w:tc>
          <w:tcPr>
            <w:tcW w:w="3969" w:type="dxa"/>
            <w:shd w:val="clear" w:color="auto" w:fill="auto"/>
          </w:tcPr>
          <w:p w14:paraId="12143730" w14:textId="77777777" w:rsidR="00B22288" w:rsidRPr="00B22288" w:rsidRDefault="00B22288" w:rsidP="00BE55FF">
            <w:pPr>
              <w:spacing w:after="120" w:line="240" w:lineRule="exact"/>
              <w:rPr>
                <w:rFonts w:eastAsia="SimSun"/>
                <w:spacing w:val="4"/>
                <w:w w:val="103"/>
                <w:kern w:val="14"/>
                <w:lang w:eastAsia="zh-CN"/>
              </w:rPr>
            </w:pPr>
            <w:r w:rsidRPr="00B22288">
              <w:rPr>
                <w:rFonts w:eastAsia="SimSun"/>
                <w:spacing w:val="4"/>
                <w:w w:val="103"/>
                <w:kern w:val="14"/>
                <w:lang w:eastAsia="zh-CN"/>
              </w:rPr>
              <w:t>Risk of torture upon return to country of</w:t>
            </w:r>
            <w:r w:rsidR="00982BB5">
              <w:rPr>
                <w:rFonts w:eastAsia="SimSun"/>
                <w:spacing w:val="4"/>
                <w:w w:val="103"/>
                <w:kern w:val="14"/>
                <w:lang w:eastAsia="zh-CN"/>
              </w:rPr>
              <w:t> </w:t>
            </w:r>
            <w:r w:rsidRPr="00B22288">
              <w:rPr>
                <w:rFonts w:eastAsia="SimSun"/>
                <w:spacing w:val="4"/>
                <w:w w:val="103"/>
                <w:kern w:val="14"/>
                <w:lang w:eastAsia="zh-CN"/>
              </w:rPr>
              <w:t>origin</w:t>
            </w:r>
          </w:p>
        </w:tc>
      </w:tr>
      <w:tr w:rsidR="00B22288" w:rsidRPr="00B22288" w14:paraId="783ABDC9" w14:textId="77777777" w:rsidTr="00B23A14">
        <w:tc>
          <w:tcPr>
            <w:tcW w:w="3402" w:type="dxa"/>
            <w:shd w:val="clear" w:color="auto" w:fill="auto"/>
          </w:tcPr>
          <w:p w14:paraId="0BFE2E38" w14:textId="77777777" w:rsidR="00B22288" w:rsidRPr="00B22288" w:rsidRDefault="00B22288" w:rsidP="00B22288">
            <w:pPr>
              <w:spacing w:after="120" w:line="240" w:lineRule="exact"/>
              <w:rPr>
                <w:rFonts w:eastAsia="SimSun"/>
                <w:i/>
                <w:spacing w:val="4"/>
                <w:w w:val="103"/>
                <w:kern w:val="14"/>
                <w:lang w:val="fr-CH" w:eastAsia="zh-CN"/>
              </w:rPr>
            </w:pPr>
            <w:r w:rsidRPr="00B22288">
              <w:rPr>
                <w:rFonts w:eastAsia="SimSun"/>
                <w:i/>
                <w:iCs/>
                <w:spacing w:val="4"/>
                <w:w w:val="103"/>
                <w:kern w:val="14"/>
                <w:lang w:eastAsia="zh-CN"/>
              </w:rPr>
              <w:t>Article of the Convention:</w:t>
            </w:r>
          </w:p>
        </w:tc>
        <w:tc>
          <w:tcPr>
            <w:tcW w:w="3969" w:type="dxa"/>
            <w:shd w:val="clear" w:color="auto" w:fill="auto"/>
          </w:tcPr>
          <w:p w14:paraId="313FD0D1" w14:textId="77777777" w:rsidR="00B22288" w:rsidRPr="00B22288" w:rsidRDefault="00B22288" w:rsidP="00B22288">
            <w:pPr>
              <w:spacing w:after="120" w:line="240" w:lineRule="exact"/>
              <w:rPr>
                <w:rFonts w:eastAsia="SimSun"/>
                <w:spacing w:val="4"/>
                <w:w w:val="103"/>
                <w:kern w:val="14"/>
                <w:lang w:val="fr-CH" w:eastAsia="zh-CN"/>
              </w:rPr>
            </w:pPr>
            <w:r w:rsidRPr="00B22288">
              <w:rPr>
                <w:rFonts w:eastAsia="SimSun"/>
                <w:spacing w:val="4"/>
                <w:w w:val="103"/>
                <w:kern w:val="14"/>
                <w:lang w:eastAsia="zh-CN"/>
              </w:rPr>
              <w:t>3</w:t>
            </w:r>
          </w:p>
        </w:tc>
      </w:tr>
    </w:tbl>
    <w:p w14:paraId="008FBC63" w14:textId="77777777" w:rsidR="00B22288" w:rsidRPr="00B22288" w:rsidRDefault="00B22288" w:rsidP="00B22288">
      <w:pPr>
        <w:suppressAutoHyphens w:val="0"/>
        <w:spacing w:line="240" w:lineRule="auto"/>
        <w:rPr>
          <w:rFonts w:eastAsia="SimSun"/>
          <w:spacing w:val="4"/>
          <w:w w:val="103"/>
          <w:kern w:val="14"/>
          <w:lang w:eastAsia="zh-CN"/>
        </w:rPr>
      </w:pPr>
      <w:r w:rsidRPr="00B22288">
        <w:rPr>
          <w:rFonts w:eastAsia="SimSun"/>
          <w:spacing w:val="4"/>
          <w:w w:val="103"/>
          <w:kern w:val="14"/>
          <w:lang w:eastAsia="zh-CN"/>
        </w:rPr>
        <w:br w:type="page"/>
      </w:r>
    </w:p>
    <w:p w14:paraId="253AD8E4" w14:textId="77777777" w:rsidR="00B22288" w:rsidRPr="00B22288" w:rsidRDefault="00B22288" w:rsidP="00B23A14">
      <w:pPr>
        <w:pStyle w:val="HChG"/>
        <w:rPr>
          <w:rFonts w:eastAsia="SimSun"/>
          <w:w w:val="103"/>
          <w:lang w:eastAsia="zh-CN"/>
        </w:rPr>
      </w:pPr>
      <w:r w:rsidRPr="00B22288">
        <w:rPr>
          <w:rFonts w:eastAsia="SimSun"/>
          <w:w w:val="103"/>
          <w:lang w:eastAsia="zh-CN"/>
        </w:rPr>
        <w:lastRenderedPageBreak/>
        <w:t>Annex</w:t>
      </w:r>
    </w:p>
    <w:p w14:paraId="5D9F5BC6" w14:textId="77777777" w:rsidR="00B22288" w:rsidRPr="00B22288" w:rsidRDefault="00B22288" w:rsidP="00B23A14">
      <w:pPr>
        <w:pStyle w:val="HChG"/>
        <w:rPr>
          <w:rFonts w:eastAsia="SimSun"/>
          <w:w w:val="103"/>
          <w:lang w:eastAsia="zh-CN"/>
        </w:rPr>
      </w:pPr>
      <w:r w:rsidRPr="00B22288">
        <w:rPr>
          <w:rFonts w:eastAsia="SimSun"/>
          <w:w w:val="103"/>
          <w:lang w:eastAsia="zh-CN"/>
        </w:rPr>
        <w:tab/>
      </w:r>
      <w:r w:rsidRPr="00B22288">
        <w:rPr>
          <w:rFonts w:eastAsia="SimSun"/>
          <w:w w:val="103"/>
          <w:lang w:eastAsia="zh-CN"/>
        </w:rPr>
        <w:tab/>
        <w:t xml:space="preserve">Decision of the Committee against Torture under article 22 of the Convention against Torture and Other Cruel, Inhuman or Degrading Treatment or Punishment </w:t>
      </w:r>
      <w:r w:rsidR="00391200">
        <w:rPr>
          <w:rFonts w:eastAsia="SimSun"/>
          <w:w w:val="103"/>
          <w:lang w:eastAsia="zh-CN"/>
        </w:rPr>
        <w:br/>
      </w:r>
      <w:r w:rsidRPr="00B22288">
        <w:rPr>
          <w:rFonts w:eastAsia="SimSun"/>
          <w:w w:val="103"/>
          <w:lang w:eastAsia="zh-CN"/>
        </w:rPr>
        <w:t>(fifty-sixth session)</w:t>
      </w:r>
    </w:p>
    <w:p w14:paraId="4590A212" w14:textId="77777777" w:rsidR="00B22288" w:rsidRPr="00B22288" w:rsidRDefault="00B22288" w:rsidP="00B23A14">
      <w:pPr>
        <w:pStyle w:val="SingleTxtG"/>
        <w:rPr>
          <w:w w:val="103"/>
        </w:rPr>
      </w:pPr>
      <w:r w:rsidRPr="00B22288">
        <w:rPr>
          <w:w w:val="103"/>
        </w:rPr>
        <w:t>concerning</w:t>
      </w:r>
    </w:p>
    <w:p w14:paraId="58A65452" w14:textId="77777777" w:rsidR="00B22288" w:rsidRPr="00B22288" w:rsidRDefault="00B22288" w:rsidP="00B23A14">
      <w:pPr>
        <w:pStyle w:val="H1G"/>
        <w:rPr>
          <w:rFonts w:eastAsia="SimSun"/>
          <w:spacing w:val="4"/>
          <w:w w:val="103"/>
          <w:kern w:val="14"/>
          <w:sz w:val="10"/>
          <w:lang w:eastAsia="zh-CN"/>
        </w:rPr>
      </w:pPr>
      <w:r w:rsidRPr="00B22288">
        <w:rPr>
          <w:rFonts w:eastAsia="SimSun"/>
          <w:w w:val="103"/>
          <w:lang w:eastAsia="zh-CN"/>
        </w:rPr>
        <w:tab/>
      </w:r>
      <w:r w:rsidRPr="00B22288">
        <w:rPr>
          <w:rFonts w:eastAsia="SimSun"/>
          <w:w w:val="103"/>
          <w:lang w:eastAsia="zh-CN"/>
        </w:rPr>
        <w:tab/>
        <w:t>Communication No. 591/2014</w:t>
      </w:r>
      <w:r w:rsidR="00424EDF" w:rsidRPr="008041B5">
        <w:rPr>
          <w:vertAlign w:val="superscript"/>
          <w:lang w:eastAsia="zh-CN"/>
        </w:rPr>
        <w:footnoteReference w:customMarkFollows="1" w:id="2"/>
        <w:t>*</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B22288" w:rsidRPr="00B22288" w14:paraId="648482A0" w14:textId="77777777" w:rsidTr="00B23A14">
        <w:tc>
          <w:tcPr>
            <w:tcW w:w="3402" w:type="dxa"/>
            <w:shd w:val="clear" w:color="auto" w:fill="auto"/>
          </w:tcPr>
          <w:p w14:paraId="7FFDA813" w14:textId="77777777" w:rsidR="00B22288" w:rsidRPr="00B22288" w:rsidRDefault="00B22288" w:rsidP="00B23A14">
            <w:pPr>
              <w:spacing w:after="120" w:line="240" w:lineRule="exact"/>
              <w:rPr>
                <w:rFonts w:eastAsia="SimSun"/>
                <w:i/>
                <w:spacing w:val="4"/>
                <w:w w:val="103"/>
                <w:kern w:val="14"/>
                <w:lang w:val="fr-CH" w:eastAsia="zh-CN"/>
              </w:rPr>
            </w:pPr>
            <w:r w:rsidRPr="00B22288">
              <w:rPr>
                <w:rFonts w:eastAsia="SimSun"/>
                <w:i/>
                <w:spacing w:val="4"/>
                <w:w w:val="103"/>
                <w:kern w:val="14"/>
                <w:lang w:eastAsia="zh-CN"/>
              </w:rPr>
              <w:t>Submitted by:</w:t>
            </w:r>
          </w:p>
        </w:tc>
        <w:tc>
          <w:tcPr>
            <w:tcW w:w="3969" w:type="dxa"/>
            <w:shd w:val="clear" w:color="auto" w:fill="auto"/>
          </w:tcPr>
          <w:p w14:paraId="4125DC62" w14:textId="77777777" w:rsidR="00B22288" w:rsidRPr="00B22288" w:rsidRDefault="00B22288" w:rsidP="00B23A14">
            <w:pPr>
              <w:spacing w:after="120" w:line="240" w:lineRule="exact"/>
              <w:rPr>
                <w:rFonts w:eastAsia="SimSun"/>
                <w:spacing w:val="4"/>
                <w:w w:val="103"/>
                <w:kern w:val="14"/>
                <w:lang w:eastAsia="zh-CN"/>
              </w:rPr>
            </w:pPr>
            <w:r w:rsidRPr="00B22288">
              <w:rPr>
                <w:rFonts w:eastAsia="SimSun"/>
                <w:spacing w:val="4"/>
                <w:w w:val="103"/>
                <w:kern w:val="14"/>
                <w:lang w:eastAsia="zh-CN"/>
              </w:rPr>
              <w:t>K (not represented by counsel)</w:t>
            </w:r>
          </w:p>
        </w:tc>
      </w:tr>
      <w:tr w:rsidR="00B22288" w:rsidRPr="00B22288" w14:paraId="251DF27F" w14:textId="77777777" w:rsidTr="00B23A14">
        <w:tc>
          <w:tcPr>
            <w:tcW w:w="3402" w:type="dxa"/>
            <w:shd w:val="clear" w:color="auto" w:fill="auto"/>
          </w:tcPr>
          <w:p w14:paraId="4A942AF6" w14:textId="77777777" w:rsidR="00B22288" w:rsidRPr="00200846" w:rsidRDefault="00B22288" w:rsidP="00B23A14">
            <w:pPr>
              <w:spacing w:after="120" w:line="240" w:lineRule="exact"/>
              <w:rPr>
                <w:rFonts w:eastAsia="SimSun"/>
                <w:i/>
                <w:spacing w:val="4"/>
                <w:w w:val="103"/>
                <w:kern w:val="14"/>
                <w:lang w:eastAsia="zh-CN"/>
              </w:rPr>
            </w:pPr>
            <w:r w:rsidRPr="00B22288">
              <w:rPr>
                <w:rFonts w:eastAsia="SimSun"/>
                <w:i/>
                <w:spacing w:val="4"/>
                <w:w w:val="103"/>
                <w:kern w:val="14"/>
                <w:lang w:eastAsia="zh-CN"/>
              </w:rPr>
              <w:t>Alleged victim:</w:t>
            </w:r>
          </w:p>
        </w:tc>
        <w:tc>
          <w:tcPr>
            <w:tcW w:w="3969" w:type="dxa"/>
            <w:shd w:val="clear" w:color="auto" w:fill="auto"/>
          </w:tcPr>
          <w:p w14:paraId="3140FC5B" w14:textId="77777777" w:rsidR="00B22288" w:rsidRPr="00200846" w:rsidRDefault="00B22288" w:rsidP="00B23A14">
            <w:pPr>
              <w:spacing w:after="120" w:line="240" w:lineRule="exact"/>
              <w:rPr>
                <w:rFonts w:eastAsia="SimSun"/>
                <w:spacing w:val="4"/>
                <w:w w:val="103"/>
                <w:kern w:val="14"/>
                <w:lang w:eastAsia="zh-CN"/>
              </w:rPr>
            </w:pPr>
            <w:r w:rsidRPr="00B22288">
              <w:rPr>
                <w:rFonts w:eastAsia="SimSun"/>
                <w:spacing w:val="4"/>
                <w:w w:val="103"/>
                <w:kern w:val="14"/>
                <w:lang w:eastAsia="zh-CN"/>
              </w:rPr>
              <w:t>The complainant</w:t>
            </w:r>
          </w:p>
        </w:tc>
      </w:tr>
      <w:tr w:rsidR="00B22288" w:rsidRPr="00B22288" w14:paraId="4A276B77" w14:textId="77777777" w:rsidTr="00B23A14">
        <w:tc>
          <w:tcPr>
            <w:tcW w:w="3402" w:type="dxa"/>
            <w:shd w:val="clear" w:color="auto" w:fill="auto"/>
          </w:tcPr>
          <w:p w14:paraId="08ECB7E6" w14:textId="77777777" w:rsidR="00B22288" w:rsidRPr="00200846" w:rsidRDefault="00B22288" w:rsidP="00B23A14">
            <w:pPr>
              <w:spacing w:after="120" w:line="240" w:lineRule="exact"/>
              <w:rPr>
                <w:rFonts w:eastAsia="SimSun"/>
                <w:i/>
                <w:spacing w:val="4"/>
                <w:w w:val="103"/>
                <w:kern w:val="14"/>
                <w:lang w:eastAsia="zh-CN"/>
              </w:rPr>
            </w:pPr>
            <w:r w:rsidRPr="00B22288">
              <w:rPr>
                <w:rFonts w:eastAsia="SimSun"/>
                <w:i/>
                <w:spacing w:val="4"/>
                <w:w w:val="103"/>
                <w:kern w:val="14"/>
                <w:lang w:eastAsia="zh-CN"/>
              </w:rPr>
              <w:t>State party:</w:t>
            </w:r>
          </w:p>
        </w:tc>
        <w:tc>
          <w:tcPr>
            <w:tcW w:w="3969" w:type="dxa"/>
            <w:shd w:val="clear" w:color="auto" w:fill="auto"/>
          </w:tcPr>
          <w:p w14:paraId="7C57AA26" w14:textId="77777777" w:rsidR="00B22288" w:rsidRPr="00200846" w:rsidRDefault="00B22288" w:rsidP="00B23A14">
            <w:pPr>
              <w:spacing w:after="120" w:line="240" w:lineRule="exact"/>
              <w:rPr>
                <w:rFonts w:eastAsia="SimSun"/>
                <w:b/>
                <w:spacing w:val="4"/>
                <w:w w:val="103"/>
                <w:kern w:val="14"/>
                <w:lang w:eastAsia="zh-CN"/>
              </w:rPr>
            </w:pPr>
            <w:r w:rsidRPr="00B22288">
              <w:rPr>
                <w:rFonts w:eastAsia="SimSun"/>
                <w:spacing w:val="4"/>
                <w:w w:val="103"/>
                <w:kern w:val="14"/>
                <w:lang w:eastAsia="zh-CN"/>
              </w:rPr>
              <w:t>Australia</w:t>
            </w:r>
          </w:p>
        </w:tc>
      </w:tr>
      <w:tr w:rsidR="00B22288" w:rsidRPr="00B22288" w14:paraId="4784C26A" w14:textId="77777777" w:rsidTr="00B23A14">
        <w:tc>
          <w:tcPr>
            <w:tcW w:w="3402" w:type="dxa"/>
            <w:shd w:val="clear" w:color="auto" w:fill="auto"/>
          </w:tcPr>
          <w:p w14:paraId="65529137" w14:textId="77777777" w:rsidR="00B22288" w:rsidRPr="00200846" w:rsidRDefault="00B22288" w:rsidP="00B23A14">
            <w:pPr>
              <w:spacing w:after="120" w:line="240" w:lineRule="exact"/>
              <w:rPr>
                <w:rFonts w:eastAsia="SimSun"/>
                <w:i/>
                <w:spacing w:val="4"/>
                <w:w w:val="103"/>
                <w:kern w:val="14"/>
                <w:lang w:eastAsia="zh-CN"/>
              </w:rPr>
            </w:pPr>
            <w:r w:rsidRPr="00B22288">
              <w:rPr>
                <w:rFonts w:eastAsia="SimSun"/>
                <w:i/>
                <w:spacing w:val="4"/>
                <w:w w:val="103"/>
                <w:kern w:val="14"/>
                <w:lang w:eastAsia="zh-CN"/>
              </w:rPr>
              <w:t>Date of complaint:</w:t>
            </w:r>
          </w:p>
        </w:tc>
        <w:tc>
          <w:tcPr>
            <w:tcW w:w="3969" w:type="dxa"/>
            <w:shd w:val="clear" w:color="auto" w:fill="auto"/>
          </w:tcPr>
          <w:p w14:paraId="2B99D4C8" w14:textId="77777777" w:rsidR="00B22288" w:rsidRPr="00200846" w:rsidRDefault="00B22288" w:rsidP="00B23A14">
            <w:pPr>
              <w:spacing w:after="120" w:line="240" w:lineRule="exact"/>
              <w:rPr>
                <w:rFonts w:eastAsia="SimSun"/>
                <w:spacing w:val="4"/>
                <w:w w:val="103"/>
                <w:kern w:val="14"/>
                <w:lang w:eastAsia="zh-CN"/>
              </w:rPr>
            </w:pPr>
            <w:r w:rsidRPr="00B22288">
              <w:rPr>
                <w:rFonts w:eastAsia="SimSun"/>
                <w:spacing w:val="4"/>
                <w:w w:val="103"/>
                <w:kern w:val="14"/>
                <w:lang w:eastAsia="zh-CN"/>
              </w:rPr>
              <w:t>17 March 2014 (initial submission)</w:t>
            </w:r>
          </w:p>
        </w:tc>
      </w:tr>
    </w:tbl>
    <w:p w14:paraId="4B233A78" w14:textId="77777777" w:rsidR="00B22288" w:rsidRPr="00B22288" w:rsidRDefault="00B22288" w:rsidP="00B23A14">
      <w:pPr>
        <w:pStyle w:val="SingleTxtG"/>
        <w:rPr>
          <w:w w:val="103"/>
        </w:rPr>
      </w:pPr>
      <w:r w:rsidRPr="00B22288">
        <w:rPr>
          <w:w w:val="103"/>
        </w:rPr>
        <w:tab/>
      </w:r>
      <w:r w:rsidRPr="00B22288">
        <w:rPr>
          <w:i/>
          <w:iCs/>
          <w:w w:val="103"/>
        </w:rPr>
        <w:t>The Committee against Torture</w:t>
      </w:r>
      <w:r w:rsidRPr="00B22288">
        <w:rPr>
          <w:w w:val="103"/>
        </w:rPr>
        <w:t>, established under article 17 of the Convention against Torture and Other Cruel, Inhuman or Degrading Treatment or Punishment,</w:t>
      </w:r>
    </w:p>
    <w:p w14:paraId="2186DEE5" w14:textId="77777777" w:rsidR="00B22288" w:rsidRPr="00B22288" w:rsidRDefault="00B22288" w:rsidP="00B23A14">
      <w:pPr>
        <w:pStyle w:val="SingleTxtG"/>
        <w:rPr>
          <w:w w:val="103"/>
        </w:rPr>
      </w:pPr>
      <w:r w:rsidRPr="00B22288">
        <w:rPr>
          <w:w w:val="103"/>
        </w:rPr>
        <w:tab/>
      </w:r>
      <w:r w:rsidRPr="00B22288">
        <w:rPr>
          <w:i/>
          <w:iCs/>
          <w:w w:val="103"/>
        </w:rPr>
        <w:t>Meeting</w:t>
      </w:r>
      <w:r w:rsidRPr="00B22288">
        <w:rPr>
          <w:w w:val="103"/>
        </w:rPr>
        <w:t xml:space="preserve"> on </w:t>
      </w:r>
      <w:r w:rsidR="00424EDF">
        <w:rPr>
          <w:w w:val="103"/>
        </w:rPr>
        <w:t>25</w:t>
      </w:r>
      <w:r w:rsidRPr="00B22288">
        <w:rPr>
          <w:w w:val="103"/>
        </w:rPr>
        <w:t xml:space="preserve"> November 2015,</w:t>
      </w:r>
    </w:p>
    <w:p w14:paraId="4E21ADBD" w14:textId="77777777" w:rsidR="00B22288" w:rsidRPr="00B22288" w:rsidRDefault="00B22288" w:rsidP="00B23A14">
      <w:pPr>
        <w:pStyle w:val="SingleTxtG"/>
        <w:rPr>
          <w:w w:val="103"/>
        </w:rPr>
      </w:pPr>
      <w:r w:rsidRPr="00B22288">
        <w:rPr>
          <w:w w:val="103"/>
        </w:rPr>
        <w:tab/>
      </w:r>
      <w:r w:rsidRPr="00B22288">
        <w:rPr>
          <w:i/>
          <w:iCs/>
          <w:w w:val="103"/>
        </w:rPr>
        <w:t xml:space="preserve">Having concluded </w:t>
      </w:r>
      <w:r w:rsidRPr="00B22288">
        <w:rPr>
          <w:w w:val="103"/>
        </w:rPr>
        <w:t xml:space="preserve">its consideration of complaint No. 591/2014, submitted </w:t>
      </w:r>
      <w:r w:rsidR="00AB4B4D">
        <w:rPr>
          <w:w w:val="103"/>
        </w:rPr>
        <w:t xml:space="preserve">to it </w:t>
      </w:r>
      <w:r w:rsidRPr="00B22288">
        <w:rPr>
          <w:w w:val="103"/>
        </w:rPr>
        <w:t>by K under article 22 of the Convention,</w:t>
      </w:r>
    </w:p>
    <w:p w14:paraId="7D130E7D" w14:textId="77777777" w:rsidR="00B22288" w:rsidRPr="00B22288" w:rsidRDefault="00B22288" w:rsidP="00B23A14">
      <w:pPr>
        <w:pStyle w:val="SingleTxtG"/>
        <w:rPr>
          <w:w w:val="103"/>
        </w:rPr>
      </w:pPr>
      <w:r w:rsidRPr="00B22288">
        <w:rPr>
          <w:w w:val="103"/>
        </w:rPr>
        <w:tab/>
      </w:r>
      <w:r w:rsidRPr="00B22288">
        <w:rPr>
          <w:i/>
          <w:iCs/>
          <w:w w:val="103"/>
        </w:rPr>
        <w:t xml:space="preserve">Having taken into account </w:t>
      </w:r>
      <w:r w:rsidRPr="00B22288">
        <w:rPr>
          <w:w w:val="103"/>
        </w:rPr>
        <w:t>all information made available to it by the complainant and the State party,</w:t>
      </w:r>
    </w:p>
    <w:p w14:paraId="5F1FC1A7" w14:textId="77777777" w:rsidR="00B22288" w:rsidRPr="00B22288" w:rsidRDefault="00B22288" w:rsidP="00B23A14">
      <w:pPr>
        <w:pStyle w:val="SingleTxtG"/>
        <w:rPr>
          <w:w w:val="103"/>
        </w:rPr>
      </w:pPr>
      <w:r w:rsidRPr="00B22288">
        <w:rPr>
          <w:w w:val="103"/>
        </w:rPr>
        <w:tab/>
      </w:r>
      <w:r w:rsidRPr="00B22288">
        <w:rPr>
          <w:i/>
          <w:iCs/>
          <w:w w:val="103"/>
        </w:rPr>
        <w:t>Adopts</w:t>
      </w:r>
      <w:r w:rsidRPr="00B22288">
        <w:rPr>
          <w:w w:val="103"/>
        </w:rPr>
        <w:t xml:space="preserve"> the following:</w:t>
      </w:r>
    </w:p>
    <w:p w14:paraId="60550167" w14:textId="77777777" w:rsidR="00B22288" w:rsidRPr="00B22288" w:rsidRDefault="00B22288" w:rsidP="00B23A14">
      <w:pPr>
        <w:pStyle w:val="H1G"/>
        <w:rPr>
          <w:rFonts w:eastAsia="SimSun"/>
          <w:w w:val="103"/>
          <w:lang w:eastAsia="zh-CN"/>
        </w:rPr>
      </w:pPr>
      <w:r w:rsidRPr="00B22288">
        <w:rPr>
          <w:rFonts w:eastAsia="SimSun"/>
          <w:w w:val="103"/>
          <w:lang w:eastAsia="zh-CN"/>
        </w:rPr>
        <w:tab/>
      </w:r>
      <w:r w:rsidRPr="00B22288">
        <w:rPr>
          <w:rFonts w:eastAsia="SimSun"/>
          <w:w w:val="103"/>
          <w:lang w:eastAsia="zh-CN"/>
        </w:rPr>
        <w:tab/>
        <w:t>Decision under article 22</w:t>
      </w:r>
      <w:r w:rsidR="00BE55FF">
        <w:rPr>
          <w:rFonts w:eastAsia="SimSun"/>
          <w:w w:val="103"/>
          <w:lang w:eastAsia="zh-CN"/>
        </w:rPr>
        <w:t xml:space="preserve"> (</w:t>
      </w:r>
      <w:r w:rsidRPr="00B22288">
        <w:rPr>
          <w:rFonts w:eastAsia="SimSun"/>
          <w:w w:val="103"/>
          <w:lang w:eastAsia="zh-CN"/>
        </w:rPr>
        <w:t>7</w:t>
      </w:r>
      <w:r w:rsidR="00BE55FF">
        <w:rPr>
          <w:rFonts w:eastAsia="SimSun"/>
          <w:w w:val="103"/>
          <w:lang w:eastAsia="zh-CN"/>
        </w:rPr>
        <w:t>)</w:t>
      </w:r>
      <w:r w:rsidRPr="00B22288">
        <w:rPr>
          <w:rFonts w:eastAsia="SimSun"/>
          <w:w w:val="103"/>
          <w:lang w:eastAsia="zh-CN"/>
        </w:rPr>
        <w:t xml:space="preserve"> of the Convention</w:t>
      </w:r>
    </w:p>
    <w:p w14:paraId="3823AF2D" w14:textId="77777777" w:rsidR="00B22288" w:rsidRPr="00B22288" w:rsidRDefault="00B22288" w:rsidP="00574EB2">
      <w:pPr>
        <w:pStyle w:val="SingleTxtG"/>
        <w:rPr>
          <w:rFonts w:eastAsia="Calibri"/>
        </w:rPr>
      </w:pPr>
      <w:r w:rsidRPr="00B22288">
        <w:rPr>
          <w:rFonts w:eastAsia="Calibri"/>
        </w:rPr>
        <w:t>1.1</w:t>
      </w:r>
      <w:r w:rsidRPr="00B22288">
        <w:rPr>
          <w:rFonts w:eastAsia="Calibri"/>
        </w:rPr>
        <w:tab/>
        <w:t xml:space="preserve">The complainant is K, a Sri Lankan national born in 1986. He claims that his deportation to Sri Lanka would constitute a violation by Australia of article 3 of the Convention. The complainant is not represented by counsel. Australia made the declaration under article 22 of the Convention on 28 January 1993. </w:t>
      </w:r>
    </w:p>
    <w:p w14:paraId="4C041442" w14:textId="77777777" w:rsidR="00B22288" w:rsidRPr="00B22288" w:rsidRDefault="00B22288" w:rsidP="00AB4B4D">
      <w:pPr>
        <w:pStyle w:val="SingleTxtG"/>
        <w:rPr>
          <w:spacing w:val="4"/>
          <w:w w:val="103"/>
          <w:kern w:val="14"/>
        </w:rPr>
      </w:pPr>
      <w:r w:rsidRPr="00B22288">
        <w:rPr>
          <w:bCs/>
          <w:w w:val="103"/>
        </w:rPr>
        <w:t>1.2</w:t>
      </w:r>
      <w:r w:rsidRPr="00B22288">
        <w:rPr>
          <w:bCs/>
          <w:w w:val="103"/>
        </w:rPr>
        <w:tab/>
      </w:r>
      <w:r w:rsidRPr="00B22288">
        <w:rPr>
          <w:w w:val="103"/>
        </w:rPr>
        <w:t>On 18 March 2014, in application of rule 114, paragraph 1, of its rules of procedure, the Committee requested the State party not to deport the complainant to Sri Lanka while the com</w:t>
      </w:r>
      <w:r w:rsidR="00AB4B4D">
        <w:rPr>
          <w:w w:val="103"/>
        </w:rPr>
        <w:t>plaint</w:t>
      </w:r>
      <w:r w:rsidRPr="00B22288">
        <w:rPr>
          <w:w w:val="103"/>
        </w:rPr>
        <w:t xml:space="preserve"> was being considered by the Committee. On 7 April 2015, the State party requested the Committee to lift its request for interim measures</w:t>
      </w:r>
      <w:r w:rsidR="00203018">
        <w:rPr>
          <w:w w:val="103"/>
        </w:rPr>
        <w:t>.</w:t>
      </w:r>
      <w:r w:rsidRPr="00B22288">
        <w:rPr>
          <w:w w:val="103"/>
        </w:rPr>
        <w:t xml:space="preserve"> On 16 April 2015, the Committee de</w:t>
      </w:r>
      <w:r w:rsidR="00AB4B4D">
        <w:rPr>
          <w:w w:val="103"/>
        </w:rPr>
        <w:t xml:space="preserve">nied </w:t>
      </w:r>
      <w:r w:rsidRPr="00B22288">
        <w:rPr>
          <w:w w:val="103"/>
        </w:rPr>
        <w:t>the State party’s</w:t>
      </w:r>
      <w:r>
        <w:rPr>
          <w:w w:val="103"/>
        </w:rPr>
        <w:t xml:space="preserve"> </w:t>
      </w:r>
      <w:r w:rsidRPr="00B22288">
        <w:rPr>
          <w:spacing w:val="4"/>
          <w:w w:val="103"/>
          <w:kern w:val="14"/>
        </w:rPr>
        <w:t xml:space="preserve">request to lift </w:t>
      </w:r>
      <w:r w:rsidR="00AB4B4D">
        <w:rPr>
          <w:spacing w:val="4"/>
          <w:w w:val="103"/>
          <w:kern w:val="14"/>
        </w:rPr>
        <w:t xml:space="preserve">the </w:t>
      </w:r>
      <w:r w:rsidRPr="00B22288">
        <w:rPr>
          <w:spacing w:val="4"/>
          <w:w w:val="103"/>
          <w:kern w:val="14"/>
        </w:rPr>
        <w:t xml:space="preserve">interim measures. On 26 May 2015, the Committee reiterated its </w:t>
      </w:r>
      <w:r w:rsidR="00AB4B4D">
        <w:rPr>
          <w:spacing w:val="4"/>
          <w:w w:val="103"/>
          <w:kern w:val="14"/>
        </w:rPr>
        <w:t xml:space="preserve">request for </w:t>
      </w:r>
      <w:r w:rsidRPr="00B22288">
        <w:rPr>
          <w:spacing w:val="4"/>
          <w:w w:val="103"/>
          <w:kern w:val="14"/>
        </w:rPr>
        <w:t>interim measures. On 29 May 2015, the State party made a second request to lift the interim measures</w:t>
      </w:r>
      <w:r w:rsidR="00203018">
        <w:rPr>
          <w:spacing w:val="4"/>
          <w:w w:val="103"/>
          <w:kern w:val="14"/>
        </w:rPr>
        <w:t>.</w:t>
      </w:r>
      <w:r w:rsidRPr="00B22288">
        <w:rPr>
          <w:spacing w:val="4"/>
          <w:w w:val="103"/>
          <w:kern w:val="14"/>
        </w:rPr>
        <w:t xml:space="preserve"> On 1 June 2015, the Committee </w:t>
      </w:r>
      <w:r w:rsidR="00AB4B4D">
        <w:rPr>
          <w:spacing w:val="4"/>
          <w:w w:val="103"/>
          <w:kern w:val="14"/>
        </w:rPr>
        <w:t>again denied</w:t>
      </w:r>
      <w:r w:rsidRPr="00B22288">
        <w:rPr>
          <w:spacing w:val="4"/>
          <w:w w:val="103"/>
          <w:kern w:val="14"/>
        </w:rPr>
        <w:t xml:space="preserve"> the State party’s request</w:t>
      </w:r>
      <w:r w:rsidR="00AB4B4D">
        <w:rPr>
          <w:spacing w:val="4"/>
          <w:w w:val="103"/>
          <w:kern w:val="14"/>
        </w:rPr>
        <w:t xml:space="preserve"> to lift the interim measures</w:t>
      </w:r>
      <w:r w:rsidRPr="00B22288">
        <w:rPr>
          <w:spacing w:val="4"/>
          <w:w w:val="103"/>
          <w:kern w:val="14"/>
        </w:rPr>
        <w:t>.</w:t>
      </w:r>
    </w:p>
    <w:p w14:paraId="538A09AF" w14:textId="77777777" w:rsidR="00B22288" w:rsidRDefault="00B22288" w:rsidP="00B23A14">
      <w:pPr>
        <w:pStyle w:val="H23G"/>
        <w:rPr>
          <w:rFonts w:eastAsia="SimSun"/>
          <w:w w:val="103"/>
          <w:lang w:eastAsia="zh-CN"/>
        </w:rPr>
      </w:pPr>
      <w:r w:rsidRPr="00B22288">
        <w:rPr>
          <w:rFonts w:eastAsia="SimSun"/>
          <w:w w:val="103"/>
          <w:lang w:eastAsia="zh-CN"/>
        </w:rPr>
        <w:lastRenderedPageBreak/>
        <w:tab/>
      </w:r>
      <w:r w:rsidR="00D9531B">
        <w:rPr>
          <w:rFonts w:eastAsia="SimSun"/>
          <w:w w:val="103"/>
          <w:lang w:eastAsia="zh-CN"/>
        </w:rPr>
        <w:tab/>
      </w:r>
      <w:r w:rsidRPr="00B22288">
        <w:rPr>
          <w:rFonts w:eastAsia="SimSun"/>
          <w:w w:val="103"/>
          <w:lang w:eastAsia="zh-CN"/>
        </w:rPr>
        <w:t>The facts as presented by the complainant</w:t>
      </w:r>
    </w:p>
    <w:p w14:paraId="71A25304" w14:textId="77777777" w:rsidR="00B22288" w:rsidRPr="00B22288" w:rsidRDefault="00B22288" w:rsidP="00D02E16">
      <w:pPr>
        <w:pStyle w:val="SingleTxtG"/>
      </w:pPr>
      <w:r w:rsidRPr="00B22288">
        <w:t>2.1</w:t>
      </w:r>
      <w:r w:rsidRPr="00B22288">
        <w:tab/>
        <w:t xml:space="preserve">The complainant worked as a goldsmith in Sri Lanka from 2000 until 2010. In May 2010, he hosted </w:t>
      </w:r>
      <w:r w:rsidR="00D02E16">
        <w:t>some</w:t>
      </w:r>
      <w:r w:rsidRPr="00B22288">
        <w:t xml:space="preserve"> cadres of the Liberation Tigers of Tamil Eelam (LTTE) in his home in Negombo, Sri Lanka. The cadres had escaped from internment camps. The complainant helped them to obtain passports to leave the country and, at the same time, obtained a passport for himself, as he knew he might have to flee the country at short notice if his association with the LTTE was discovered. </w:t>
      </w:r>
    </w:p>
    <w:p w14:paraId="7B57B57D" w14:textId="77777777" w:rsidR="00B22288" w:rsidRPr="00B22288" w:rsidRDefault="00B22288" w:rsidP="00C82C46">
      <w:pPr>
        <w:pStyle w:val="SingleTxtG"/>
      </w:pPr>
      <w:r w:rsidRPr="00B22288">
        <w:t>2.2</w:t>
      </w:r>
      <w:r w:rsidRPr="00B22288">
        <w:tab/>
        <w:t>On an unspecified date, the complainant had a dispute with a foreign national regard</w:t>
      </w:r>
      <w:r w:rsidR="00C82C46">
        <w:t>ing</w:t>
      </w:r>
      <w:r w:rsidRPr="00B22288">
        <w:t xml:space="preserve"> some missing gold</w:t>
      </w:r>
      <w:r w:rsidR="00C82C46">
        <w:t>. H</w:t>
      </w:r>
      <w:r w:rsidRPr="00B22288">
        <w:t>e believes that th</w:t>
      </w:r>
      <w:r w:rsidR="00C82C46">
        <w:t>at</w:t>
      </w:r>
      <w:r w:rsidRPr="00B22288">
        <w:t xml:space="preserve"> person may have told the Criminal Investigation Department that he was a</w:t>
      </w:r>
      <w:r w:rsidR="00C82C46">
        <w:t>n</w:t>
      </w:r>
      <w:r w:rsidRPr="00B22288">
        <w:t xml:space="preserve"> LTTE supporter.</w:t>
      </w:r>
    </w:p>
    <w:p w14:paraId="6EDA721F" w14:textId="77777777" w:rsidR="00B22288" w:rsidRPr="00B22288" w:rsidRDefault="00B22288" w:rsidP="00D02E16">
      <w:pPr>
        <w:pStyle w:val="SingleTxtG"/>
      </w:pPr>
      <w:r w:rsidRPr="00B22288">
        <w:t>2.3</w:t>
      </w:r>
      <w:r w:rsidRPr="00B22288">
        <w:tab/>
        <w:t xml:space="preserve">On 17 September 2010, the </w:t>
      </w:r>
      <w:r w:rsidR="00C82C46">
        <w:t>Criminal Investigation Department</w:t>
      </w:r>
      <w:r w:rsidRPr="00B22288">
        <w:t xml:space="preserve"> searched the complainant’s house and found a laptop and three cameras belonging to the LTTE. Because of the LTTE material found in his house and because he had hosted LTTE cadres </w:t>
      </w:r>
      <w:r w:rsidR="00D02E16">
        <w:t>in his home</w:t>
      </w:r>
      <w:r w:rsidRPr="00B22288">
        <w:t xml:space="preserve">, the complainant was arrested and taken to the </w:t>
      </w:r>
      <w:r w:rsidR="00C82C46">
        <w:t>Criminal Investigation Department</w:t>
      </w:r>
      <w:r w:rsidRPr="00B22288">
        <w:t xml:space="preserve"> office at Thelwatte Junction</w:t>
      </w:r>
      <w:r w:rsidR="00D02E16">
        <w:t>,</w:t>
      </w:r>
      <w:r w:rsidRPr="00B22288">
        <w:t xml:space="preserve"> Negombo, where he was tortured</w:t>
      </w:r>
      <w:r w:rsidR="00203018">
        <w:t xml:space="preserve">. </w:t>
      </w:r>
      <w:r w:rsidRPr="00B22288">
        <w:t xml:space="preserve">After one week, the complainant was released after his father </w:t>
      </w:r>
      <w:r w:rsidR="00C82C46">
        <w:t xml:space="preserve">had </w:t>
      </w:r>
      <w:r w:rsidRPr="00B22288">
        <w:t xml:space="preserve">paid a bribe to the </w:t>
      </w:r>
      <w:r w:rsidR="00C201E2">
        <w:t>Department</w:t>
      </w:r>
      <w:r w:rsidRPr="00B22288">
        <w:t xml:space="preserve"> officers</w:t>
      </w:r>
      <w:r w:rsidR="00203018">
        <w:t>.</w:t>
      </w:r>
      <w:r w:rsidRPr="00B22288">
        <w:t xml:space="preserve"> </w:t>
      </w:r>
    </w:p>
    <w:p w14:paraId="4D58F6E3" w14:textId="77777777" w:rsidR="00B22288" w:rsidRPr="00B22288" w:rsidRDefault="00B22288" w:rsidP="00D02E16">
      <w:pPr>
        <w:pStyle w:val="SingleTxtG"/>
      </w:pPr>
      <w:r w:rsidRPr="00B22288">
        <w:t>2.4</w:t>
      </w:r>
      <w:r w:rsidRPr="00B22288">
        <w:tab/>
        <w:t>The complainant remained in hiding at two different addresses in Colombo</w:t>
      </w:r>
      <w:r w:rsidR="00C201E2">
        <w:t xml:space="preserve"> before</w:t>
      </w:r>
      <w:r w:rsidRPr="00B22288">
        <w:t xml:space="preserve"> he decided to leave</w:t>
      </w:r>
      <w:r w:rsidR="00C201E2">
        <w:t xml:space="preserve"> as</w:t>
      </w:r>
      <w:r w:rsidRPr="00B22288">
        <w:t xml:space="preserve"> it was no longer safe for him to be in Sri Lanka. He managed to </w:t>
      </w:r>
      <w:r w:rsidR="00C201E2">
        <w:t>leave the country</w:t>
      </w:r>
      <w:r w:rsidRPr="00B22288">
        <w:t xml:space="preserve"> by bribing relevant officers</w:t>
      </w:r>
      <w:r w:rsidR="00203018">
        <w:t>.</w:t>
      </w:r>
      <w:r w:rsidRPr="00B22288">
        <w:t xml:space="preserve"> The complainant first traveled to Kenya on a three-month visa, where he stayed from 23 September 2010 to 16 December 2010. When the visa expired, he went to </w:t>
      </w:r>
      <w:r w:rsidR="001A02CA">
        <w:t>Côte d’Ivoire</w:t>
      </w:r>
      <w:r w:rsidRPr="00B22288">
        <w:t xml:space="preserve"> on a six-month visa and stayed there from 16 December 2010 to 28 May 2011. Upon expiration of that visa, he tried to go to Dubai, but was refused entry, and therefore had no option but to return to Sri Lanka on 30 May 2011. His uncle bribed the relevant airport officials to secure his release and traveled with </w:t>
      </w:r>
      <w:r w:rsidR="00D02E16">
        <w:t>him</w:t>
      </w:r>
      <w:r w:rsidRPr="00B22288">
        <w:t xml:space="preserve"> to Batticaloa</w:t>
      </w:r>
      <w:r w:rsidR="00D02E16">
        <w:t>, Sri Lanka</w:t>
      </w:r>
      <w:r w:rsidRPr="00B22288">
        <w:t>. The complainant’s uncle was assaulted on 9 June 2011 for having provided the complainant with assistance and for not revealing his whereabouts</w:t>
      </w:r>
      <w:r w:rsidR="00203018">
        <w:t>.</w:t>
      </w:r>
    </w:p>
    <w:p w14:paraId="69044465" w14:textId="77777777" w:rsidR="00B22288" w:rsidRPr="00B22288" w:rsidRDefault="00B22288" w:rsidP="00C201E2">
      <w:pPr>
        <w:pStyle w:val="SingleTxtG"/>
        <w:rPr>
          <w:w w:val="103"/>
        </w:rPr>
      </w:pPr>
      <w:r w:rsidRPr="00B22288">
        <w:rPr>
          <w:w w:val="103"/>
        </w:rPr>
        <w:t>2.5</w:t>
      </w:r>
      <w:r w:rsidRPr="00B22288">
        <w:rPr>
          <w:w w:val="103"/>
        </w:rPr>
        <w:tab/>
      </w:r>
      <w:r w:rsidR="00C201E2">
        <w:rPr>
          <w:w w:val="103"/>
        </w:rPr>
        <w:t>The complainant states that, o</w:t>
      </w:r>
      <w:r w:rsidRPr="00B22288">
        <w:rPr>
          <w:w w:val="103"/>
        </w:rPr>
        <w:t xml:space="preserve">n 12 May 2011, </w:t>
      </w:r>
      <w:r w:rsidR="00C201E2">
        <w:rPr>
          <w:w w:val="103"/>
        </w:rPr>
        <w:t>his</w:t>
      </w:r>
      <w:r w:rsidRPr="00B22288">
        <w:rPr>
          <w:w w:val="103"/>
        </w:rPr>
        <w:t xml:space="preserve"> father was shot dead by the military. </w:t>
      </w:r>
      <w:r w:rsidR="00C201E2">
        <w:rPr>
          <w:w w:val="103"/>
        </w:rPr>
        <w:t>He</w:t>
      </w:r>
      <w:r w:rsidRPr="00B22288">
        <w:rPr>
          <w:w w:val="103"/>
        </w:rPr>
        <w:t xml:space="preserve"> alleges that his father</w:t>
      </w:r>
      <w:r w:rsidR="00C201E2">
        <w:rPr>
          <w:w w:val="103"/>
        </w:rPr>
        <w:t xml:space="preserve"> was shot because he </w:t>
      </w:r>
      <w:r w:rsidRPr="00B22288">
        <w:rPr>
          <w:w w:val="103"/>
        </w:rPr>
        <w:t>had been instrumental in securing the complainant’s release from the C</w:t>
      </w:r>
      <w:r w:rsidR="00C201E2">
        <w:rPr>
          <w:w w:val="103"/>
        </w:rPr>
        <w:t xml:space="preserve">riminal </w:t>
      </w:r>
      <w:r w:rsidRPr="00B22288">
        <w:rPr>
          <w:w w:val="103"/>
        </w:rPr>
        <w:t>I</w:t>
      </w:r>
      <w:r w:rsidR="00C201E2">
        <w:rPr>
          <w:w w:val="103"/>
        </w:rPr>
        <w:t xml:space="preserve">nvestigation </w:t>
      </w:r>
      <w:r w:rsidRPr="00B22288">
        <w:rPr>
          <w:w w:val="103"/>
        </w:rPr>
        <w:t>D</w:t>
      </w:r>
      <w:r w:rsidR="00C201E2">
        <w:rPr>
          <w:w w:val="103"/>
        </w:rPr>
        <w:t>epartment</w:t>
      </w:r>
      <w:r w:rsidRPr="00B22288">
        <w:rPr>
          <w:w w:val="103"/>
        </w:rPr>
        <w:t xml:space="preserve"> and </w:t>
      </w:r>
      <w:r w:rsidR="00C201E2">
        <w:rPr>
          <w:w w:val="103"/>
        </w:rPr>
        <w:t xml:space="preserve">had </w:t>
      </w:r>
      <w:r w:rsidRPr="00B22288">
        <w:rPr>
          <w:w w:val="103"/>
        </w:rPr>
        <w:t>refused to give details when questioned about the complainant’s whereabouts</w:t>
      </w:r>
      <w:r w:rsidR="00203018">
        <w:rPr>
          <w:w w:val="103"/>
        </w:rPr>
        <w:t>.</w:t>
      </w:r>
    </w:p>
    <w:p w14:paraId="63C0C00A" w14:textId="77777777" w:rsidR="007834DF" w:rsidRPr="007834DF" w:rsidRDefault="007834DF" w:rsidP="00A000E3">
      <w:pPr>
        <w:pStyle w:val="SingleTxtG"/>
      </w:pPr>
      <w:r w:rsidRPr="007834DF">
        <w:t>2.6</w:t>
      </w:r>
      <w:r w:rsidRPr="007834DF">
        <w:tab/>
        <w:t>On an unspecified date in 2011, the complainant went into hiding at St. John’s Church in Batticaloa until 30 January 2012</w:t>
      </w:r>
      <w:r w:rsidR="00C201E2">
        <w:t>. He</w:t>
      </w:r>
      <w:r w:rsidRPr="007834DF">
        <w:t xml:space="preserve"> then left for Australia by boat on 2 February 2012. He arrived in Australia illegally on 17 February 2012. The entry interview was held at Scherger Detention Centre on 23 March 2012. On 22 May 2012, the complainant applied to the Minister of Immigration for a protection visa; however, his application was denied on 17 August 2012</w:t>
      </w:r>
      <w:r w:rsidR="00203018">
        <w:t>.</w:t>
      </w:r>
      <w:r w:rsidRPr="007834DF">
        <w:t xml:space="preserve"> He then filed an application for review before the Refugee Review Tribunal, </w:t>
      </w:r>
      <w:r w:rsidR="00C201E2">
        <w:t xml:space="preserve">which </w:t>
      </w:r>
      <w:r w:rsidRPr="007834DF">
        <w:t>was denied on 14 May 2013</w:t>
      </w:r>
      <w:r w:rsidR="00C201E2">
        <w:t>,</w:t>
      </w:r>
      <w:r w:rsidRPr="007834DF">
        <w:t xml:space="preserve"> as the </w:t>
      </w:r>
      <w:r w:rsidR="00C201E2">
        <w:t>Tribunal</w:t>
      </w:r>
      <w:r w:rsidRPr="007834DF">
        <w:t xml:space="preserve"> considered that the complainant’s story lacked credibility</w:t>
      </w:r>
      <w:r w:rsidR="00203018">
        <w:t>.</w:t>
      </w:r>
      <w:r w:rsidRPr="007834DF">
        <w:t xml:space="preserve"> The complainant notes that one of the reasons </w:t>
      </w:r>
      <w:r w:rsidR="00A000E3">
        <w:t xml:space="preserve">why </w:t>
      </w:r>
      <w:r w:rsidRPr="007834DF">
        <w:t xml:space="preserve">the </w:t>
      </w:r>
      <w:r w:rsidR="00A000E3">
        <w:t>Tribunal</w:t>
      </w:r>
      <w:r w:rsidRPr="007834DF">
        <w:t xml:space="preserve"> assumed</w:t>
      </w:r>
      <w:r w:rsidR="00A000E3">
        <w:t xml:space="preserve"> that</w:t>
      </w:r>
      <w:r w:rsidRPr="007834DF">
        <w:t xml:space="preserve"> his story </w:t>
      </w:r>
      <w:r w:rsidR="00A000E3">
        <w:t xml:space="preserve">was </w:t>
      </w:r>
      <w:r w:rsidRPr="007834DF">
        <w:t xml:space="preserve">not credible was because he referred to the church </w:t>
      </w:r>
      <w:r w:rsidR="00A000E3">
        <w:t xml:space="preserve"> in which </w:t>
      </w:r>
      <w:r w:rsidRPr="007834DF">
        <w:t>he had sought refuge as St</w:t>
      </w:r>
      <w:r w:rsidR="00A000E3">
        <w:t>.</w:t>
      </w:r>
      <w:r w:rsidRPr="007834DF">
        <w:t xml:space="preserve"> John</w:t>
      </w:r>
      <w:r w:rsidR="00A000E3">
        <w:t>’</w:t>
      </w:r>
      <w:r w:rsidRPr="007834DF">
        <w:t>s Church and later at St</w:t>
      </w:r>
      <w:r w:rsidR="00D02E16">
        <w:t>.</w:t>
      </w:r>
      <w:r w:rsidRPr="007834DF">
        <w:t xml:space="preserve"> Anthony’s Church. The </w:t>
      </w:r>
      <w:r w:rsidR="00A000E3">
        <w:t>Tribunal</w:t>
      </w:r>
      <w:r w:rsidRPr="007834DF">
        <w:t xml:space="preserve"> noted that</w:t>
      </w:r>
      <w:r w:rsidR="00A000E3">
        <w:t>,</w:t>
      </w:r>
      <w:r w:rsidRPr="007834DF">
        <w:t xml:space="preserve"> “if the applicant had been staying with a father in a church as he claims for over six months, the applicant would know the father’s name and be sure about the church where he stayed”. In th</w:t>
      </w:r>
      <w:r w:rsidR="00A000E3">
        <w:t>at</w:t>
      </w:r>
      <w:r w:rsidRPr="007834DF">
        <w:t xml:space="preserve"> connection, the complainant submits that</w:t>
      </w:r>
      <w:r w:rsidR="00A000E3">
        <w:t>,</w:t>
      </w:r>
      <w:r w:rsidRPr="007834DF">
        <w:t xml:space="preserve"> in English</w:t>
      </w:r>
      <w:r w:rsidR="00A000E3">
        <w:t>,</w:t>
      </w:r>
      <w:r w:rsidRPr="007834DF">
        <w:t xml:space="preserve"> the church is referred to as St</w:t>
      </w:r>
      <w:r w:rsidR="00A000E3">
        <w:t>.</w:t>
      </w:r>
      <w:r w:rsidRPr="007834DF">
        <w:t xml:space="preserve"> John de Britto’s Church, but in Tamil it is called “Punitha Arulananthar Alayam” translated as St</w:t>
      </w:r>
      <w:r w:rsidR="00A000E3">
        <w:t>.</w:t>
      </w:r>
      <w:r w:rsidRPr="007834DF">
        <w:t xml:space="preserve"> Arunlananthar Church. </w:t>
      </w:r>
      <w:r w:rsidR="00A000E3">
        <w:t>T</w:t>
      </w:r>
      <w:r w:rsidRPr="007834DF">
        <w:t>he complainant stated that he had stayed at the Arulananthar Church</w:t>
      </w:r>
      <w:r w:rsidR="00A000E3">
        <w:t>,</w:t>
      </w:r>
      <w:r w:rsidRPr="007834DF">
        <w:t xml:space="preserve"> which, he assumes, the translator</w:t>
      </w:r>
      <w:r w:rsidR="00A000E3">
        <w:t xml:space="preserve"> </w:t>
      </w:r>
      <w:r w:rsidRPr="007834DF">
        <w:t>had translated as St</w:t>
      </w:r>
      <w:r w:rsidR="00A000E3">
        <w:t>.</w:t>
      </w:r>
      <w:r w:rsidRPr="007834DF">
        <w:t xml:space="preserve"> Anthony’s Church</w:t>
      </w:r>
      <w:r w:rsidR="00A000E3">
        <w:t xml:space="preserve"> during the proceedings</w:t>
      </w:r>
      <w:r w:rsidRPr="007834DF">
        <w:t xml:space="preserve">. </w:t>
      </w:r>
    </w:p>
    <w:p w14:paraId="7494284E" w14:textId="77777777" w:rsidR="00E96905" w:rsidRDefault="007834DF" w:rsidP="00D84D5C">
      <w:pPr>
        <w:pStyle w:val="SingleTxtG"/>
      </w:pPr>
      <w:r w:rsidRPr="007834DF">
        <w:t xml:space="preserve">2.7 </w:t>
      </w:r>
      <w:r>
        <w:tab/>
      </w:r>
      <w:r w:rsidRPr="007834DF">
        <w:t>On an unspecified date, the complainant appealed the R</w:t>
      </w:r>
      <w:r w:rsidR="00A000E3">
        <w:t xml:space="preserve">efugee </w:t>
      </w:r>
      <w:r w:rsidRPr="007834DF">
        <w:t>R</w:t>
      </w:r>
      <w:r w:rsidR="00A000E3">
        <w:t xml:space="preserve">eview </w:t>
      </w:r>
      <w:r w:rsidRPr="007834DF">
        <w:t>T</w:t>
      </w:r>
      <w:r w:rsidR="00A000E3">
        <w:t>ribunal</w:t>
      </w:r>
      <w:r w:rsidRPr="007834DF">
        <w:t>’s decision before the Federal Circuit Court of Australia</w:t>
      </w:r>
      <w:r w:rsidR="00A000E3">
        <w:t>. O</w:t>
      </w:r>
      <w:r w:rsidRPr="007834DF">
        <w:t xml:space="preserve">n 3 September 2013, the </w:t>
      </w:r>
      <w:r w:rsidR="00D02E16">
        <w:t xml:space="preserve">Circuit </w:t>
      </w:r>
      <w:r w:rsidRPr="007834DF">
        <w:t xml:space="preserve">Court upheld the </w:t>
      </w:r>
      <w:r w:rsidR="00A000E3">
        <w:t>Tribunal</w:t>
      </w:r>
      <w:r w:rsidRPr="007834DF">
        <w:t xml:space="preserve">’s decision and dismissed the complainant’s appeal. The complainant applied for leave to appeal </w:t>
      </w:r>
      <w:r w:rsidR="00A000E3">
        <w:t xml:space="preserve">the </w:t>
      </w:r>
      <w:r w:rsidR="00D02E16">
        <w:t xml:space="preserve">Circuit </w:t>
      </w:r>
      <w:r w:rsidR="00A000E3">
        <w:t>Court’s</w:t>
      </w:r>
      <w:r w:rsidRPr="007834DF">
        <w:t xml:space="preserve"> negative decision before the Federal Court of Australia, but his request was denied on 20 November 2013. On 26 November 2013, the complainant filed a </w:t>
      </w:r>
      <w:r w:rsidR="00D84D5C">
        <w:t>request for m</w:t>
      </w:r>
      <w:r w:rsidRPr="007834DF">
        <w:t xml:space="preserve">inisterial </w:t>
      </w:r>
      <w:r w:rsidR="00D84D5C">
        <w:t>i</w:t>
      </w:r>
      <w:r w:rsidRPr="007834DF">
        <w:t xml:space="preserve">ntervention, </w:t>
      </w:r>
      <w:r w:rsidR="009433F5">
        <w:t xml:space="preserve">which </w:t>
      </w:r>
      <w:r w:rsidRPr="007834DF">
        <w:t xml:space="preserve">was denied on 6 March 2014. On 17 March 2014, the complainant again requested </w:t>
      </w:r>
      <w:r w:rsidR="009433F5">
        <w:t>m</w:t>
      </w:r>
      <w:r w:rsidRPr="007834DF">
        <w:t xml:space="preserve">inisterial </w:t>
      </w:r>
      <w:r w:rsidR="009433F5">
        <w:t>i</w:t>
      </w:r>
      <w:r w:rsidRPr="007834DF">
        <w:t>ntervention</w:t>
      </w:r>
      <w:r w:rsidR="009433F5">
        <w:t>, which was also denied</w:t>
      </w:r>
      <w:r w:rsidRPr="007834DF">
        <w:t xml:space="preserve"> on an unspecified date.</w:t>
      </w:r>
      <w:r w:rsidR="00E96905">
        <w:t xml:space="preserve"> </w:t>
      </w:r>
    </w:p>
    <w:p w14:paraId="72DB2F05" w14:textId="77777777" w:rsidR="00E96905" w:rsidRPr="00E96905" w:rsidRDefault="00391200" w:rsidP="00B23A14">
      <w:pPr>
        <w:pStyle w:val="H23G"/>
      </w:pPr>
      <w:r>
        <w:tab/>
      </w:r>
      <w:r>
        <w:tab/>
      </w:r>
      <w:r w:rsidR="00E96905" w:rsidRPr="00970811">
        <w:t>The complaint</w:t>
      </w:r>
    </w:p>
    <w:p w14:paraId="5DA7C83A" w14:textId="77777777" w:rsidR="00E96905" w:rsidRPr="00E96905" w:rsidRDefault="00E96905" w:rsidP="00970811">
      <w:pPr>
        <w:pStyle w:val="SingleTxtG"/>
        <w:rPr>
          <w:w w:val="103"/>
        </w:rPr>
      </w:pPr>
      <w:r w:rsidRPr="00E96905">
        <w:rPr>
          <w:w w:val="103"/>
        </w:rPr>
        <w:t>3.1</w:t>
      </w:r>
      <w:r w:rsidRPr="00E96905">
        <w:rPr>
          <w:w w:val="103"/>
        </w:rPr>
        <w:tab/>
        <w:t xml:space="preserve">The complainant claims that he will be detained, tortured and killed if deported to Sri Lanka because he is a young man of Tamil ethnicity and is already wanted by the Sri Lankan authorities </w:t>
      </w:r>
      <w:r w:rsidR="00970811">
        <w:rPr>
          <w:w w:val="103"/>
        </w:rPr>
        <w:t>owing</w:t>
      </w:r>
      <w:r w:rsidRPr="00E96905">
        <w:rPr>
          <w:w w:val="103"/>
        </w:rPr>
        <w:t xml:space="preserve"> to his history of association with </w:t>
      </w:r>
      <w:r w:rsidR="00D02E16">
        <w:rPr>
          <w:w w:val="103"/>
        </w:rPr>
        <w:t xml:space="preserve">the </w:t>
      </w:r>
      <w:r w:rsidRPr="00E96905">
        <w:rPr>
          <w:w w:val="103"/>
        </w:rPr>
        <w:t xml:space="preserve">LTTE. </w:t>
      </w:r>
    </w:p>
    <w:p w14:paraId="08B94B31" w14:textId="77777777" w:rsidR="00E96905" w:rsidRDefault="00E96905" w:rsidP="00D02E16">
      <w:pPr>
        <w:pStyle w:val="SingleTxtG"/>
        <w:rPr>
          <w:w w:val="103"/>
        </w:rPr>
      </w:pPr>
      <w:r w:rsidRPr="00E96905">
        <w:rPr>
          <w:w w:val="103"/>
        </w:rPr>
        <w:t>3.2</w:t>
      </w:r>
      <w:r w:rsidRPr="00E96905">
        <w:rPr>
          <w:w w:val="103"/>
        </w:rPr>
        <w:tab/>
      </w:r>
      <w:r w:rsidR="00D02E16">
        <w:rPr>
          <w:w w:val="103"/>
        </w:rPr>
        <w:t>In addition, t</w:t>
      </w:r>
      <w:r w:rsidRPr="00E96905">
        <w:rPr>
          <w:w w:val="103"/>
        </w:rPr>
        <w:t xml:space="preserve">he complainant claims that he will run the same risks if deported to Sri Lanka </w:t>
      </w:r>
      <w:r w:rsidR="00970811">
        <w:rPr>
          <w:w w:val="103"/>
        </w:rPr>
        <w:t>owing</w:t>
      </w:r>
      <w:r w:rsidRPr="00E96905">
        <w:rPr>
          <w:w w:val="103"/>
        </w:rPr>
        <w:t xml:space="preserve"> to his status </w:t>
      </w:r>
      <w:r w:rsidR="00970811">
        <w:rPr>
          <w:w w:val="103"/>
        </w:rPr>
        <w:t>as</w:t>
      </w:r>
      <w:r w:rsidRPr="00E96905">
        <w:rPr>
          <w:w w:val="103"/>
        </w:rPr>
        <w:t xml:space="preserve"> a failed asylum seeker. He </w:t>
      </w:r>
      <w:r w:rsidR="00970811">
        <w:rPr>
          <w:w w:val="103"/>
        </w:rPr>
        <w:t>states</w:t>
      </w:r>
      <w:r w:rsidRPr="00E96905">
        <w:rPr>
          <w:w w:val="103"/>
        </w:rPr>
        <w:t xml:space="preserve"> that</w:t>
      </w:r>
      <w:r w:rsidR="00970811">
        <w:rPr>
          <w:w w:val="103"/>
        </w:rPr>
        <w:t>,</w:t>
      </w:r>
      <w:r w:rsidRPr="00E96905">
        <w:rPr>
          <w:w w:val="103"/>
        </w:rPr>
        <w:t xml:space="preserve"> in February 2014, the </w:t>
      </w:r>
      <w:r w:rsidR="00970811">
        <w:rPr>
          <w:w w:val="103"/>
        </w:rPr>
        <w:t xml:space="preserve">Australian </w:t>
      </w:r>
      <w:r w:rsidRPr="00E96905">
        <w:rPr>
          <w:w w:val="103"/>
        </w:rPr>
        <w:t>Department of Immigration inadvertently published on its website the full names, nationalities, locations, arrival dates and boat arrival information of about 10,000 asylum seekers</w:t>
      </w:r>
      <w:r w:rsidR="00203018">
        <w:rPr>
          <w:w w:val="103"/>
        </w:rPr>
        <w:t>.</w:t>
      </w:r>
      <w:r w:rsidRPr="00E96905">
        <w:rPr>
          <w:w w:val="103"/>
          <w:vertAlign w:val="superscript"/>
        </w:rPr>
        <w:t xml:space="preserve"> </w:t>
      </w:r>
      <w:r w:rsidRPr="00E96905">
        <w:rPr>
          <w:w w:val="103"/>
        </w:rPr>
        <w:t>The complainant submits that th</w:t>
      </w:r>
      <w:r w:rsidR="00970811">
        <w:rPr>
          <w:w w:val="103"/>
        </w:rPr>
        <w:t>at</w:t>
      </w:r>
      <w:r w:rsidRPr="00E96905">
        <w:rPr>
          <w:w w:val="103"/>
        </w:rPr>
        <w:t xml:space="preserve"> has created a further risk for him, because if the information </w:t>
      </w:r>
      <w:r w:rsidR="00970811">
        <w:rPr>
          <w:w w:val="103"/>
        </w:rPr>
        <w:t>is</w:t>
      </w:r>
      <w:r w:rsidRPr="00E96905">
        <w:rPr>
          <w:w w:val="103"/>
        </w:rPr>
        <w:t xml:space="preserve"> accessed by the Sri Lankan </w:t>
      </w:r>
      <w:r w:rsidR="00970811">
        <w:rPr>
          <w:w w:val="103"/>
        </w:rPr>
        <w:t>G</w:t>
      </w:r>
      <w:r w:rsidRPr="00E96905">
        <w:rPr>
          <w:w w:val="103"/>
        </w:rPr>
        <w:t xml:space="preserve">overnment, he will be further persecuted. </w:t>
      </w:r>
    </w:p>
    <w:p w14:paraId="47863C6A" w14:textId="77777777" w:rsidR="00E96905" w:rsidRPr="00E96905" w:rsidRDefault="00391200" w:rsidP="00B23A14">
      <w:pPr>
        <w:pStyle w:val="H23G"/>
        <w:rPr>
          <w:w w:val="103"/>
        </w:rPr>
      </w:pPr>
      <w:r>
        <w:rPr>
          <w:rFonts w:eastAsia="SimSun"/>
          <w:w w:val="103"/>
        </w:rPr>
        <w:tab/>
      </w:r>
      <w:r>
        <w:rPr>
          <w:rFonts w:eastAsia="SimSun"/>
          <w:w w:val="103"/>
        </w:rPr>
        <w:tab/>
      </w:r>
      <w:r w:rsidR="00E96905" w:rsidRPr="00E96905">
        <w:rPr>
          <w:rFonts w:eastAsia="SimSun"/>
          <w:w w:val="103"/>
        </w:rPr>
        <w:t>State party’s observations on admissibility and the merits</w:t>
      </w:r>
    </w:p>
    <w:p w14:paraId="03C88F65" w14:textId="77777777" w:rsidR="00E96905" w:rsidRPr="00E96905" w:rsidRDefault="00E96905" w:rsidP="00D02E16">
      <w:pPr>
        <w:pStyle w:val="SingleTxtG"/>
        <w:rPr>
          <w:w w:val="103"/>
        </w:rPr>
      </w:pPr>
      <w:r w:rsidRPr="00E96905">
        <w:rPr>
          <w:w w:val="103"/>
        </w:rPr>
        <w:t>4.1</w:t>
      </w:r>
      <w:r w:rsidRPr="00E96905">
        <w:rPr>
          <w:w w:val="103"/>
        </w:rPr>
        <w:tab/>
        <w:t>On 15 September 2014, the State party submitted that article 3 of the Convention provides that States parties have an obligation not to return a person to another State where there are substantial grounds for believing that the person would be in danger of being subjected to torture</w:t>
      </w:r>
      <w:r w:rsidR="00203018">
        <w:rPr>
          <w:w w:val="103"/>
        </w:rPr>
        <w:t>.</w:t>
      </w:r>
      <w:r w:rsidR="002D76A1">
        <w:rPr>
          <w:rStyle w:val="FootnoteReference"/>
          <w:w w:val="103"/>
        </w:rPr>
        <w:footnoteReference w:id="3"/>
      </w:r>
      <w:r w:rsidRPr="00E96905">
        <w:rPr>
          <w:w w:val="103"/>
        </w:rPr>
        <w:t xml:space="preserve"> </w:t>
      </w:r>
      <w:r w:rsidR="008B0626">
        <w:rPr>
          <w:w w:val="103"/>
        </w:rPr>
        <w:t xml:space="preserve">In its </w:t>
      </w:r>
      <w:r w:rsidRPr="00E96905">
        <w:rPr>
          <w:w w:val="103"/>
        </w:rPr>
        <w:t>views</w:t>
      </w:r>
      <w:r w:rsidR="00D02E16">
        <w:rPr>
          <w:w w:val="103"/>
        </w:rPr>
        <w:t xml:space="preserve"> concerning</w:t>
      </w:r>
      <w:r w:rsidRPr="00E96905">
        <w:rPr>
          <w:w w:val="103"/>
        </w:rPr>
        <w:t xml:space="preserve"> </w:t>
      </w:r>
      <w:r w:rsidRPr="00E96905">
        <w:rPr>
          <w:i/>
          <w:w w:val="103"/>
        </w:rPr>
        <w:t>G.R.B. v</w:t>
      </w:r>
      <w:r w:rsidR="009175E0">
        <w:rPr>
          <w:i/>
          <w:w w:val="103"/>
        </w:rPr>
        <w:t>.</w:t>
      </w:r>
      <w:r w:rsidRPr="00E96905">
        <w:rPr>
          <w:i/>
          <w:w w:val="103"/>
        </w:rPr>
        <w:t xml:space="preserve"> </w:t>
      </w:r>
      <w:r w:rsidR="008B0626" w:rsidRPr="00E96905">
        <w:rPr>
          <w:i/>
          <w:w w:val="103"/>
        </w:rPr>
        <w:t>Sweden</w:t>
      </w:r>
      <w:r w:rsidR="008B0626">
        <w:rPr>
          <w:w w:val="103"/>
        </w:rPr>
        <w:t xml:space="preserve">, the Committee </w:t>
      </w:r>
      <w:r w:rsidRPr="00E96905">
        <w:rPr>
          <w:w w:val="103"/>
        </w:rPr>
        <w:t>confirm</w:t>
      </w:r>
      <w:r w:rsidR="00EA0DA9">
        <w:rPr>
          <w:w w:val="103"/>
        </w:rPr>
        <w:t>ed</w:t>
      </w:r>
      <w:r w:rsidRPr="00E96905">
        <w:rPr>
          <w:w w:val="103"/>
        </w:rPr>
        <w:t xml:space="preserve"> that the obligation under article 3 </w:t>
      </w:r>
      <w:r w:rsidR="008B0626">
        <w:rPr>
          <w:w w:val="103"/>
        </w:rPr>
        <w:t xml:space="preserve">is directly linked </w:t>
      </w:r>
      <w:r w:rsidRPr="00E96905">
        <w:rPr>
          <w:w w:val="103"/>
        </w:rPr>
        <w:t>to the definition of torture in article 1 of the Convention</w:t>
      </w:r>
      <w:r w:rsidR="00203018">
        <w:rPr>
          <w:w w:val="103"/>
        </w:rPr>
        <w:t>.</w:t>
      </w:r>
      <w:r w:rsidR="002D76A1">
        <w:rPr>
          <w:rStyle w:val="FootnoteReference"/>
          <w:w w:val="103"/>
        </w:rPr>
        <w:footnoteReference w:id="4"/>
      </w:r>
      <w:r w:rsidRPr="00E96905">
        <w:rPr>
          <w:w w:val="103"/>
          <w:vertAlign w:val="superscript"/>
        </w:rPr>
        <w:t xml:space="preserve"> </w:t>
      </w:r>
      <w:r w:rsidR="008B0626">
        <w:rPr>
          <w:w w:val="103"/>
        </w:rPr>
        <w:t>The Committee</w:t>
      </w:r>
      <w:r w:rsidRPr="00E96905">
        <w:rPr>
          <w:w w:val="103"/>
        </w:rPr>
        <w:t xml:space="preserve"> </w:t>
      </w:r>
      <w:r w:rsidR="00EA0DA9">
        <w:rPr>
          <w:w w:val="103"/>
        </w:rPr>
        <w:t xml:space="preserve">also </w:t>
      </w:r>
      <w:r w:rsidRPr="00E96905">
        <w:rPr>
          <w:w w:val="103"/>
        </w:rPr>
        <w:t>note</w:t>
      </w:r>
      <w:r w:rsidR="00EA0DA9">
        <w:rPr>
          <w:w w:val="103"/>
        </w:rPr>
        <w:t>d</w:t>
      </w:r>
      <w:r w:rsidRPr="00E96905">
        <w:rPr>
          <w:w w:val="103"/>
        </w:rPr>
        <w:t xml:space="preserve"> that</w:t>
      </w:r>
      <w:r w:rsidR="008B0626">
        <w:rPr>
          <w:w w:val="103"/>
        </w:rPr>
        <w:t>,</w:t>
      </w:r>
      <w:r w:rsidRPr="00E96905">
        <w:rPr>
          <w:w w:val="103"/>
        </w:rPr>
        <w:t xml:space="preserve"> under the definition of torture, several elements must exist for </w:t>
      </w:r>
      <w:r w:rsidR="00560C5E">
        <w:rPr>
          <w:w w:val="103"/>
        </w:rPr>
        <w:t xml:space="preserve">an </w:t>
      </w:r>
      <w:r w:rsidRPr="00E96905">
        <w:rPr>
          <w:w w:val="103"/>
        </w:rPr>
        <w:t>act to constitute torture</w:t>
      </w:r>
      <w:r w:rsidR="00EA0DA9">
        <w:rPr>
          <w:w w:val="103"/>
        </w:rPr>
        <w:t>:</w:t>
      </w:r>
      <w:r w:rsidRPr="00E96905">
        <w:rPr>
          <w:w w:val="103"/>
        </w:rPr>
        <w:t xml:space="preserve"> the act must cause a person severe pain or suffering</w:t>
      </w:r>
      <w:r w:rsidR="00560C5E">
        <w:rPr>
          <w:w w:val="103"/>
        </w:rPr>
        <w:t xml:space="preserve">, which </w:t>
      </w:r>
      <w:r w:rsidRPr="00E96905">
        <w:rPr>
          <w:w w:val="103"/>
        </w:rPr>
        <w:t>may be mental or physical</w:t>
      </w:r>
      <w:r w:rsidR="00BD43ED">
        <w:rPr>
          <w:w w:val="103"/>
        </w:rPr>
        <w:t xml:space="preserve">; </w:t>
      </w:r>
      <w:r w:rsidRPr="00E96905">
        <w:rPr>
          <w:w w:val="103"/>
        </w:rPr>
        <w:t xml:space="preserve">the act must be intentionally inflicted on </w:t>
      </w:r>
      <w:r w:rsidR="00BD43ED">
        <w:rPr>
          <w:w w:val="103"/>
        </w:rPr>
        <w:t>a</w:t>
      </w:r>
      <w:r w:rsidRPr="00E96905">
        <w:rPr>
          <w:w w:val="103"/>
        </w:rPr>
        <w:t xml:space="preserve"> person or </w:t>
      </w:r>
      <w:r w:rsidR="00560C5E">
        <w:rPr>
          <w:w w:val="103"/>
        </w:rPr>
        <w:t xml:space="preserve">on </w:t>
      </w:r>
      <w:r w:rsidRPr="00E96905">
        <w:rPr>
          <w:w w:val="103"/>
        </w:rPr>
        <w:t xml:space="preserve">a third person for </w:t>
      </w:r>
      <w:r w:rsidR="00560C5E">
        <w:rPr>
          <w:w w:val="103"/>
        </w:rPr>
        <w:t xml:space="preserve">the </w:t>
      </w:r>
      <w:r w:rsidRPr="00E96905">
        <w:rPr>
          <w:w w:val="103"/>
        </w:rPr>
        <w:t xml:space="preserve">purposes </w:t>
      </w:r>
      <w:r w:rsidR="00560C5E">
        <w:rPr>
          <w:w w:val="103"/>
        </w:rPr>
        <w:t>of</w:t>
      </w:r>
      <w:r w:rsidRPr="00E96905">
        <w:rPr>
          <w:w w:val="103"/>
        </w:rPr>
        <w:t xml:space="preserve"> obtaining information</w:t>
      </w:r>
      <w:r w:rsidR="00560C5E">
        <w:rPr>
          <w:w w:val="103"/>
        </w:rPr>
        <w:t>, extracting</w:t>
      </w:r>
      <w:r w:rsidRPr="00E96905">
        <w:rPr>
          <w:w w:val="103"/>
        </w:rPr>
        <w:t xml:space="preserve"> a confession, punishment for an act </w:t>
      </w:r>
      <w:r w:rsidR="00560C5E">
        <w:rPr>
          <w:w w:val="103"/>
        </w:rPr>
        <w:t>that the person</w:t>
      </w:r>
      <w:r w:rsidRPr="00E96905">
        <w:rPr>
          <w:w w:val="103"/>
        </w:rPr>
        <w:t xml:space="preserve"> or </w:t>
      </w:r>
      <w:r w:rsidR="00560C5E">
        <w:rPr>
          <w:w w:val="103"/>
        </w:rPr>
        <w:t>a</w:t>
      </w:r>
      <w:r w:rsidRPr="00E96905">
        <w:rPr>
          <w:w w:val="103"/>
        </w:rPr>
        <w:t xml:space="preserve"> third</w:t>
      </w:r>
      <w:r w:rsidR="00560C5E">
        <w:rPr>
          <w:w w:val="103"/>
        </w:rPr>
        <w:t xml:space="preserve"> </w:t>
      </w:r>
      <w:r w:rsidRPr="00E96905">
        <w:rPr>
          <w:w w:val="103"/>
        </w:rPr>
        <w:t xml:space="preserve">person </w:t>
      </w:r>
      <w:r w:rsidR="00EA0DA9">
        <w:rPr>
          <w:w w:val="103"/>
        </w:rPr>
        <w:t xml:space="preserve">allegedly </w:t>
      </w:r>
      <w:r w:rsidRPr="00E96905">
        <w:rPr>
          <w:w w:val="103"/>
        </w:rPr>
        <w:t>committed, intimidation or coercion, or for any reason based on discrimination of any kind</w:t>
      </w:r>
      <w:r w:rsidR="00BD43ED">
        <w:rPr>
          <w:w w:val="103"/>
        </w:rPr>
        <w:t>; and</w:t>
      </w:r>
      <w:r w:rsidRPr="00E96905">
        <w:rPr>
          <w:w w:val="103"/>
        </w:rPr>
        <w:t xml:space="preserve"> the act must be inflicted by</w:t>
      </w:r>
      <w:r w:rsidR="00560C5E">
        <w:rPr>
          <w:w w:val="103"/>
        </w:rPr>
        <w:t>,</w:t>
      </w:r>
      <w:r w:rsidRPr="00E96905">
        <w:rPr>
          <w:w w:val="103"/>
        </w:rPr>
        <w:t xml:space="preserve"> or at the instigation of</w:t>
      </w:r>
      <w:r w:rsidR="00560C5E">
        <w:rPr>
          <w:w w:val="103"/>
        </w:rPr>
        <w:t>,</w:t>
      </w:r>
      <w:r w:rsidRPr="00E96905">
        <w:rPr>
          <w:w w:val="103"/>
        </w:rPr>
        <w:t xml:space="preserve"> or with the consent or acquiescence of</w:t>
      </w:r>
      <w:r w:rsidR="00560C5E">
        <w:rPr>
          <w:w w:val="103"/>
        </w:rPr>
        <w:t>,</w:t>
      </w:r>
      <w:r w:rsidRPr="00E96905">
        <w:rPr>
          <w:w w:val="103"/>
        </w:rPr>
        <w:t xml:space="preserve"> a public official or other person acting in an official capacity</w:t>
      </w:r>
      <w:r w:rsidR="00203018">
        <w:rPr>
          <w:w w:val="103"/>
        </w:rPr>
        <w:t>.</w:t>
      </w:r>
      <w:r w:rsidR="002D76A1">
        <w:rPr>
          <w:rStyle w:val="FootnoteReference"/>
          <w:w w:val="103"/>
        </w:rPr>
        <w:footnoteReference w:id="5"/>
      </w:r>
      <w:r w:rsidRPr="00E96905">
        <w:rPr>
          <w:w w:val="103"/>
        </w:rPr>
        <w:t xml:space="preserve"> </w:t>
      </w:r>
    </w:p>
    <w:p w14:paraId="4031C3D9" w14:textId="77777777" w:rsidR="00B03DB4" w:rsidRDefault="00E96905" w:rsidP="00D02E16">
      <w:pPr>
        <w:pStyle w:val="SingleTxtG"/>
        <w:rPr>
          <w:spacing w:val="4"/>
          <w:w w:val="103"/>
          <w:kern w:val="14"/>
        </w:rPr>
      </w:pPr>
      <w:r w:rsidRPr="00E96905">
        <w:rPr>
          <w:w w:val="103"/>
        </w:rPr>
        <w:t xml:space="preserve">4.2 </w:t>
      </w:r>
      <w:r>
        <w:rPr>
          <w:w w:val="103"/>
        </w:rPr>
        <w:tab/>
      </w:r>
      <w:r w:rsidRPr="00E96905">
        <w:rPr>
          <w:w w:val="103"/>
        </w:rPr>
        <w:t>The State party notes that each case must be assessed on its own facts. Whether conduct amounts to torture will depend on the nature of the alleged act</w:t>
      </w:r>
      <w:r w:rsidR="00D02E16">
        <w:rPr>
          <w:w w:val="103"/>
        </w:rPr>
        <w:t xml:space="preserve"> and t</w:t>
      </w:r>
      <w:r w:rsidRPr="00E96905">
        <w:rPr>
          <w:w w:val="103"/>
        </w:rPr>
        <w:t>he obligation of non-refoulement is confined to torture and does not extend to cruel, inhuman or degrading treatment or punishment</w:t>
      </w:r>
      <w:r w:rsidR="00203018">
        <w:rPr>
          <w:w w:val="103"/>
        </w:rPr>
        <w:t>.</w:t>
      </w:r>
      <w:r w:rsidR="002D76A1">
        <w:rPr>
          <w:rStyle w:val="FootnoteReference"/>
          <w:w w:val="103"/>
        </w:rPr>
        <w:footnoteReference w:id="6"/>
      </w:r>
      <w:r w:rsidRPr="00E96905">
        <w:rPr>
          <w:w w:val="103"/>
        </w:rPr>
        <w:t xml:space="preserve"> In this connection, the State party submits that the Committee has retained this distinction in its views. Further</w:t>
      </w:r>
      <w:r w:rsidR="00C45A00">
        <w:rPr>
          <w:w w:val="103"/>
        </w:rPr>
        <w:t>more</w:t>
      </w:r>
      <w:r w:rsidRPr="00E96905">
        <w:rPr>
          <w:w w:val="103"/>
        </w:rPr>
        <w:t xml:space="preserve">, if it is established that the alleged acts would constitute torture, article 3 also requires that there exist </w:t>
      </w:r>
      <w:r w:rsidR="0034380D">
        <w:rPr>
          <w:w w:val="103"/>
        </w:rPr>
        <w:t>“</w:t>
      </w:r>
      <w:r w:rsidRPr="00E96905">
        <w:rPr>
          <w:w w:val="103"/>
        </w:rPr>
        <w:t>substantial grounds for believing</w:t>
      </w:r>
      <w:r w:rsidR="0034380D">
        <w:rPr>
          <w:w w:val="103"/>
        </w:rPr>
        <w:t>”</w:t>
      </w:r>
      <w:r w:rsidRPr="00E96905">
        <w:rPr>
          <w:w w:val="103"/>
        </w:rPr>
        <w:t xml:space="preserve"> that the author would be in danger of being subjected to torture. That is, the complainant must be at a </w:t>
      </w:r>
      <w:r w:rsidR="0034380D">
        <w:rPr>
          <w:w w:val="103"/>
        </w:rPr>
        <w:t>“</w:t>
      </w:r>
      <w:r w:rsidRPr="00E96905">
        <w:rPr>
          <w:w w:val="103"/>
        </w:rPr>
        <w:t>foreseeable, real and personal risk of being subjected to torture</w:t>
      </w:r>
      <w:r w:rsidR="0034380D">
        <w:rPr>
          <w:w w:val="103"/>
        </w:rPr>
        <w:t>”</w:t>
      </w:r>
      <w:r w:rsidR="00203018">
        <w:rPr>
          <w:w w:val="103"/>
        </w:rPr>
        <w:t>.</w:t>
      </w:r>
      <w:r w:rsidR="002D76A1">
        <w:rPr>
          <w:rStyle w:val="FootnoteReference"/>
          <w:w w:val="103"/>
        </w:rPr>
        <w:footnoteReference w:id="7"/>
      </w:r>
      <w:r w:rsidRPr="00E96905">
        <w:rPr>
          <w:w w:val="103"/>
          <w:vertAlign w:val="superscript"/>
        </w:rPr>
        <w:t xml:space="preserve"> </w:t>
      </w:r>
      <w:r w:rsidRPr="00E96905">
        <w:rPr>
          <w:w w:val="103"/>
        </w:rPr>
        <w:t xml:space="preserve">The Committee has also stated that the danger must be </w:t>
      </w:r>
      <w:r w:rsidR="0034380D">
        <w:rPr>
          <w:w w:val="103"/>
        </w:rPr>
        <w:t>“</w:t>
      </w:r>
      <w:r w:rsidRPr="00E96905">
        <w:rPr>
          <w:w w:val="103"/>
        </w:rPr>
        <w:t>personal and present</w:t>
      </w:r>
      <w:r w:rsidR="0034380D">
        <w:rPr>
          <w:w w:val="103"/>
        </w:rPr>
        <w:t>”</w:t>
      </w:r>
      <w:r w:rsidR="00203018">
        <w:rPr>
          <w:w w:val="103"/>
        </w:rPr>
        <w:t>.</w:t>
      </w:r>
      <w:r w:rsidR="00E926B5">
        <w:rPr>
          <w:rStyle w:val="FootnoteReference"/>
          <w:w w:val="103"/>
        </w:rPr>
        <w:footnoteReference w:id="8"/>
      </w:r>
      <w:r w:rsidRPr="00E96905">
        <w:rPr>
          <w:w w:val="103"/>
        </w:rPr>
        <w:t xml:space="preserve"> In order to show that a State party would be in breach of its non-refoulement obligations under article 3 of the Convention, an individual must be </w:t>
      </w:r>
      <w:r w:rsidRPr="00F46EB5">
        <w:t>found</w:t>
      </w:r>
      <w:r w:rsidRPr="00E96905">
        <w:rPr>
          <w:w w:val="103"/>
        </w:rPr>
        <w:t xml:space="preserve"> to be personally at risk of such treatment should he or she be returned</w:t>
      </w:r>
      <w:r w:rsidR="00966F85">
        <w:rPr>
          <w:w w:val="103"/>
        </w:rPr>
        <w:t xml:space="preserve"> to a country</w:t>
      </w:r>
      <w:r w:rsidRPr="00E96905">
        <w:rPr>
          <w:w w:val="103"/>
        </w:rPr>
        <w:t>. In addition, the onus of proving that there is “a foreseeable, real and</w:t>
      </w:r>
      <w:r w:rsidR="00F46EB5">
        <w:rPr>
          <w:w w:val="103"/>
        </w:rPr>
        <w:t xml:space="preserve"> </w:t>
      </w:r>
      <w:r w:rsidR="00B03DB4" w:rsidRPr="00B03DB4">
        <w:rPr>
          <w:spacing w:val="4"/>
          <w:w w:val="103"/>
          <w:kern w:val="14"/>
        </w:rPr>
        <w:t>personal risk of being subjected to torture” upon extradition or deportation rests on the complainant</w:t>
      </w:r>
      <w:r w:rsidR="00203018">
        <w:rPr>
          <w:spacing w:val="4"/>
          <w:w w:val="103"/>
          <w:kern w:val="14"/>
        </w:rPr>
        <w:t>.</w:t>
      </w:r>
      <w:r w:rsidR="00B03DB4">
        <w:rPr>
          <w:rStyle w:val="FootnoteReference"/>
          <w:spacing w:val="4"/>
          <w:w w:val="103"/>
          <w:kern w:val="14"/>
        </w:rPr>
        <w:footnoteReference w:id="9"/>
      </w:r>
      <w:r w:rsidR="00B03DB4" w:rsidRPr="00B03DB4">
        <w:rPr>
          <w:spacing w:val="4"/>
          <w:w w:val="103"/>
          <w:kern w:val="14"/>
        </w:rPr>
        <w:t xml:space="preserve"> The risk must be assessed on grounds that go beyond mere theory and suspicion</w:t>
      </w:r>
      <w:r w:rsidR="00203018">
        <w:rPr>
          <w:spacing w:val="4"/>
          <w:w w:val="103"/>
          <w:kern w:val="14"/>
        </w:rPr>
        <w:t>.</w:t>
      </w:r>
      <w:r w:rsidR="00B03DB4">
        <w:rPr>
          <w:rStyle w:val="FootnoteReference"/>
          <w:spacing w:val="4"/>
          <w:w w:val="103"/>
          <w:kern w:val="14"/>
        </w:rPr>
        <w:footnoteReference w:id="10"/>
      </w:r>
      <w:r w:rsidR="00B03DB4" w:rsidRPr="00B03DB4">
        <w:rPr>
          <w:spacing w:val="4"/>
          <w:w w:val="103"/>
          <w:kern w:val="14"/>
        </w:rPr>
        <w:t xml:space="preserve"> </w:t>
      </w:r>
    </w:p>
    <w:p w14:paraId="50333179" w14:textId="77777777" w:rsidR="00B03DB4" w:rsidRPr="00B03DB4" w:rsidRDefault="00B03DB4" w:rsidP="00BC0A49">
      <w:pPr>
        <w:pStyle w:val="SingleTxtG"/>
        <w:rPr>
          <w:w w:val="103"/>
        </w:rPr>
      </w:pPr>
      <w:r w:rsidRPr="00B03DB4">
        <w:rPr>
          <w:w w:val="103"/>
        </w:rPr>
        <w:t>4.3</w:t>
      </w:r>
      <w:r w:rsidR="0034380D">
        <w:rPr>
          <w:w w:val="103"/>
        </w:rPr>
        <w:tab/>
      </w:r>
      <w:r w:rsidRPr="00B03DB4">
        <w:rPr>
          <w:w w:val="103"/>
        </w:rPr>
        <w:t xml:space="preserve">In </w:t>
      </w:r>
      <w:r w:rsidR="001D481D">
        <w:rPr>
          <w:w w:val="103"/>
        </w:rPr>
        <w:t xml:space="preserve">the </w:t>
      </w:r>
      <w:r w:rsidRPr="00B03DB4">
        <w:rPr>
          <w:w w:val="103"/>
        </w:rPr>
        <w:t>light of the above, the State party submits that the complainant’s claims are inadmissible pursuant to rule 113</w:t>
      </w:r>
      <w:r w:rsidR="001D481D">
        <w:rPr>
          <w:w w:val="103"/>
        </w:rPr>
        <w:t xml:space="preserve"> </w:t>
      </w:r>
      <w:r w:rsidRPr="00B03DB4">
        <w:rPr>
          <w:w w:val="103"/>
        </w:rPr>
        <w:t xml:space="preserve">(b) of the Committee’s </w:t>
      </w:r>
      <w:r w:rsidR="001D481D">
        <w:rPr>
          <w:w w:val="103"/>
        </w:rPr>
        <w:t>r</w:t>
      </w:r>
      <w:r w:rsidRPr="00B03DB4">
        <w:rPr>
          <w:w w:val="103"/>
        </w:rPr>
        <w:t xml:space="preserve">ules of </w:t>
      </w:r>
      <w:r w:rsidR="001D481D">
        <w:rPr>
          <w:w w:val="103"/>
        </w:rPr>
        <w:t>p</w:t>
      </w:r>
      <w:r w:rsidRPr="00B03DB4">
        <w:rPr>
          <w:w w:val="103"/>
        </w:rPr>
        <w:t xml:space="preserve">rocedure on the grounds that the present claims are manifestly unfounded. </w:t>
      </w:r>
      <w:r w:rsidR="00BC0A49">
        <w:rPr>
          <w:w w:val="103"/>
        </w:rPr>
        <w:t>The Committee has also stated that</w:t>
      </w:r>
      <w:r w:rsidRPr="00B03DB4">
        <w:rPr>
          <w:w w:val="103"/>
        </w:rPr>
        <w:t xml:space="preserve"> it is the responsibility of the complainant to establish a prima facie case that there is a foreseeable, real and personal risk he would be subjected to torture by the Sri Lankan authorities if returned to Sri Lanka</w:t>
      </w:r>
      <w:r w:rsidR="00203018">
        <w:rPr>
          <w:w w:val="103"/>
        </w:rPr>
        <w:t>.</w:t>
      </w:r>
      <w:r>
        <w:rPr>
          <w:rStyle w:val="FootnoteReference"/>
          <w:w w:val="103"/>
        </w:rPr>
        <w:footnoteReference w:id="11"/>
      </w:r>
      <w:r w:rsidRPr="00B03DB4">
        <w:rPr>
          <w:w w:val="103"/>
        </w:rPr>
        <w:t xml:space="preserve"> In this connection, the State party maintains that the complainant has failed to do so. In the alternative, the State party submits that the complainant’s claims are without merit.</w:t>
      </w:r>
    </w:p>
    <w:p w14:paraId="56FDE066" w14:textId="77777777" w:rsidR="00B03DB4" w:rsidRPr="00B03DB4" w:rsidRDefault="00B03DB4" w:rsidP="00B73657">
      <w:pPr>
        <w:pStyle w:val="SingleTxtG"/>
        <w:rPr>
          <w:w w:val="103"/>
        </w:rPr>
      </w:pPr>
      <w:r w:rsidRPr="00B03DB4">
        <w:rPr>
          <w:w w:val="103"/>
        </w:rPr>
        <w:t>4.4</w:t>
      </w:r>
      <w:r w:rsidR="0034380D">
        <w:rPr>
          <w:w w:val="103"/>
        </w:rPr>
        <w:tab/>
      </w:r>
      <w:r w:rsidRPr="00B03DB4">
        <w:rPr>
          <w:w w:val="103"/>
        </w:rPr>
        <w:t>The State party adds that the complainant’s claims have been thoroughly considered by a number of domestic authorities and review</w:t>
      </w:r>
      <w:r w:rsidR="00D21CFC">
        <w:rPr>
          <w:w w:val="103"/>
        </w:rPr>
        <w:t xml:space="preserve"> </w:t>
      </w:r>
      <w:r w:rsidRPr="00B03DB4">
        <w:rPr>
          <w:w w:val="103"/>
        </w:rPr>
        <w:t xml:space="preserve">bodies, including the Federal Circuit Court of Australia. Each body specifically considered </w:t>
      </w:r>
      <w:r w:rsidR="00D21CFC">
        <w:rPr>
          <w:w w:val="103"/>
        </w:rPr>
        <w:t xml:space="preserve">the claims </w:t>
      </w:r>
      <w:r w:rsidRPr="00B03DB4">
        <w:rPr>
          <w:w w:val="103"/>
        </w:rPr>
        <w:t xml:space="preserve">and determined that the complainant </w:t>
      </w:r>
      <w:r w:rsidR="00D21CFC">
        <w:rPr>
          <w:w w:val="103"/>
        </w:rPr>
        <w:t>was</w:t>
      </w:r>
      <w:r w:rsidRPr="00B03DB4">
        <w:rPr>
          <w:w w:val="103"/>
        </w:rPr>
        <w:t xml:space="preserve"> not at a foreseeable, real or personal risk of torture under article 3 of the Convention</w:t>
      </w:r>
      <w:r w:rsidR="00D21CFC">
        <w:rPr>
          <w:w w:val="103"/>
        </w:rPr>
        <w:t xml:space="preserve"> if returned to Sri Lanka</w:t>
      </w:r>
      <w:r w:rsidRPr="00B03DB4">
        <w:rPr>
          <w:w w:val="103"/>
        </w:rPr>
        <w:t xml:space="preserve">. In particular, the complainant’s claims </w:t>
      </w:r>
      <w:r w:rsidR="00D21CFC">
        <w:rPr>
          <w:w w:val="103"/>
        </w:rPr>
        <w:t>were</w:t>
      </w:r>
      <w:r w:rsidRPr="00B03DB4">
        <w:rPr>
          <w:w w:val="103"/>
        </w:rPr>
        <w:t xml:space="preserve"> assessed under the complementary protection provisions in subparagraph 36</w:t>
      </w:r>
      <w:r w:rsidR="00D21CFC">
        <w:rPr>
          <w:w w:val="103"/>
        </w:rPr>
        <w:t xml:space="preserve"> </w:t>
      </w:r>
      <w:r w:rsidRPr="00B03DB4">
        <w:rPr>
          <w:w w:val="103"/>
        </w:rPr>
        <w:t>(2)</w:t>
      </w:r>
      <w:r w:rsidR="00203018">
        <w:rPr>
          <w:w w:val="103"/>
        </w:rPr>
        <w:t xml:space="preserve"> </w:t>
      </w:r>
      <w:r w:rsidRPr="00B03DB4">
        <w:rPr>
          <w:w w:val="103"/>
        </w:rPr>
        <w:t xml:space="preserve">(aa) of the Migration Act </w:t>
      </w:r>
      <w:r w:rsidR="00D21CFC">
        <w:rPr>
          <w:w w:val="103"/>
        </w:rPr>
        <w:t>(</w:t>
      </w:r>
      <w:r w:rsidRPr="00B03DB4">
        <w:rPr>
          <w:w w:val="103"/>
        </w:rPr>
        <w:t>1958</w:t>
      </w:r>
      <w:r w:rsidR="00D21CFC">
        <w:rPr>
          <w:w w:val="103"/>
        </w:rPr>
        <w:t>)</w:t>
      </w:r>
      <w:r w:rsidRPr="00B03DB4">
        <w:rPr>
          <w:w w:val="103"/>
        </w:rPr>
        <w:t>, which contain the State party’s non-refoulement obligations under, inter alia, the Convention. It notes that the complainant has not provided any relevant new evidence in his submissions to the Committee that have not already been considered through th</w:t>
      </w:r>
      <w:r w:rsidR="00D21CFC">
        <w:rPr>
          <w:w w:val="103"/>
        </w:rPr>
        <w:t>o</w:t>
      </w:r>
      <w:r w:rsidRPr="00B03DB4">
        <w:rPr>
          <w:w w:val="103"/>
        </w:rPr>
        <w:t xml:space="preserve">se domestic administrative and judicial proceedings. In this regard, the State party refers to the Committee’s </w:t>
      </w:r>
      <w:r w:rsidR="00D21CFC">
        <w:rPr>
          <w:w w:val="103"/>
        </w:rPr>
        <w:t>g</w:t>
      </w:r>
      <w:r w:rsidRPr="00B03DB4">
        <w:rPr>
          <w:w w:val="103"/>
        </w:rPr>
        <w:t xml:space="preserve">eneral </w:t>
      </w:r>
      <w:r w:rsidR="00D21CFC">
        <w:rPr>
          <w:w w:val="103"/>
        </w:rPr>
        <w:t>c</w:t>
      </w:r>
      <w:r w:rsidRPr="00B03DB4">
        <w:rPr>
          <w:w w:val="103"/>
        </w:rPr>
        <w:t>omment N</w:t>
      </w:r>
      <w:r w:rsidR="00D21CFC">
        <w:rPr>
          <w:w w:val="103"/>
        </w:rPr>
        <w:t>o</w:t>
      </w:r>
      <w:r w:rsidRPr="00B03DB4">
        <w:rPr>
          <w:w w:val="103"/>
        </w:rPr>
        <w:t>. 1</w:t>
      </w:r>
      <w:r w:rsidR="00D21CFC">
        <w:rPr>
          <w:w w:val="103"/>
        </w:rPr>
        <w:t>, in which it is stated</w:t>
      </w:r>
      <w:r w:rsidRPr="00B03DB4">
        <w:rPr>
          <w:w w:val="103"/>
        </w:rPr>
        <w:t xml:space="preserve"> that</w:t>
      </w:r>
      <w:r w:rsidR="00D21CFC">
        <w:rPr>
          <w:w w:val="103"/>
        </w:rPr>
        <w:t xml:space="preserve"> the Committee</w:t>
      </w:r>
      <w:r w:rsidRPr="00B03DB4">
        <w:rPr>
          <w:w w:val="103"/>
        </w:rPr>
        <w:t xml:space="preserve"> is not an appellate or judicial body</w:t>
      </w:r>
      <w:r w:rsidR="00D21CFC">
        <w:rPr>
          <w:w w:val="103"/>
        </w:rPr>
        <w:t xml:space="preserve"> and that </w:t>
      </w:r>
      <w:r w:rsidRPr="00B03DB4">
        <w:rPr>
          <w:w w:val="103"/>
        </w:rPr>
        <w:t xml:space="preserve">it gives considerable weight </w:t>
      </w:r>
      <w:r w:rsidR="00D21CFC">
        <w:rPr>
          <w:w w:val="103"/>
        </w:rPr>
        <w:t>“</w:t>
      </w:r>
      <w:r w:rsidRPr="00B03DB4">
        <w:rPr>
          <w:w w:val="103"/>
        </w:rPr>
        <w:t>to findings of fact that are made by the organs of the State party</w:t>
      </w:r>
      <w:r w:rsidR="00D21CFC">
        <w:rPr>
          <w:w w:val="103"/>
        </w:rPr>
        <w:t xml:space="preserve"> concerned” (para. 9 (a))</w:t>
      </w:r>
      <w:r w:rsidRPr="00B03DB4">
        <w:rPr>
          <w:w w:val="103"/>
        </w:rPr>
        <w:t xml:space="preserve">. The State party therefore requests that the Committee accept that </w:t>
      </w:r>
      <w:r w:rsidR="00D21CFC">
        <w:rPr>
          <w:w w:val="103"/>
        </w:rPr>
        <w:t>it</w:t>
      </w:r>
      <w:r w:rsidRPr="00B03DB4">
        <w:rPr>
          <w:w w:val="103"/>
        </w:rPr>
        <w:t xml:space="preserve"> has thoroughly assessed the complainant’s claims </w:t>
      </w:r>
      <w:r w:rsidR="00D21CFC">
        <w:rPr>
          <w:w w:val="103"/>
        </w:rPr>
        <w:t>in</w:t>
      </w:r>
      <w:r w:rsidRPr="00B03DB4">
        <w:rPr>
          <w:w w:val="103"/>
        </w:rPr>
        <w:t xml:space="preserve"> its domestic proceedings and found that it does not owe the complainant protection obligations under the Convention. In th</w:t>
      </w:r>
      <w:r w:rsidR="00D21CFC">
        <w:rPr>
          <w:w w:val="103"/>
        </w:rPr>
        <w:t>at</w:t>
      </w:r>
      <w:r w:rsidRPr="00B03DB4">
        <w:rPr>
          <w:w w:val="103"/>
        </w:rPr>
        <w:t xml:space="preserve"> connection, it submits that it takes its obligations under the Convention seriously and has implemented th</w:t>
      </w:r>
      <w:r w:rsidR="00D21CFC">
        <w:rPr>
          <w:w w:val="103"/>
        </w:rPr>
        <w:t>o</w:t>
      </w:r>
      <w:r w:rsidRPr="00B03DB4">
        <w:rPr>
          <w:w w:val="103"/>
        </w:rPr>
        <w:t xml:space="preserve">se obligations in good faith through its domestic migration processes. </w:t>
      </w:r>
    </w:p>
    <w:p w14:paraId="6496830B" w14:textId="77777777" w:rsidR="00B03DB4" w:rsidRPr="00B03DB4" w:rsidRDefault="00B03DB4" w:rsidP="00966F85">
      <w:pPr>
        <w:pStyle w:val="SingleTxtG"/>
        <w:rPr>
          <w:w w:val="103"/>
        </w:rPr>
      </w:pPr>
      <w:r w:rsidRPr="00B03DB4">
        <w:rPr>
          <w:w w:val="103"/>
        </w:rPr>
        <w:t>4.5</w:t>
      </w:r>
      <w:r w:rsidR="0034380D">
        <w:rPr>
          <w:w w:val="103"/>
        </w:rPr>
        <w:tab/>
      </w:r>
      <w:r w:rsidRPr="00B03DB4">
        <w:rPr>
          <w:w w:val="103"/>
        </w:rPr>
        <w:t>The State party acknowledges that “complete accuracy can seldom be accepted by victims of torture</w:t>
      </w:r>
      <w:r w:rsidR="00B73657">
        <w:rPr>
          <w:w w:val="103"/>
        </w:rPr>
        <w:t>”</w:t>
      </w:r>
      <w:r w:rsidR="00203018">
        <w:rPr>
          <w:w w:val="103"/>
        </w:rPr>
        <w:t>;</w:t>
      </w:r>
      <w:r w:rsidR="00CD61F2">
        <w:rPr>
          <w:rStyle w:val="FootnoteReference"/>
          <w:w w:val="103"/>
        </w:rPr>
        <w:footnoteReference w:id="12"/>
      </w:r>
      <w:r w:rsidRPr="00B03DB4">
        <w:rPr>
          <w:w w:val="103"/>
        </w:rPr>
        <w:t xml:space="preserve"> however, th</w:t>
      </w:r>
      <w:r w:rsidR="00B73657">
        <w:rPr>
          <w:w w:val="103"/>
        </w:rPr>
        <w:t>at</w:t>
      </w:r>
      <w:r w:rsidRPr="00B03DB4">
        <w:rPr>
          <w:w w:val="103"/>
        </w:rPr>
        <w:t xml:space="preserve"> factor </w:t>
      </w:r>
      <w:r w:rsidR="00B73657">
        <w:rPr>
          <w:w w:val="103"/>
        </w:rPr>
        <w:t xml:space="preserve">was </w:t>
      </w:r>
      <w:r w:rsidRPr="00B03DB4">
        <w:rPr>
          <w:w w:val="103"/>
        </w:rPr>
        <w:t xml:space="preserve">taken into consideration by the domestic </w:t>
      </w:r>
      <w:r w:rsidR="00966F85">
        <w:rPr>
          <w:w w:val="103"/>
        </w:rPr>
        <w:t xml:space="preserve">authorities </w:t>
      </w:r>
      <w:r w:rsidRPr="00B03DB4">
        <w:rPr>
          <w:w w:val="103"/>
        </w:rPr>
        <w:t xml:space="preserve">in forming </w:t>
      </w:r>
      <w:r w:rsidR="00966F85">
        <w:rPr>
          <w:w w:val="103"/>
        </w:rPr>
        <w:t xml:space="preserve">the </w:t>
      </w:r>
      <w:r w:rsidRPr="00B03DB4">
        <w:rPr>
          <w:w w:val="103"/>
        </w:rPr>
        <w:t>views on the complainant’s credibility. It notes that in assessing the complainant’s protection visa application, a reasonable margin of appreciation was given to flaws and inconsistencies in his testimony.</w:t>
      </w:r>
    </w:p>
    <w:p w14:paraId="7D2E1C9A" w14:textId="77777777" w:rsidR="00B03DB4" w:rsidRPr="00B03DB4" w:rsidRDefault="00B03DB4" w:rsidP="001509D6">
      <w:pPr>
        <w:pStyle w:val="SingleTxtG"/>
        <w:rPr>
          <w:w w:val="103"/>
        </w:rPr>
      </w:pPr>
      <w:r w:rsidRPr="00B03DB4">
        <w:rPr>
          <w:w w:val="103"/>
        </w:rPr>
        <w:t>4.6</w:t>
      </w:r>
      <w:r w:rsidR="0034380D">
        <w:rPr>
          <w:w w:val="103"/>
        </w:rPr>
        <w:tab/>
      </w:r>
      <w:r w:rsidRPr="00B03DB4">
        <w:rPr>
          <w:w w:val="103"/>
        </w:rPr>
        <w:t xml:space="preserve">The State party notes that the complainant’s claims </w:t>
      </w:r>
      <w:r w:rsidR="00B73657">
        <w:rPr>
          <w:w w:val="103"/>
        </w:rPr>
        <w:t>were</w:t>
      </w:r>
      <w:r w:rsidRPr="00B03DB4">
        <w:rPr>
          <w:w w:val="103"/>
        </w:rPr>
        <w:t xml:space="preserve"> considered during the protection visa proceedings</w:t>
      </w:r>
      <w:r w:rsidR="00B73657">
        <w:rPr>
          <w:w w:val="103"/>
        </w:rPr>
        <w:t xml:space="preserve">, as well as in the </w:t>
      </w:r>
      <w:r w:rsidRPr="00B03DB4">
        <w:rPr>
          <w:w w:val="103"/>
        </w:rPr>
        <w:t>external merits review by the R</w:t>
      </w:r>
      <w:r w:rsidR="00B73657">
        <w:rPr>
          <w:w w:val="103"/>
        </w:rPr>
        <w:t xml:space="preserve">efugee </w:t>
      </w:r>
      <w:r w:rsidRPr="00B03DB4">
        <w:rPr>
          <w:w w:val="103"/>
        </w:rPr>
        <w:t>R</w:t>
      </w:r>
      <w:r w:rsidR="00B73657">
        <w:rPr>
          <w:w w:val="103"/>
        </w:rPr>
        <w:t xml:space="preserve">eview </w:t>
      </w:r>
      <w:r w:rsidRPr="00B03DB4">
        <w:rPr>
          <w:w w:val="103"/>
        </w:rPr>
        <w:t>T</w:t>
      </w:r>
      <w:r w:rsidR="00B73657">
        <w:rPr>
          <w:w w:val="103"/>
        </w:rPr>
        <w:t>ribunal, the</w:t>
      </w:r>
      <w:r w:rsidRPr="00B03DB4">
        <w:rPr>
          <w:w w:val="103"/>
        </w:rPr>
        <w:t xml:space="preserve"> judicial review by the F</w:t>
      </w:r>
      <w:r w:rsidR="00B73657">
        <w:rPr>
          <w:w w:val="103"/>
        </w:rPr>
        <w:t xml:space="preserve">ederal </w:t>
      </w:r>
      <w:r w:rsidRPr="00B03DB4">
        <w:rPr>
          <w:w w:val="103"/>
        </w:rPr>
        <w:t>C</w:t>
      </w:r>
      <w:r w:rsidR="00B73657">
        <w:rPr>
          <w:w w:val="103"/>
        </w:rPr>
        <w:t xml:space="preserve">ircuit </w:t>
      </w:r>
      <w:r w:rsidRPr="00B03DB4">
        <w:rPr>
          <w:w w:val="103"/>
        </w:rPr>
        <w:t>C</w:t>
      </w:r>
      <w:r w:rsidR="00B73657">
        <w:rPr>
          <w:w w:val="103"/>
        </w:rPr>
        <w:t>ourt,</w:t>
      </w:r>
      <w:r w:rsidRPr="00B03DB4">
        <w:rPr>
          <w:w w:val="103"/>
        </w:rPr>
        <w:t xml:space="preserve"> the review of the complainant’s appeal</w:t>
      </w:r>
      <w:r w:rsidR="00966F85">
        <w:rPr>
          <w:w w:val="103"/>
        </w:rPr>
        <w:t xml:space="preserve"> of</w:t>
      </w:r>
      <w:r w:rsidRPr="00B03DB4">
        <w:rPr>
          <w:w w:val="103"/>
        </w:rPr>
        <w:t xml:space="preserve"> the F</w:t>
      </w:r>
      <w:r w:rsidR="00B73657">
        <w:rPr>
          <w:w w:val="103"/>
        </w:rPr>
        <w:t xml:space="preserve">ederal Circuit </w:t>
      </w:r>
      <w:r w:rsidRPr="00B03DB4">
        <w:rPr>
          <w:w w:val="103"/>
        </w:rPr>
        <w:t>C</w:t>
      </w:r>
      <w:r w:rsidR="00B73657">
        <w:rPr>
          <w:w w:val="103"/>
        </w:rPr>
        <w:t>ourt</w:t>
      </w:r>
      <w:r w:rsidRPr="00B03DB4">
        <w:rPr>
          <w:w w:val="103"/>
        </w:rPr>
        <w:t>’s decision before the Full Federal Court</w:t>
      </w:r>
      <w:r w:rsidR="00B73657">
        <w:rPr>
          <w:w w:val="103"/>
        </w:rPr>
        <w:t>, and</w:t>
      </w:r>
      <w:r w:rsidRPr="00B03DB4">
        <w:rPr>
          <w:w w:val="103"/>
        </w:rPr>
        <w:t xml:space="preserve"> the review of his requests </w:t>
      </w:r>
      <w:r w:rsidR="00B73657">
        <w:rPr>
          <w:w w:val="103"/>
        </w:rPr>
        <w:t xml:space="preserve">for ministerial intervention </w:t>
      </w:r>
      <w:r w:rsidRPr="00B03DB4">
        <w:rPr>
          <w:w w:val="103"/>
        </w:rPr>
        <w:t>of 26 September 2013 and 19 March 2014.</w:t>
      </w:r>
    </w:p>
    <w:p w14:paraId="6D0C3774" w14:textId="77777777" w:rsidR="00B03DB4" w:rsidRPr="00B03DB4" w:rsidRDefault="00B03DB4" w:rsidP="000B489C">
      <w:pPr>
        <w:pStyle w:val="SingleTxtG"/>
        <w:rPr>
          <w:w w:val="103"/>
        </w:rPr>
      </w:pPr>
      <w:r w:rsidRPr="00B03DB4">
        <w:rPr>
          <w:w w:val="103"/>
        </w:rPr>
        <w:t>4.7</w:t>
      </w:r>
      <w:r w:rsidR="00EC43B8">
        <w:rPr>
          <w:w w:val="103"/>
        </w:rPr>
        <w:tab/>
      </w:r>
      <w:r w:rsidRPr="00B03DB4">
        <w:rPr>
          <w:w w:val="103"/>
        </w:rPr>
        <w:t xml:space="preserve">In particular, the complainant lodged an application for </w:t>
      </w:r>
      <w:r w:rsidR="00B73657">
        <w:rPr>
          <w:w w:val="103"/>
        </w:rPr>
        <w:t xml:space="preserve">a </w:t>
      </w:r>
      <w:r w:rsidRPr="00B03DB4">
        <w:rPr>
          <w:w w:val="103"/>
        </w:rPr>
        <w:t>protection visa on 22 May 2012. He was granted a Bridging Visa on 3 July 2012 while his protection visa application was under consideration by the then Department of Immigration and Citizenship</w:t>
      </w:r>
      <w:r w:rsidR="000B489C">
        <w:rPr>
          <w:w w:val="103"/>
        </w:rPr>
        <w:t xml:space="preserve"> (</w:t>
      </w:r>
      <w:r w:rsidRPr="00B03DB4">
        <w:rPr>
          <w:w w:val="103"/>
        </w:rPr>
        <w:t>now the Department of Immigration and Border Protection). On 17</w:t>
      </w:r>
      <w:r w:rsidR="00EC43B8">
        <w:rPr>
          <w:w w:val="103"/>
        </w:rPr>
        <w:t> </w:t>
      </w:r>
      <w:r w:rsidRPr="00B03DB4">
        <w:rPr>
          <w:w w:val="103"/>
        </w:rPr>
        <w:t>August 2012, the complainant’s protection visa application was refused.</w:t>
      </w:r>
    </w:p>
    <w:p w14:paraId="08B8528F" w14:textId="77777777" w:rsidR="003E3C4A" w:rsidRPr="003E3C4A" w:rsidRDefault="003E3C4A" w:rsidP="00966F85">
      <w:pPr>
        <w:pStyle w:val="SingleTxtG"/>
        <w:rPr>
          <w:w w:val="103"/>
        </w:rPr>
      </w:pPr>
      <w:r w:rsidRPr="003E3C4A">
        <w:rPr>
          <w:w w:val="103"/>
        </w:rPr>
        <w:t xml:space="preserve">4.8 </w:t>
      </w:r>
      <w:r>
        <w:rPr>
          <w:w w:val="103"/>
        </w:rPr>
        <w:tab/>
      </w:r>
      <w:r w:rsidRPr="003E3C4A">
        <w:rPr>
          <w:w w:val="103"/>
        </w:rPr>
        <w:t xml:space="preserve">The State party submits that the </w:t>
      </w:r>
      <w:r w:rsidR="00966F85">
        <w:rPr>
          <w:w w:val="103"/>
        </w:rPr>
        <w:t>authorities</w:t>
      </w:r>
      <w:r w:rsidRPr="003E3C4A">
        <w:rPr>
          <w:w w:val="103"/>
        </w:rPr>
        <w:t xml:space="preserve"> interview</w:t>
      </w:r>
      <w:r w:rsidR="000B489C">
        <w:rPr>
          <w:w w:val="103"/>
        </w:rPr>
        <w:t>ed</w:t>
      </w:r>
      <w:r w:rsidRPr="003E3C4A">
        <w:rPr>
          <w:w w:val="103"/>
        </w:rPr>
        <w:t xml:space="preserve"> the complainant (with assistance of an interpreter) and also considered other relevant material</w:t>
      </w:r>
      <w:r w:rsidR="000B489C">
        <w:rPr>
          <w:w w:val="103"/>
        </w:rPr>
        <w:t>,</w:t>
      </w:r>
      <w:r w:rsidRPr="003E3C4A">
        <w:rPr>
          <w:w w:val="103"/>
        </w:rPr>
        <w:t xml:space="preserve"> such as country information provided by the Australian Department of Foreign Affairs and Trade. The </w:t>
      </w:r>
      <w:r w:rsidR="00966F85">
        <w:rPr>
          <w:w w:val="103"/>
        </w:rPr>
        <w:t>authorities</w:t>
      </w:r>
      <w:r w:rsidRPr="003E3C4A">
        <w:rPr>
          <w:w w:val="103"/>
        </w:rPr>
        <w:t xml:space="preserve"> considered all of the </w:t>
      </w:r>
      <w:r w:rsidR="000B489C">
        <w:rPr>
          <w:w w:val="103"/>
        </w:rPr>
        <w:t xml:space="preserve">claims made by the </w:t>
      </w:r>
      <w:r w:rsidRPr="003E3C4A">
        <w:rPr>
          <w:w w:val="103"/>
        </w:rPr>
        <w:t>complainant in his submission to the Committee and found th</w:t>
      </w:r>
      <w:r w:rsidR="000B489C">
        <w:rPr>
          <w:w w:val="103"/>
        </w:rPr>
        <w:t>e</w:t>
      </w:r>
      <w:r w:rsidRPr="003E3C4A">
        <w:rPr>
          <w:w w:val="103"/>
        </w:rPr>
        <w:t xml:space="preserve"> claims that he was told to leave Sri Lanka by the C</w:t>
      </w:r>
      <w:r w:rsidR="000B489C">
        <w:rPr>
          <w:w w:val="103"/>
        </w:rPr>
        <w:t xml:space="preserve">riminal </w:t>
      </w:r>
      <w:r w:rsidRPr="003E3C4A">
        <w:rPr>
          <w:w w:val="103"/>
        </w:rPr>
        <w:t>I</w:t>
      </w:r>
      <w:r w:rsidR="000B489C">
        <w:rPr>
          <w:w w:val="103"/>
        </w:rPr>
        <w:t xml:space="preserve">nvestigation </w:t>
      </w:r>
      <w:r w:rsidRPr="003E3C4A">
        <w:rPr>
          <w:w w:val="103"/>
        </w:rPr>
        <w:t>D</w:t>
      </w:r>
      <w:r w:rsidR="000B489C">
        <w:rPr>
          <w:w w:val="103"/>
        </w:rPr>
        <w:t>epartment</w:t>
      </w:r>
      <w:r w:rsidRPr="003E3C4A">
        <w:rPr>
          <w:w w:val="103"/>
        </w:rPr>
        <w:t>, that he continues to be of interest to the Sri Lankan authorities, that he hid in St</w:t>
      </w:r>
      <w:r w:rsidR="000B489C">
        <w:rPr>
          <w:w w:val="103"/>
        </w:rPr>
        <w:t>.</w:t>
      </w:r>
      <w:r w:rsidRPr="003E3C4A">
        <w:rPr>
          <w:w w:val="103"/>
        </w:rPr>
        <w:t xml:space="preserve"> John’s Church in Battic</w:t>
      </w:r>
      <w:r w:rsidR="000B489C">
        <w:rPr>
          <w:w w:val="103"/>
        </w:rPr>
        <w:t>a</w:t>
      </w:r>
      <w:r w:rsidRPr="003E3C4A">
        <w:rPr>
          <w:w w:val="103"/>
        </w:rPr>
        <w:t>l</w:t>
      </w:r>
      <w:r w:rsidR="000B489C">
        <w:rPr>
          <w:w w:val="103"/>
        </w:rPr>
        <w:t>oa</w:t>
      </w:r>
      <w:r w:rsidRPr="003E3C4A">
        <w:rPr>
          <w:w w:val="103"/>
        </w:rPr>
        <w:t>, and that armed men from the C</w:t>
      </w:r>
      <w:r w:rsidR="000B489C">
        <w:rPr>
          <w:w w:val="103"/>
        </w:rPr>
        <w:t xml:space="preserve">riminal </w:t>
      </w:r>
      <w:r w:rsidRPr="003E3C4A">
        <w:rPr>
          <w:w w:val="103"/>
        </w:rPr>
        <w:t>I</w:t>
      </w:r>
      <w:r w:rsidR="000B489C">
        <w:rPr>
          <w:w w:val="103"/>
        </w:rPr>
        <w:t xml:space="preserve">nvestigation </w:t>
      </w:r>
      <w:r w:rsidRPr="003E3C4A">
        <w:rPr>
          <w:w w:val="103"/>
        </w:rPr>
        <w:t>D</w:t>
      </w:r>
      <w:r w:rsidR="000B489C">
        <w:rPr>
          <w:w w:val="103"/>
        </w:rPr>
        <w:t>epartment had</w:t>
      </w:r>
      <w:r w:rsidRPr="003E3C4A">
        <w:rPr>
          <w:w w:val="103"/>
        </w:rPr>
        <w:t xml:space="preserve"> attacked his uncle were not credible. The </w:t>
      </w:r>
      <w:r w:rsidR="00966F85">
        <w:rPr>
          <w:w w:val="103"/>
        </w:rPr>
        <w:t>authorities</w:t>
      </w:r>
      <w:r w:rsidRPr="003E3C4A">
        <w:rPr>
          <w:w w:val="103"/>
        </w:rPr>
        <w:t xml:space="preserve"> </w:t>
      </w:r>
      <w:r w:rsidR="000B489C">
        <w:rPr>
          <w:w w:val="103"/>
        </w:rPr>
        <w:t>also</w:t>
      </w:r>
      <w:r w:rsidRPr="003E3C4A">
        <w:rPr>
          <w:w w:val="103"/>
        </w:rPr>
        <w:t xml:space="preserve"> concluded that the complainant does not have a significant profile that would draw </w:t>
      </w:r>
      <w:r w:rsidR="00966F85">
        <w:rPr>
          <w:w w:val="103"/>
        </w:rPr>
        <w:t>particular</w:t>
      </w:r>
      <w:r w:rsidRPr="003E3C4A">
        <w:rPr>
          <w:w w:val="103"/>
        </w:rPr>
        <w:t xml:space="preserve"> attention </w:t>
      </w:r>
      <w:r w:rsidR="00966F85">
        <w:rPr>
          <w:w w:val="103"/>
        </w:rPr>
        <w:t>of</w:t>
      </w:r>
      <w:r w:rsidRPr="003E3C4A">
        <w:rPr>
          <w:w w:val="103"/>
        </w:rPr>
        <w:t xml:space="preserve"> the Sri Lankan authorities and that as the majority of his family resides in Sri Lanka unharmed, his fear is based on a generali</w:t>
      </w:r>
      <w:r w:rsidR="000B489C">
        <w:rPr>
          <w:w w:val="103"/>
        </w:rPr>
        <w:t>z</w:t>
      </w:r>
      <w:r w:rsidRPr="003E3C4A">
        <w:rPr>
          <w:w w:val="103"/>
        </w:rPr>
        <w:t xml:space="preserve">ed or unsubstantiated fear. </w:t>
      </w:r>
      <w:r w:rsidR="00966F85">
        <w:rPr>
          <w:w w:val="103"/>
        </w:rPr>
        <w:t>Therefore</w:t>
      </w:r>
      <w:r w:rsidRPr="003E3C4A">
        <w:rPr>
          <w:w w:val="103"/>
        </w:rPr>
        <w:t xml:space="preserve">, given that </w:t>
      </w:r>
      <w:r w:rsidR="000B489C">
        <w:rPr>
          <w:w w:val="103"/>
        </w:rPr>
        <w:t>it did not have</w:t>
      </w:r>
      <w:r w:rsidRPr="003E3C4A">
        <w:rPr>
          <w:w w:val="103"/>
        </w:rPr>
        <w:t xml:space="preserve"> substantial grounds </w:t>
      </w:r>
      <w:r w:rsidR="000B489C">
        <w:rPr>
          <w:w w:val="103"/>
        </w:rPr>
        <w:t xml:space="preserve">for believing </w:t>
      </w:r>
      <w:r w:rsidRPr="003E3C4A">
        <w:rPr>
          <w:w w:val="103"/>
        </w:rPr>
        <w:t xml:space="preserve">that the complainant would face a foreseeable, real and personal risk of harm, </w:t>
      </w:r>
      <w:r w:rsidR="000B489C">
        <w:rPr>
          <w:w w:val="103"/>
        </w:rPr>
        <w:t xml:space="preserve">the authorities rejected </w:t>
      </w:r>
      <w:r w:rsidRPr="003E3C4A">
        <w:rPr>
          <w:w w:val="103"/>
        </w:rPr>
        <w:t>his protection visa application.</w:t>
      </w:r>
    </w:p>
    <w:p w14:paraId="2243DD57" w14:textId="77777777" w:rsidR="003E3C4A" w:rsidRPr="003E3C4A" w:rsidRDefault="003E3C4A" w:rsidP="00EC20C5">
      <w:pPr>
        <w:pStyle w:val="SingleTxtG"/>
        <w:rPr>
          <w:w w:val="103"/>
        </w:rPr>
      </w:pPr>
      <w:r w:rsidRPr="003E3C4A">
        <w:rPr>
          <w:w w:val="103"/>
        </w:rPr>
        <w:t xml:space="preserve">4.9 </w:t>
      </w:r>
      <w:r>
        <w:rPr>
          <w:w w:val="103"/>
        </w:rPr>
        <w:tab/>
      </w:r>
      <w:r w:rsidR="00847359">
        <w:rPr>
          <w:w w:val="103"/>
        </w:rPr>
        <w:t>T</w:t>
      </w:r>
      <w:r w:rsidRPr="003E3C4A">
        <w:rPr>
          <w:w w:val="103"/>
        </w:rPr>
        <w:t xml:space="preserve">he complainant subsequently </w:t>
      </w:r>
      <w:r w:rsidR="000B489C">
        <w:rPr>
          <w:w w:val="103"/>
        </w:rPr>
        <w:t>filed</w:t>
      </w:r>
      <w:r w:rsidRPr="003E3C4A">
        <w:rPr>
          <w:w w:val="103"/>
        </w:rPr>
        <w:t xml:space="preserve"> an application for</w:t>
      </w:r>
      <w:r w:rsidR="000B489C">
        <w:rPr>
          <w:w w:val="103"/>
        </w:rPr>
        <w:t xml:space="preserve"> an</w:t>
      </w:r>
      <w:r w:rsidRPr="003E3C4A">
        <w:rPr>
          <w:w w:val="103"/>
        </w:rPr>
        <w:t xml:space="preserve"> external merits review </w:t>
      </w:r>
      <w:r w:rsidR="00847359">
        <w:rPr>
          <w:w w:val="103"/>
        </w:rPr>
        <w:t>with</w:t>
      </w:r>
      <w:r w:rsidRPr="003E3C4A">
        <w:rPr>
          <w:w w:val="103"/>
        </w:rPr>
        <w:t xml:space="preserve"> the R</w:t>
      </w:r>
      <w:r w:rsidR="00847359">
        <w:rPr>
          <w:w w:val="103"/>
        </w:rPr>
        <w:t xml:space="preserve">efugee </w:t>
      </w:r>
      <w:r w:rsidRPr="003E3C4A">
        <w:rPr>
          <w:w w:val="103"/>
        </w:rPr>
        <w:t>R</w:t>
      </w:r>
      <w:r w:rsidR="00847359">
        <w:rPr>
          <w:w w:val="103"/>
        </w:rPr>
        <w:t xml:space="preserve">eview </w:t>
      </w:r>
      <w:r w:rsidRPr="003E3C4A">
        <w:rPr>
          <w:w w:val="103"/>
        </w:rPr>
        <w:t>T</w:t>
      </w:r>
      <w:r w:rsidR="00847359">
        <w:rPr>
          <w:w w:val="103"/>
        </w:rPr>
        <w:t>ribunal</w:t>
      </w:r>
      <w:r w:rsidR="00966F85">
        <w:rPr>
          <w:w w:val="103"/>
        </w:rPr>
        <w:t>. Such review</w:t>
      </w:r>
      <w:r w:rsidRPr="003E3C4A">
        <w:rPr>
          <w:w w:val="103"/>
        </w:rPr>
        <w:t xml:space="preserve"> is </w:t>
      </w:r>
      <w:r w:rsidR="00386DD6">
        <w:rPr>
          <w:w w:val="103"/>
        </w:rPr>
        <w:t xml:space="preserve">normally </w:t>
      </w:r>
      <w:r w:rsidR="00847359">
        <w:rPr>
          <w:w w:val="103"/>
        </w:rPr>
        <w:t xml:space="preserve">carried out by </w:t>
      </w:r>
      <w:r w:rsidRPr="003E3C4A">
        <w:rPr>
          <w:w w:val="103"/>
        </w:rPr>
        <w:t xml:space="preserve">a special external review body </w:t>
      </w:r>
      <w:r w:rsidR="00966F85">
        <w:rPr>
          <w:w w:val="103"/>
        </w:rPr>
        <w:t>that</w:t>
      </w:r>
      <w:r w:rsidRPr="003E3C4A">
        <w:rPr>
          <w:w w:val="103"/>
        </w:rPr>
        <w:t xml:space="preserve"> provides</w:t>
      </w:r>
      <w:r w:rsidR="00847359">
        <w:rPr>
          <w:w w:val="103"/>
        </w:rPr>
        <w:t xml:space="preserve"> a</w:t>
      </w:r>
      <w:r w:rsidRPr="003E3C4A">
        <w:rPr>
          <w:w w:val="103"/>
        </w:rPr>
        <w:t xml:space="preserve"> full and independent review of decisions concerning protection visas. On 14 May 2013, the </w:t>
      </w:r>
      <w:r w:rsidR="00847359">
        <w:rPr>
          <w:w w:val="103"/>
        </w:rPr>
        <w:t>Tribunal</w:t>
      </w:r>
      <w:r w:rsidRPr="003E3C4A">
        <w:rPr>
          <w:w w:val="103"/>
        </w:rPr>
        <w:t xml:space="preserve"> affirmed the </w:t>
      </w:r>
      <w:r w:rsidR="00847359" w:rsidRPr="00B03DB4">
        <w:rPr>
          <w:w w:val="103"/>
        </w:rPr>
        <w:t>Department of Immigration and Border Protection</w:t>
      </w:r>
      <w:r w:rsidR="00386DD6">
        <w:rPr>
          <w:w w:val="103"/>
        </w:rPr>
        <w:t>’s decision</w:t>
      </w:r>
      <w:r w:rsidRPr="003E3C4A">
        <w:rPr>
          <w:w w:val="103"/>
        </w:rPr>
        <w:t xml:space="preserve"> not to grant the complainant a protection visa. In th</w:t>
      </w:r>
      <w:r w:rsidR="00847359">
        <w:rPr>
          <w:w w:val="103"/>
        </w:rPr>
        <w:t>at</w:t>
      </w:r>
      <w:r w:rsidRPr="003E3C4A">
        <w:rPr>
          <w:w w:val="103"/>
        </w:rPr>
        <w:t xml:space="preserve"> connection, the State party notes that the complainant was present at the </w:t>
      </w:r>
      <w:r w:rsidR="00847359">
        <w:rPr>
          <w:w w:val="103"/>
        </w:rPr>
        <w:t>Tribunal</w:t>
      </w:r>
      <w:r w:rsidRPr="003E3C4A">
        <w:rPr>
          <w:w w:val="103"/>
        </w:rPr>
        <w:t xml:space="preserve"> hearing and was represented by a registered migration </w:t>
      </w:r>
      <w:r w:rsidR="00847359">
        <w:rPr>
          <w:w w:val="103"/>
        </w:rPr>
        <w:t>officer</w:t>
      </w:r>
      <w:r w:rsidRPr="003E3C4A">
        <w:rPr>
          <w:w w:val="103"/>
        </w:rPr>
        <w:t>. He was able to make oral submissions with the assistance of an interpreter.</w:t>
      </w:r>
    </w:p>
    <w:p w14:paraId="208F1E96" w14:textId="77777777" w:rsidR="003E3C4A" w:rsidRPr="003E3C4A" w:rsidRDefault="003E3C4A" w:rsidP="001509D6">
      <w:pPr>
        <w:pStyle w:val="SingleTxtG"/>
        <w:rPr>
          <w:w w:val="103"/>
        </w:rPr>
      </w:pPr>
      <w:r w:rsidRPr="003E3C4A">
        <w:rPr>
          <w:w w:val="103"/>
        </w:rPr>
        <w:t xml:space="preserve">4.10 </w:t>
      </w:r>
      <w:r>
        <w:rPr>
          <w:w w:val="103"/>
        </w:rPr>
        <w:tab/>
      </w:r>
      <w:r w:rsidRPr="003E3C4A">
        <w:rPr>
          <w:w w:val="103"/>
        </w:rPr>
        <w:t>The R</w:t>
      </w:r>
      <w:r w:rsidR="00847359">
        <w:rPr>
          <w:w w:val="103"/>
        </w:rPr>
        <w:t xml:space="preserve">efugee </w:t>
      </w:r>
      <w:r w:rsidRPr="003E3C4A">
        <w:rPr>
          <w:w w:val="103"/>
        </w:rPr>
        <w:t>R</w:t>
      </w:r>
      <w:r w:rsidR="00847359">
        <w:rPr>
          <w:w w:val="103"/>
        </w:rPr>
        <w:t xml:space="preserve">eview </w:t>
      </w:r>
      <w:r w:rsidRPr="003E3C4A">
        <w:rPr>
          <w:w w:val="103"/>
        </w:rPr>
        <w:t>T</w:t>
      </w:r>
      <w:r w:rsidR="00847359">
        <w:rPr>
          <w:w w:val="103"/>
        </w:rPr>
        <w:t>ribunal</w:t>
      </w:r>
      <w:r w:rsidRPr="003E3C4A">
        <w:rPr>
          <w:w w:val="103"/>
        </w:rPr>
        <w:t xml:space="preserve"> did not accept as credible the complainant’s claims</w:t>
      </w:r>
      <w:r w:rsidR="00386DD6">
        <w:rPr>
          <w:w w:val="103"/>
        </w:rPr>
        <w:t>:</w:t>
      </w:r>
      <w:r w:rsidRPr="003E3C4A">
        <w:rPr>
          <w:w w:val="103"/>
        </w:rPr>
        <w:t xml:space="preserve"> that he left Sri Lanka in either 2010 or 2012 because he feared </w:t>
      </w:r>
      <w:r w:rsidR="00847359">
        <w:rPr>
          <w:w w:val="103"/>
        </w:rPr>
        <w:t xml:space="preserve">being </w:t>
      </w:r>
      <w:r w:rsidRPr="003E3C4A">
        <w:rPr>
          <w:w w:val="103"/>
        </w:rPr>
        <w:t>harm</w:t>
      </w:r>
      <w:r w:rsidR="00847359">
        <w:rPr>
          <w:w w:val="103"/>
        </w:rPr>
        <w:t>ed by</w:t>
      </w:r>
      <w:r w:rsidRPr="003E3C4A">
        <w:rPr>
          <w:w w:val="103"/>
        </w:rPr>
        <w:t xml:space="preserve"> the Sri Lankan authorities; that he was detained for the reasons he claimed in September 2010</w:t>
      </w:r>
      <w:r w:rsidR="00847359">
        <w:rPr>
          <w:w w:val="103"/>
        </w:rPr>
        <w:t>;</w:t>
      </w:r>
      <w:r w:rsidRPr="003E3C4A">
        <w:rPr>
          <w:w w:val="103"/>
        </w:rPr>
        <w:t xml:space="preserve"> that he left Sri Lanka because the C</w:t>
      </w:r>
      <w:r w:rsidR="00847359">
        <w:rPr>
          <w:w w:val="103"/>
        </w:rPr>
        <w:t xml:space="preserve">riminal </w:t>
      </w:r>
      <w:r w:rsidRPr="003E3C4A">
        <w:rPr>
          <w:w w:val="103"/>
        </w:rPr>
        <w:t>I</w:t>
      </w:r>
      <w:r w:rsidR="00847359">
        <w:rPr>
          <w:w w:val="103"/>
        </w:rPr>
        <w:t xml:space="preserve">nvestigation </w:t>
      </w:r>
      <w:r w:rsidRPr="003E3C4A">
        <w:rPr>
          <w:w w:val="103"/>
        </w:rPr>
        <w:t>D</w:t>
      </w:r>
      <w:r w:rsidR="00847359">
        <w:rPr>
          <w:w w:val="103"/>
        </w:rPr>
        <w:t>epartment had</w:t>
      </w:r>
      <w:r w:rsidRPr="003E3C4A">
        <w:rPr>
          <w:w w:val="103"/>
        </w:rPr>
        <w:t xml:space="preserve"> threatened him and told him to leave</w:t>
      </w:r>
      <w:r w:rsidR="00847359">
        <w:rPr>
          <w:w w:val="103"/>
        </w:rPr>
        <w:t xml:space="preserve"> the country</w:t>
      </w:r>
      <w:r w:rsidRPr="003E3C4A">
        <w:rPr>
          <w:w w:val="103"/>
        </w:rPr>
        <w:t>; that he was hiding at any time for the reasons claimed</w:t>
      </w:r>
      <w:r w:rsidR="00847359">
        <w:rPr>
          <w:w w:val="103"/>
        </w:rPr>
        <w:t>;</w:t>
      </w:r>
      <w:r w:rsidRPr="003E3C4A">
        <w:rPr>
          <w:w w:val="103"/>
        </w:rPr>
        <w:t xml:space="preserve"> or that his uncle was assaulted </w:t>
      </w:r>
      <w:r w:rsidR="00847359">
        <w:rPr>
          <w:w w:val="103"/>
        </w:rPr>
        <w:t>and</w:t>
      </w:r>
      <w:r w:rsidRPr="003E3C4A">
        <w:rPr>
          <w:w w:val="103"/>
        </w:rPr>
        <w:t xml:space="preserve"> </w:t>
      </w:r>
      <w:r w:rsidR="00847359">
        <w:rPr>
          <w:w w:val="103"/>
        </w:rPr>
        <w:t xml:space="preserve">his </w:t>
      </w:r>
      <w:r w:rsidRPr="003E3C4A">
        <w:rPr>
          <w:w w:val="103"/>
        </w:rPr>
        <w:t xml:space="preserve">father </w:t>
      </w:r>
      <w:r w:rsidR="00847359">
        <w:rPr>
          <w:w w:val="103"/>
        </w:rPr>
        <w:t xml:space="preserve">was </w:t>
      </w:r>
      <w:r w:rsidRPr="003E3C4A">
        <w:rPr>
          <w:w w:val="103"/>
        </w:rPr>
        <w:t>killed for the reasons claimed</w:t>
      </w:r>
      <w:r w:rsidR="00203018">
        <w:rPr>
          <w:w w:val="103"/>
        </w:rPr>
        <w:t>.</w:t>
      </w:r>
      <w:r w:rsidRPr="003E3C4A">
        <w:rPr>
          <w:w w:val="103"/>
        </w:rPr>
        <w:t xml:space="preserve"> Furthermore, the T</w:t>
      </w:r>
      <w:r w:rsidR="00847359">
        <w:rPr>
          <w:w w:val="103"/>
        </w:rPr>
        <w:t>ribunal</w:t>
      </w:r>
      <w:r w:rsidRPr="003E3C4A">
        <w:rPr>
          <w:w w:val="103"/>
        </w:rPr>
        <w:t xml:space="preserve"> found that if the complainant was of interest to the C</w:t>
      </w:r>
      <w:r w:rsidR="00847359">
        <w:rPr>
          <w:w w:val="103"/>
        </w:rPr>
        <w:t xml:space="preserve">riminal </w:t>
      </w:r>
      <w:r w:rsidRPr="003E3C4A">
        <w:rPr>
          <w:w w:val="103"/>
        </w:rPr>
        <w:t>I</w:t>
      </w:r>
      <w:r w:rsidR="00847359">
        <w:rPr>
          <w:w w:val="103"/>
        </w:rPr>
        <w:t xml:space="preserve">nvestigation </w:t>
      </w:r>
      <w:r w:rsidRPr="003E3C4A">
        <w:rPr>
          <w:w w:val="103"/>
        </w:rPr>
        <w:t>D</w:t>
      </w:r>
      <w:r w:rsidR="00847359">
        <w:rPr>
          <w:w w:val="103"/>
        </w:rPr>
        <w:t>epartment</w:t>
      </w:r>
      <w:r w:rsidRPr="003E3C4A">
        <w:rPr>
          <w:w w:val="103"/>
        </w:rPr>
        <w:t xml:space="preserve"> as claimed, he would not have been able to re-enter Sri Lanka </w:t>
      </w:r>
      <w:r w:rsidR="00386DD6">
        <w:rPr>
          <w:w w:val="103"/>
        </w:rPr>
        <w:t xml:space="preserve">in 2011 </w:t>
      </w:r>
      <w:r w:rsidRPr="003E3C4A">
        <w:rPr>
          <w:w w:val="103"/>
        </w:rPr>
        <w:t xml:space="preserve">following his travels in Africa without attracting the authorities’ attention. </w:t>
      </w:r>
      <w:r w:rsidR="00847359">
        <w:rPr>
          <w:w w:val="103"/>
        </w:rPr>
        <w:t>The Tribunal</w:t>
      </w:r>
      <w:r w:rsidRPr="003E3C4A">
        <w:rPr>
          <w:w w:val="103"/>
        </w:rPr>
        <w:t xml:space="preserve"> concluded that there were no substantial grounds for believing that there was a real risk of the complainant be</w:t>
      </w:r>
      <w:r w:rsidR="00847359">
        <w:rPr>
          <w:w w:val="103"/>
        </w:rPr>
        <w:t>ing</w:t>
      </w:r>
      <w:r w:rsidRPr="003E3C4A">
        <w:rPr>
          <w:w w:val="103"/>
        </w:rPr>
        <w:t xml:space="preserve"> subjected to torture if removed to Sri Lanka</w:t>
      </w:r>
      <w:r w:rsidR="00203018">
        <w:rPr>
          <w:w w:val="103"/>
        </w:rPr>
        <w:t>.</w:t>
      </w:r>
    </w:p>
    <w:p w14:paraId="2D951B03" w14:textId="77777777" w:rsidR="003E3C4A" w:rsidRPr="003E3C4A" w:rsidRDefault="003E3C4A" w:rsidP="001D6D81">
      <w:pPr>
        <w:pStyle w:val="SingleTxtG"/>
        <w:rPr>
          <w:w w:val="103"/>
        </w:rPr>
      </w:pPr>
      <w:r w:rsidRPr="003E3C4A">
        <w:rPr>
          <w:w w:val="103"/>
        </w:rPr>
        <w:t xml:space="preserve">4.11 </w:t>
      </w:r>
      <w:r>
        <w:rPr>
          <w:w w:val="103"/>
        </w:rPr>
        <w:tab/>
      </w:r>
      <w:r w:rsidR="00847359">
        <w:rPr>
          <w:w w:val="103"/>
        </w:rPr>
        <w:t>T</w:t>
      </w:r>
      <w:r w:rsidRPr="003E3C4A">
        <w:rPr>
          <w:w w:val="103"/>
        </w:rPr>
        <w:t xml:space="preserve">he State party </w:t>
      </w:r>
      <w:r w:rsidR="001D6D81">
        <w:rPr>
          <w:w w:val="103"/>
        </w:rPr>
        <w:t xml:space="preserve">also </w:t>
      </w:r>
      <w:r w:rsidRPr="003E3C4A">
        <w:rPr>
          <w:w w:val="103"/>
        </w:rPr>
        <w:t>notes that</w:t>
      </w:r>
      <w:r w:rsidR="00847359">
        <w:rPr>
          <w:w w:val="103"/>
        </w:rPr>
        <w:t>,</w:t>
      </w:r>
      <w:r w:rsidRPr="003E3C4A">
        <w:rPr>
          <w:w w:val="103"/>
        </w:rPr>
        <w:t xml:space="preserve"> on 3 September 2013, the F</w:t>
      </w:r>
      <w:r w:rsidR="00847359">
        <w:rPr>
          <w:w w:val="103"/>
        </w:rPr>
        <w:t xml:space="preserve">ederal </w:t>
      </w:r>
      <w:r w:rsidRPr="003E3C4A">
        <w:rPr>
          <w:w w:val="103"/>
        </w:rPr>
        <w:t>C</w:t>
      </w:r>
      <w:r w:rsidR="00847359">
        <w:rPr>
          <w:w w:val="103"/>
        </w:rPr>
        <w:t xml:space="preserve">ircuit </w:t>
      </w:r>
      <w:r w:rsidRPr="003E3C4A">
        <w:rPr>
          <w:w w:val="103"/>
        </w:rPr>
        <w:t>C</w:t>
      </w:r>
      <w:r w:rsidR="00847359">
        <w:rPr>
          <w:w w:val="103"/>
        </w:rPr>
        <w:t>ourt</w:t>
      </w:r>
      <w:r w:rsidRPr="003E3C4A">
        <w:rPr>
          <w:w w:val="103"/>
        </w:rPr>
        <w:t xml:space="preserve"> dismissed the complainant’s application for judicial review of the R</w:t>
      </w:r>
      <w:r w:rsidR="00847359">
        <w:rPr>
          <w:w w:val="103"/>
        </w:rPr>
        <w:t xml:space="preserve">efugee </w:t>
      </w:r>
      <w:r w:rsidRPr="003E3C4A">
        <w:rPr>
          <w:w w:val="103"/>
        </w:rPr>
        <w:t>R</w:t>
      </w:r>
      <w:r w:rsidR="00847359">
        <w:rPr>
          <w:w w:val="103"/>
        </w:rPr>
        <w:t xml:space="preserve">eview </w:t>
      </w:r>
      <w:r w:rsidRPr="003E3C4A">
        <w:rPr>
          <w:w w:val="103"/>
        </w:rPr>
        <w:t>T</w:t>
      </w:r>
      <w:r w:rsidR="00847359">
        <w:rPr>
          <w:w w:val="103"/>
        </w:rPr>
        <w:t>ribunal</w:t>
      </w:r>
      <w:r w:rsidR="00386DD6">
        <w:rPr>
          <w:w w:val="103"/>
        </w:rPr>
        <w:t>’s</w:t>
      </w:r>
      <w:r w:rsidRPr="003E3C4A">
        <w:rPr>
          <w:w w:val="103"/>
        </w:rPr>
        <w:t xml:space="preserve"> decision. The complainant was present at the C</w:t>
      </w:r>
      <w:r w:rsidR="00847359">
        <w:rPr>
          <w:w w:val="103"/>
        </w:rPr>
        <w:t xml:space="preserve">ircuit </w:t>
      </w:r>
      <w:r w:rsidRPr="003E3C4A">
        <w:rPr>
          <w:w w:val="103"/>
        </w:rPr>
        <w:t>C</w:t>
      </w:r>
      <w:r w:rsidR="00847359">
        <w:rPr>
          <w:w w:val="103"/>
        </w:rPr>
        <w:t>ourt</w:t>
      </w:r>
      <w:r w:rsidRPr="003E3C4A">
        <w:rPr>
          <w:w w:val="103"/>
        </w:rPr>
        <w:t xml:space="preserve"> hearing and made oral submissions. In particular, the C</w:t>
      </w:r>
      <w:r w:rsidR="00847359">
        <w:rPr>
          <w:w w:val="103"/>
        </w:rPr>
        <w:t xml:space="preserve">ircuit </w:t>
      </w:r>
      <w:r w:rsidRPr="003E3C4A">
        <w:rPr>
          <w:w w:val="103"/>
        </w:rPr>
        <w:t>C</w:t>
      </w:r>
      <w:r w:rsidR="00847359">
        <w:rPr>
          <w:w w:val="103"/>
        </w:rPr>
        <w:t>ourt</w:t>
      </w:r>
      <w:r w:rsidRPr="003E3C4A">
        <w:rPr>
          <w:w w:val="103"/>
        </w:rPr>
        <w:t xml:space="preserve"> concluded that the complainant was not able to point to any procedural error </w:t>
      </w:r>
      <w:r w:rsidR="00847359">
        <w:rPr>
          <w:w w:val="103"/>
        </w:rPr>
        <w:t>on the part of</w:t>
      </w:r>
      <w:r w:rsidRPr="003E3C4A">
        <w:rPr>
          <w:w w:val="103"/>
        </w:rPr>
        <w:t xml:space="preserve"> the </w:t>
      </w:r>
      <w:r w:rsidR="00847359">
        <w:rPr>
          <w:w w:val="103"/>
        </w:rPr>
        <w:t>Tribunal</w:t>
      </w:r>
      <w:r w:rsidRPr="003E3C4A">
        <w:rPr>
          <w:w w:val="103"/>
        </w:rPr>
        <w:t>. Thereafter, the complainant applied for leave to appeal the C</w:t>
      </w:r>
      <w:r w:rsidR="00847359">
        <w:rPr>
          <w:w w:val="103"/>
        </w:rPr>
        <w:t xml:space="preserve">ircuit </w:t>
      </w:r>
      <w:r w:rsidRPr="003E3C4A">
        <w:rPr>
          <w:w w:val="103"/>
        </w:rPr>
        <w:t>C</w:t>
      </w:r>
      <w:r w:rsidR="00847359">
        <w:rPr>
          <w:w w:val="103"/>
        </w:rPr>
        <w:t>ourt</w:t>
      </w:r>
      <w:r w:rsidRPr="003E3C4A">
        <w:rPr>
          <w:w w:val="103"/>
        </w:rPr>
        <w:t xml:space="preserve"> decision</w:t>
      </w:r>
      <w:r w:rsidR="00847359">
        <w:rPr>
          <w:w w:val="103"/>
        </w:rPr>
        <w:t xml:space="preserve">; </w:t>
      </w:r>
      <w:r w:rsidRPr="003E3C4A">
        <w:rPr>
          <w:w w:val="103"/>
        </w:rPr>
        <w:t>on 20 November 2013, the Full Federal Court of Australia dismissed his application</w:t>
      </w:r>
      <w:r w:rsidR="00847359">
        <w:rPr>
          <w:w w:val="103"/>
        </w:rPr>
        <w:t>, stating</w:t>
      </w:r>
      <w:r w:rsidRPr="003E3C4A">
        <w:rPr>
          <w:w w:val="103"/>
        </w:rPr>
        <w:t xml:space="preserve"> that no error had been made by either the R</w:t>
      </w:r>
      <w:r w:rsidR="00D84D5C">
        <w:rPr>
          <w:w w:val="103"/>
        </w:rPr>
        <w:t xml:space="preserve">efugee </w:t>
      </w:r>
      <w:r w:rsidRPr="003E3C4A">
        <w:rPr>
          <w:w w:val="103"/>
        </w:rPr>
        <w:t>R</w:t>
      </w:r>
      <w:r w:rsidR="00D84D5C">
        <w:rPr>
          <w:w w:val="103"/>
        </w:rPr>
        <w:t xml:space="preserve">eview </w:t>
      </w:r>
      <w:r w:rsidRPr="003E3C4A">
        <w:rPr>
          <w:w w:val="103"/>
        </w:rPr>
        <w:t>T</w:t>
      </w:r>
      <w:r w:rsidR="00D84D5C">
        <w:rPr>
          <w:w w:val="103"/>
        </w:rPr>
        <w:t>ribunal</w:t>
      </w:r>
      <w:r w:rsidRPr="003E3C4A">
        <w:rPr>
          <w:w w:val="103"/>
        </w:rPr>
        <w:t xml:space="preserve"> or the F</w:t>
      </w:r>
      <w:r w:rsidR="00D84D5C">
        <w:rPr>
          <w:w w:val="103"/>
        </w:rPr>
        <w:t xml:space="preserve">ederal </w:t>
      </w:r>
      <w:r w:rsidRPr="003E3C4A">
        <w:rPr>
          <w:w w:val="103"/>
        </w:rPr>
        <w:t>C</w:t>
      </w:r>
      <w:r w:rsidR="00D84D5C">
        <w:rPr>
          <w:w w:val="103"/>
        </w:rPr>
        <w:t xml:space="preserve">ircuit </w:t>
      </w:r>
      <w:r w:rsidRPr="003E3C4A">
        <w:rPr>
          <w:w w:val="103"/>
        </w:rPr>
        <w:t>C</w:t>
      </w:r>
      <w:r w:rsidR="00D84D5C">
        <w:rPr>
          <w:w w:val="103"/>
        </w:rPr>
        <w:t>ourt</w:t>
      </w:r>
      <w:r w:rsidRPr="003E3C4A">
        <w:rPr>
          <w:w w:val="103"/>
        </w:rPr>
        <w:t>. In th</w:t>
      </w:r>
      <w:r w:rsidR="00D84D5C">
        <w:rPr>
          <w:w w:val="103"/>
        </w:rPr>
        <w:t>at</w:t>
      </w:r>
      <w:r w:rsidRPr="003E3C4A">
        <w:rPr>
          <w:w w:val="103"/>
        </w:rPr>
        <w:t xml:space="preserve"> regard, the State party notes that the complainant was present at the hearing of his application for special leave and could </w:t>
      </w:r>
      <w:r w:rsidR="00D84D5C">
        <w:rPr>
          <w:w w:val="103"/>
        </w:rPr>
        <w:t xml:space="preserve">have </w:t>
      </w:r>
      <w:r w:rsidRPr="003E3C4A">
        <w:rPr>
          <w:w w:val="103"/>
        </w:rPr>
        <w:t>ma</w:t>
      </w:r>
      <w:r w:rsidR="00D84D5C">
        <w:rPr>
          <w:w w:val="103"/>
        </w:rPr>
        <w:t>d</w:t>
      </w:r>
      <w:r w:rsidRPr="003E3C4A">
        <w:rPr>
          <w:w w:val="103"/>
        </w:rPr>
        <w:t>e oral submissions.</w:t>
      </w:r>
    </w:p>
    <w:p w14:paraId="4C3A169C" w14:textId="77777777" w:rsidR="003E3C4A" w:rsidRPr="003E3C4A" w:rsidRDefault="003E3C4A" w:rsidP="001D6D81">
      <w:pPr>
        <w:pStyle w:val="SingleTxtG"/>
        <w:rPr>
          <w:w w:val="103"/>
        </w:rPr>
      </w:pPr>
      <w:r w:rsidRPr="003E3C4A">
        <w:rPr>
          <w:w w:val="103"/>
        </w:rPr>
        <w:t xml:space="preserve">4.12 </w:t>
      </w:r>
      <w:r>
        <w:rPr>
          <w:w w:val="103"/>
        </w:rPr>
        <w:tab/>
      </w:r>
      <w:r w:rsidRPr="003E3C4A">
        <w:rPr>
          <w:w w:val="103"/>
        </w:rPr>
        <w:t xml:space="preserve">On 26 November 2013, the complainant </w:t>
      </w:r>
      <w:r w:rsidR="00D84D5C">
        <w:rPr>
          <w:w w:val="103"/>
        </w:rPr>
        <w:t xml:space="preserve">filed </w:t>
      </w:r>
      <w:r w:rsidRPr="003E3C4A">
        <w:rPr>
          <w:w w:val="103"/>
        </w:rPr>
        <w:t xml:space="preserve">a request for </w:t>
      </w:r>
      <w:r w:rsidR="00D84D5C">
        <w:rPr>
          <w:w w:val="103"/>
        </w:rPr>
        <w:t>m</w:t>
      </w:r>
      <w:r w:rsidRPr="003E3C4A">
        <w:rPr>
          <w:w w:val="103"/>
        </w:rPr>
        <w:t xml:space="preserve">inisterial </w:t>
      </w:r>
      <w:r w:rsidR="00D84D5C">
        <w:rPr>
          <w:w w:val="103"/>
        </w:rPr>
        <w:t>i</w:t>
      </w:r>
      <w:r w:rsidRPr="003E3C4A">
        <w:rPr>
          <w:w w:val="103"/>
        </w:rPr>
        <w:t>ntervention under section</w:t>
      </w:r>
      <w:r w:rsidR="00D84D5C">
        <w:rPr>
          <w:w w:val="103"/>
        </w:rPr>
        <w:t>s</w:t>
      </w:r>
      <w:r w:rsidRPr="003E3C4A">
        <w:rPr>
          <w:w w:val="103"/>
        </w:rPr>
        <w:t xml:space="preserve"> 417 and 48B of the </w:t>
      </w:r>
      <w:r w:rsidR="00D84D5C">
        <w:rPr>
          <w:w w:val="103"/>
        </w:rPr>
        <w:t xml:space="preserve">Migration </w:t>
      </w:r>
      <w:r w:rsidRPr="003E3C4A">
        <w:rPr>
          <w:w w:val="103"/>
        </w:rPr>
        <w:t>Act. The claims made by the complainant were assessed again in full, with consideration also given to the decision</w:t>
      </w:r>
      <w:r w:rsidR="00D84D5C">
        <w:rPr>
          <w:w w:val="103"/>
        </w:rPr>
        <w:t>s of</w:t>
      </w:r>
      <w:r w:rsidRPr="003E3C4A">
        <w:rPr>
          <w:w w:val="103"/>
        </w:rPr>
        <w:t xml:space="preserve"> the R</w:t>
      </w:r>
      <w:r w:rsidR="00D84D5C">
        <w:rPr>
          <w:w w:val="103"/>
        </w:rPr>
        <w:t xml:space="preserve">efugee </w:t>
      </w:r>
      <w:r w:rsidRPr="003E3C4A">
        <w:rPr>
          <w:w w:val="103"/>
        </w:rPr>
        <w:t>R</w:t>
      </w:r>
      <w:r w:rsidR="00D84D5C">
        <w:rPr>
          <w:w w:val="103"/>
        </w:rPr>
        <w:t xml:space="preserve">eview </w:t>
      </w:r>
      <w:r w:rsidRPr="003E3C4A">
        <w:rPr>
          <w:w w:val="103"/>
        </w:rPr>
        <w:t>T</w:t>
      </w:r>
      <w:r w:rsidR="00D84D5C">
        <w:rPr>
          <w:w w:val="103"/>
        </w:rPr>
        <w:t>ribunal</w:t>
      </w:r>
      <w:r w:rsidRPr="003E3C4A">
        <w:rPr>
          <w:w w:val="103"/>
        </w:rPr>
        <w:t xml:space="preserve"> and </w:t>
      </w:r>
      <w:r w:rsidR="00D84D5C">
        <w:rPr>
          <w:w w:val="103"/>
        </w:rPr>
        <w:t xml:space="preserve">the </w:t>
      </w:r>
      <w:r w:rsidRPr="003E3C4A">
        <w:rPr>
          <w:w w:val="103"/>
        </w:rPr>
        <w:t>F</w:t>
      </w:r>
      <w:r w:rsidR="00D84D5C">
        <w:rPr>
          <w:w w:val="103"/>
        </w:rPr>
        <w:t xml:space="preserve">ederal </w:t>
      </w:r>
      <w:r w:rsidRPr="003E3C4A">
        <w:rPr>
          <w:w w:val="103"/>
        </w:rPr>
        <w:t>C</w:t>
      </w:r>
      <w:r w:rsidR="00D84D5C">
        <w:rPr>
          <w:w w:val="103"/>
        </w:rPr>
        <w:t xml:space="preserve">ircuit </w:t>
      </w:r>
      <w:r w:rsidRPr="003E3C4A">
        <w:rPr>
          <w:w w:val="103"/>
        </w:rPr>
        <w:t>C</w:t>
      </w:r>
      <w:r w:rsidR="00D84D5C">
        <w:rPr>
          <w:w w:val="103"/>
        </w:rPr>
        <w:t>ourt</w:t>
      </w:r>
      <w:r w:rsidRPr="003E3C4A">
        <w:rPr>
          <w:w w:val="103"/>
        </w:rPr>
        <w:t>; however</w:t>
      </w:r>
      <w:r w:rsidR="00D84D5C">
        <w:rPr>
          <w:w w:val="103"/>
        </w:rPr>
        <w:t>,</w:t>
      </w:r>
      <w:r w:rsidRPr="003E3C4A">
        <w:rPr>
          <w:w w:val="103"/>
        </w:rPr>
        <w:t xml:space="preserve"> his request for </w:t>
      </w:r>
      <w:r w:rsidR="00D84D5C">
        <w:rPr>
          <w:w w:val="103"/>
        </w:rPr>
        <w:t>ministerial</w:t>
      </w:r>
      <w:r w:rsidR="001D6D81">
        <w:rPr>
          <w:w w:val="103"/>
        </w:rPr>
        <w:t xml:space="preserve"> </w:t>
      </w:r>
      <w:r w:rsidRPr="003E3C4A">
        <w:rPr>
          <w:w w:val="103"/>
        </w:rPr>
        <w:t xml:space="preserve">intervention was rejected as he had not provided any further information </w:t>
      </w:r>
      <w:r w:rsidR="001D6D81">
        <w:rPr>
          <w:w w:val="103"/>
        </w:rPr>
        <w:t xml:space="preserve">to </w:t>
      </w:r>
      <w:r w:rsidRPr="003E3C4A">
        <w:rPr>
          <w:w w:val="103"/>
        </w:rPr>
        <w:t xml:space="preserve">justify </w:t>
      </w:r>
      <w:r w:rsidR="00D84D5C">
        <w:rPr>
          <w:w w:val="103"/>
        </w:rPr>
        <w:t>m</w:t>
      </w:r>
      <w:r w:rsidRPr="003E3C4A">
        <w:rPr>
          <w:w w:val="103"/>
        </w:rPr>
        <w:t xml:space="preserve">inisterial </w:t>
      </w:r>
      <w:r w:rsidR="00D84D5C">
        <w:rPr>
          <w:w w:val="103"/>
        </w:rPr>
        <w:t>i</w:t>
      </w:r>
      <w:r w:rsidRPr="003E3C4A">
        <w:rPr>
          <w:w w:val="103"/>
        </w:rPr>
        <w:t xml:space="preserve">ntervention. </w:t>
      </w:r>
    </w:p>
    <w:p w14:paraId="6B823450" w14:textId="77777777" w:rsidR="00454240" w:rsidRDefault="003E3C4A" w:rsidP="00EC20C5">
      <w:pPr>
        <w:pStyle w:val="SingleTxtG"/>
      </w:pPr>
      <w:r w:rsidRPr="003E3C4A">
        <w:rPr>
          <w:w w:val="103"/>
        </w:rPr>
        <w:t xml:space="preserve">4.13 </w:t>
      </w:r>
      <w:r w:rsidR="00454240">
        <w:rPr>
          <w:w w:val="103"/>
        </w:rPr>
        <w:tab/>
      </w:r>
      <w:r w:rsidRPr="003E3C4A">
        <w:rPr>
          <w:w w:val="103"/>
        </w:rPr>
        <w:t>The State party further notes that</w:t>
      </w:r>
      <w:r w:rsidR="00386DD6">
        <w:rPr>
          <w:w w:val="103"/>
        </w:rPr>
        <w:t>,</w:t>
      </w:r>
      <w:r w:rsidRPr="003E3C4A">
        <w:rPr>
          <w:w w:val="103"/>
        </w:rPr>
        <w:t xml:space="preserve"> on 19 March 2014, the complainant made a second request for </w:t>
      </w:r>
      <w:r w:rsidR="00D84D5C">
        <w:rPr>
          <w:w w:val="103"/>
        </w:rPr>
        <w:t>m</w:t>
      </w:r>
      <w:r w:rsidRPr="003E3C4A">
        <w:rPr>
          <w:w w:val="103"/>
        </w:rPr>
        <w:t xml:space="preserve">inisterial </w:t>
      </w:r>
      <w:r w:rsidR="00D84D5C">
        <w:rPr>
          <w:w w:val="103"/>
        </w:rPr>
        <w:t>i</w:t>
      </w:r>
      <w:r w:rsidRPr="003E3C4A">
        <w:rPr>
          <w:w w:val="103"/>
        </w:rPr>
        <w:t xml:space="preserve">ntervention. His claims were </w:t>
      </w:r>
      <w:r w:rsidR="001D6D81">
        <w:rPr>
          <w:w w:val="103"/>
        </w:rPr>
        <w:t xml:space="preserve">again </w:t>
      </w:r>
      <w:r w:rsidRPr="003E3C4A">
        <w:rPr>
          <w:w w:val="103"/>
        </w:rPr>
        <w:t>assessed and it was</w:t>
      </w:r>
      <w:r w:rsidR="00454240">
        <w:rPr>
          <w:w w:val="103"/>
        </w:rPr>
        <w:t xml:space="preserve"> </w:t>
      </w:r>
      <w:r w:rsidR="00454240">
        <w:t xml:space="preserve">concluded that the complainant had not made any new protection claims that </w:t>
      </w:r>
      <w:r w:rsidR="00386DD6">
        <w:t>had</w:t>
      </w:r>
      <w:r w:rsidR="00454240">
        <w:t xml:space="preserve"> not</w:t>
      </w:r>
      <w:r w:rsidR="001D6D81">
        <w:t xml:space="preserve"> </w:t>
      </w:r>
      <w:r w:rsidR="00386DD6">
        <w:t>been</w:t>
      </w:r>
      <w:r w:rsidR="00454240">
        <w:t xml:space="preserve"> raised </w:t>
      </w:r>
      <w:r w:rsidR="00386DD6">
        <w:t xml:space="preserve">already </w:t>
      </w:r>
      <w:r w:rsidR="00454240">
        <w:t xml:space="preserve">in his initial application, nor provided </w:t>
      </w:r>
      <w:r w:rsidR="001D6D81">
        <w:t xml:space="preserve">any </w:t>
      </w:r>
      <w:r w:rsidR="00454240">
        <w:t>new information that would enhance his chances of making a successful protection visa application. Consequently, the complainant’s request did not meet the guidelines for referral to the Minister and was rejected.</w:t>
      </w:r>
    </w:p>
    <w:p w14:paraId="7D1DD280" w14:textId="77777777" w:rsidR="002D3E2B" w:rsidRPr="002D3E2B" w:rsidRDefault="002D3E2B" w:rsidP="00C066E7">
      <w:pPr>
        <w:pStyle w:val="SingleTxtG"/>
        <w:rPr>
          <w:w w:val="103"/>
        </w:rPr>
      </w:pPr>
      <w:r w:rsidRPr="002D3E2B">
        <w:rPr>
          <w:w w:val="103"/>
        </w:rPr>
        <w:t>4.14</w:t>
      </w:r>
      <w:r>
        <w:rPr>
          <w:w w:val="103"/>
        </w:rPr>
        <w:tab/>
      </w:r>
      <w:r w:rsidRPr="002D3E2B">
        <w:rPr>
          <w:w w:val="103"/>
        </w:rPr>
        <w:t xml:space="preserve">In </w:t>
      </w:r>
      <w:r w:rsidR="001D6D81">
        <w:rPr>
          <w:w w:val="103"/>
        </w:rPr>
        <w:t xml:space="preserve">the </w:t>
      </w:r>
      <w:r w:rsidRPr="001D6D81">
        <w:rPr>
          <w:w w:val="103"/>
        </w:rPr>
        <w:t>light of the above, the</w:t>
      </w:r>
      <w:r w:rsidRPr="002D3E2B">
        <w:rPr>
          <w:w w:val="103"/>
        </w:rPr>
        <w:t xml:space="preserve"> State party maintains that all of the complainant’s claims </w:t>
      </w:r>
      <w:r w:rsidR="00C066E7">
        <w:rPr>
          <w:w w:val="103"/>
        </w:rPr>
        <w:t>were</w:t>
      </w:r>
      <w:r w:rsidRPr="002D3E2B">
        <w:rPr>
          <w:w w:val="103"/>
        </w:rPr>
        <w:t xml:space="preserve"> considered and all evidence provided </w:t>
      </w:r>
      <w:r w:rsidR="00C066E7">
        <w:rPr>
          <w:w w:val="103"/>
        </w:rPr>
        <w:t xml:space="preserve">was </w:t>
      </w:r>
      <w:r w:rsidRPr="002D3E2B">
        <w:rPr>
          <w:w w:val="103"/>
        </w:rPr>
        <w:t>verified by the domestic authorities at every stage of the complainant’s review process. All of the processes concluded that there are no substantial grounds for believing that the complainant is at a foreseeable, real and personal risk of torture if returned to Sri Lanka.</w:t>
      </w:r>
    </w:p>
    <w:p w14:paraId="7C217900" w14:textId="77777777" w:rsidR="002D3E2B" w:rsidRPr="002D3E2B" w:rsidRDefault="002D3E2B" w:rsidP="00EC20C5">
      <w:pPr>
        <w:pStyle w:val="SingleTxtG"/>
        <w:rPr>
          <w:w w:val="103"/>
        </w:rPr>
      </w:pPr>
      <w:r w:rsidRPr="002D3E2B">
        <w:rPr>
          <w:w w:val="103"/>
        </w:rPr>
        <w:t xml:space="preserve">4.15 </w:t>
      </w:r>
      <w:r>
        <w:rPr>
          <w:w w:val="103"/>
        </w:rPr>
        <w:tab/>
      </w:r>
      <w:r w:rsidR="00C066E7">
        <w:rPr>
          <w:w w:val="103"/>
        </w:rPr>
        <w:t>Regarding</w:t>
      </w:r>
      <w:r w:rsidRPr="002D3E2B">
        <w:rPr>
          <w:w w:val="103"/>
        </w:rPr>
        <w:t xml:space="preserve"> the name of the church, the State party notes that the complainant claims that one of the reasons the R</w:t>
      </w:r>
      <w:r w:rsidR="00C066E7">
        <w:rPr>
          <w:w w:val="103"/>
        </w:rPr>
        <w:t xml:space="preserve">efugee </w:t>
      </w:r>
      <w:r w:rsidRPr="002D3E2B">
        <w:rPr>
          <w:w w:val="103"/>
        </w:rPr>
        <w:t>R</w:t>
      </w:r>
      <w:r w:rsidR="00C066E7">
        <w:rPr>
          <w:w w:val="103"/>
        </w:rPr>
        <w:t xml:space="preserve">eview </w:t>
      </w:r>
      <w:r w:rsidRPr="002D3E2B">
        <w:rPr>
          <w:w w:val="103"/>
        </w:rPr>
        <w:t>T</w:t>
      </w:r>
      <w:r w:rsidR="00C066E7">
        <w:rPr>
          <w:w w:val="103"/>
        </w:rPr>
        <w:t>ribunal</w:t>
      </w:r>
      <w:r w:rsidRPr="002D3E2B">
        <w:rPr>
          <w:w w:val="103"/>
        </w:rPr>
        <w:t xml:space="preserve"> “assumed” </w:t>
      </w:r>
      <w:r w:rsidR="00C066E7">
        <w:rPr>
          <w:w w:val="103"/>
        </w:rPr>
        <w:t>that his story was</w:t>
      </w:r>
      <w:r w:rsidRPr="002D3E2B">
        <w:rPr>
          <w:w w:val="103"/>
        </w:rPr>
        <w:t xml:space="preserve"> not credible was because of</w:t>
      </w:r>
      <w:r w:rsidR="00C066E7">
        <w:rPr>
          <w:w w:val="103"/>
        </w:rPr>
        <w:t xml:space="preserve"> the confusion about </w:t>
      </w:r>
      <w:r w:rsidRPr="002D3E2B">
        <w:rPr>
          <w:w w:val="103"/>
        </w:rPr>
        <w:t xml:space="preserve">the name of the church </w:t>
      </w:r>
      <w:r w:rsidR="00C066E7">
        <w:rPr>
          <w:w w:val="103"/>
        </w:rPr>
        <w:t xml:space="preserve">in which </w:t>
      </w:r>
      <w:r w:rsidRPr="002D3E2B">
        <w:rPr>
          <w:w w:val="103"/>
        </w:rPr>
        <w:t>he allegedly sought refuge from mid-2011 to February 2012. In th</w:t>
      </w:r>
      <w:r w:rsidR="00C066E7">
        <w:rPr>
          <w:w w:val="103"/>
        </w:rPr>
        <w:t>at</w:t>
      </w:r>
      <w:r w:rsidRPr="002D3E2B">
        <w:rPr>
          <w:w w:val="103"/>
        </w:rPr>
        <w:t xml:space="preserve"> regard, the State party submits that it was reasonable for the T</w:t>
      </w:r>
      <w:r w:rsidR="00C066E7">
        <w:rPr>
          <w:w w:val="103"/>
        </w:rPr>
        <w:t>ribunal</w:t>
      </w:r>
      <w:r w:rsidRPr="002D3E2B">
        <w:rPr>
          <w:w w:val="103"/>
        </w:rPr>
        <w:t xml:space="preserve"> to reach th</w:t>
      </w:r>
      <w:r w:rsidR="00C066E7">
        <w:rPr>
          <w:w w:val="103"/>
        </w:rPr>
        <w:t>o</w:t>
      </w:r>
      <w:r w:rsidRPr="002D3E2B">
        <w:rPr>
          <w:w w:val="103"/>
        </w:rPr>
        <w:t xml:space="preserve">se conclusions as the complainant was present at the hearing and </w:t>
      </w:r>
      <w:r w:rsidR="00386DD6">
        <w:rPr>
          <w:w w:val="103"/>
        </w:rPr>
        <w:t>had</w:t>
      </w:r>
      <w:r w:rsidRPr="002D3E2B">
        <w:rPr>
          <w:w w:val="103"/>
        </w:rPr>
        <w:t xml:space="preserve"> the opportunity to clarify his statements with the assistance of an interpreter. In any event, the T</w:t>
      </w:r>
      <w:r w:rsidR="00C066E7">
        <w:rPr>
          <w:w w:val="103"/>
        </w:rPr>
        <w:t>ribunal</w:t>
      </w:r>
      <w:r w:rsidRPr="002D3E2B">
        <w:rPr>
          <w:w w:val="103"/>
        </w:rPr>
        <w:t xml:space="preserve">’s views </w:t>
      </w:r>
      <w:r w:rsidR="00C066E7">
        <w:rPr>
          <w:w w:val="103"/>
        </w:rPr>
        <w:t>with regard to</w:t>
      </w:r>
      <w:r w:rsidRPr="002D3E2B">
        <w:rPr>
          <w:w w:val="103"/>
        </w:rPr>
        <w:t xml:space="preserve"> the complainant’s credibility were not founded solely </w:t>
      </w:r>
      <w:r w:rsidR="00C066E7">
        <w:rPr>
          <w:w w:val="103"/>
        </w:rPr>
        <w:t>on</w:t>
      </w:r>
      <w:r w:rsidRPr="002D3E2B">
        <w:rPr>
          <w:w w:val="103"/>
        </w:rPr>
        <w:t xml:space="preserve"> the </w:t>
      </w:r>
      <w:r w:rsidR="00386DD6">
        <w:rPr>
          <w:w w:val="103"/>
        </w:rPr>
        <w:t>matter of</w:t>
      </w:r>
      <w:r w:rsidRPr="002D3E2B">
        <w:rPr>
          <w:w w:val="103"/>
        </w:rPr>
        <w:t xml:space="preserve"> the name of the church. The T</w:t>
      </w:r>
      <w:r w:rsidR="00C066E7">
        <w:rPr>
          <w:w w:val="103"/>
        </w:rPr>
        <w:t>ribunal</w:t>
      </w:r>
      <w:r w:rsidRPr="002D3E2B">
        <w:rPr>
          <w:w w:val="103"/>
        </w:rPr>
        <w:t xml:space="preserve"> relied on a culmination of factors in reaching th</w:t>
      </w:r>
      <w:r w:rsidR="00C066E7">
        <w:rPr>
          <w:w w:val="103"/>
        </w:rPr>
        <w:t>at</w:t>
      </w:r>
      <w:r w:rsidRPr="002D3E2B">
        <w:rPr>
          <w:w w:val="103"/>
        </w:rPr>
        <w:t xml:space="preserve"> conclusion, including </w:t>
      </w:r>
      <w:r w:rsidR="00C066E7">
        <w:rPr>
          <w:w w:val="103"/>
        </w:rPr>
        <w:t xml:space="preserve">the fact that </w:t>
      </w:r>
      <w:r w:rsidRPr="002D3E2B">
        <w:rPr>
          <w:w w:val="103"/>
        </w:rPr>
        <w:t>the complainant re-entered Sri Lanka in 2011 without attracting the attention of the Sri Lankan authorities</w:t>
      </w:r>
      <w:r w:rsidR="00C066E7">
        <w:rPr>
          <w:w w:val="103"/>
        </w:rPr>
        <w:t>,</w:t>
      </w:r>
      <w:r w:rsidRPr="002D3E2B">
        <w:rPr>
          <w:w w:val="103"/>
        </w:rPr>
        <w:t xml:space="preserve"> despite allegedly being of interest to the C</w:t>
      </w:r>
      <w:r w:rsidR="00C066E7">
        <w:rPr>
          <w:w w:val="103"/>
        </w:rPr>
        <w:t xml:space="preserve">riminal </w:t>
      </w:r>
      <w:r w:rsidRPr="002D3E2B">
        <w:rPr>
          <w:w w:val="103"/>
        </w:rPr>
        <w:t>I</w:t>
      </w:r>
      <w:r w:rsidR="00C066E7">
        <w:rPr>
          <w:w w:val="103"/>
        </w:rPr>
        <w:t xml:space="preserve">nvestigation </w:t>
      </w:r>
      <w:r w:rsidRPr="002D3E2B">
        <w:rPr>
          <w:w w:val="103"/>
        </w:rPr>
        <w:t>D</w:t>
      </w:r>
      <w:r w:rsidR="00C066E7">
        <w:rPr>
          <w:w w:val="103"/>
        </w:rPr>
        <w:t>epartment</w:t>
      </w:r>
      <w:r w:rsidRPr="002D3E2B">
        <w:rPr>
          <w:w w:val="103"/>
        </w:rPr>
        <w:t>.</w:t>
      </w:r>
    </w:p>
    <w:p w14:paraId="2B2BE29F" w14:textId="77777777" w:rsidR="002D3E2B" w:rsidRPr="002D3E2B" w:rsidRDefault="002D3E2B" w:rsidP="007B4BE8">
      <w:pPr>
        <w:pStyle w:val="SingleTxtG"/>
        <w:rPr>
          <w:w w:val="103"/>
        </w:rPr>
      </w:pPr>
      <w:r w:rsidRPr="002D3E2B">
        <w:rPr>
          <w:w w:val="103"/>
        </w:rPr>
        <w:t xml:space="preserve">4.16 The protection visa assessment and the subsequent </w:t>
      </w:r>
      <w:r w:rsidR="00D84D5C">
        <w:rPr>
          <w:w w:val="103"/>
        </w:rPr>
        <w:t>m</w:t>
      </w:r>
      <w:r w:rsidRPr="002D3E2B">
        <w:rPr>
          <w:w w:val="103"/>
        </w:rPr>
        <w:t xml:space="preserve">inisterial </w:t>
      </w:r>
      <w:r w:rsidR="00D84D5C">
        <w:rPr>
          <w:w w:val="103"/>
        </w:rPr>
        <w:t>i</w:t>
      </w:r>
      <w:r w:rsidRPr="002D3E2B">
        <w:rPr>
          <w:w w:val="103"/>
        </w:rPr>
        <w:t xml:space="preserve">ntervention assessments understood </w:t>
      </w:r>
      <w:r w:rsidR="00C066E7">
        <w:rPr>
          <w:w w:val="103"/>
        </w:rPr>
        <w:t xml:space="preserve">that </w:t>
      </w:r>
      <w:r w:rsidRPr="002D3E2B">
        <w:rPr>
          <w:w w:val="103"/>
        </w:rPr>
        <w:t>the</w:t>
      </w:r>
      <w:r w:rsidR="00C066E7">
        <w:rPr>
          <w:w w:val="103"/>
        </w:rPr>
        <w:t xml:space="preserve"> correct</w:t>
      </w:r>
      <w:r w:rsidRPr="002D3E2B">
        <w:rPr>
          <w:w w:val="103"/>
        </w:rPr>
        <w:t xml:space="preserve"> name of the church </w:t>
      </w:r>
      <w:r w:rsidR="00C066E7">
        <w:rPr>
          <w:w w:val="103"/>
        </w:rPr>
        <w:t>was</w:t>
      </w:r>
      <w:r w:rsidRPr="002D3E2B">
        <w:rPr>
          <w:w w:val="103"/>
        </w:rPr>
        <w:t xml:space="preserve"> the “St</w:t>
      </w:r>
      <w:r w:rsidR="00C066E7">
        <w:rPr>
          <w:w w:val="103"/>
        </w:rPr>
        <w:t>.</w:t>
      </w:r>
      <w:r w:rsidRPr="002D3E2B">
        <w:rPr>
          <w:w w:val="103"/>
        </w:rPr>
        <w:t xml:space="preserve"> John de Britto</w:t>
      </w:r>
      <w:r w:rsidR="00C066E7">
        <w:rPr>
          <w:w w:val="103"/>
        </w:rPr>
        <w:t xml:space="preserve"> Church</w:t>
      </w:r>
      <w:r w:rsidRPr="002D3E2B">
        <w:rPr>
          <w:w w:val="103"/>
        </w:rPr>
        <w:t xml:space="preserve">”, as submitted by the complainant, and arrived at the conclusion that the complainant’s claims were not credible. The complainant raised </w:t>
      </w:r>
      <w:r w:rsidR="00A82B2B">
        <w:rPr>
          <w:w w:val="103"/>
        </w:rPr>
        <w:t>t</w:t>
      </w:r>
      <w:r w:rsidRPr="002D3E2B">
        <w:rPr>
          <w:w w:val="103"/>
        </w:rPr>
        <w:t>h</w:t>
      </w:r>
      <w:r w:rsidR="00A82B2B">
        <w:rPr>
          <w:w w:val="103"/>
        </w:rPr>
        <w:t>e</w:t>
      </w:r>
      <w:r w:rsidRPr="002D3E2B">
        <w:rPr>
          <w:w w:val="103"/>
        </w:rPr>
        <w:t xml:space="preserve"> issue in his second request for </w:t>
      </w:r>
      <w:r w:rsidR="00D84D5C">
        <w:rPr>
          <w:w w:val="103"/>
        </w:rPr>
        <w:t>m</w:t>
      </w:r>
      <w:r w:rsidRPr="002D3E2B">
        <w:rPr>
          <w:w w:val="103"/>
        </w:rPr>
        <w:t xml:space="preserve">inisterial </w:t>
      </w:r>
      <w:r w:rsidR="00D84D5C">
        <w:rPr>
          <w:w w:val="103"/>
        </w:rPr>
        <w:t>i</w:t>
      </w:r>
      <w:r w:rsidRPr="002D3E2B">
        <w:rPr>
          <w:w w:val="103"/>
        </w:rPr>
        <w:t xml:space="preserve">ntervention and it was similarly determined that the alleged confusion regarding the </w:t>
      </w:r>
      <w:r w:rsidR="00A82B2B">
        <w:rPr>
          <w:w w:val="103"/>
        </w:rPr>
        <w:t xml:space="preserve">name of the </w:t>
      </w:r>
      <w:r w:rsidRPr="002D3E2B">
        <w:rPr>
          <w:w w:val="103"/>
        </w:rPr>
        <w:t xml:space="preserve">church </w:t>
      </w:r>
      <w:r w:rsidR="00386DD6">
        <w:rPr>
          <w:w w:val="103"/>
        </w:rPr>
        <w:t xml:space="preserve">was not the </w:t>
      </w:r>
      <w:r w:rsidRPr="002D3E2B">
        <w:rPr>
          <w:w w:val="103"/>
        </w:rPr>
        <w:t>reason why the T</w:t>
      </w:r>
      <w:r w:rsidR="00A82B2B">
        <w:rPr>
          <w:w w:val="103"/>
        </w:rPr>
        <w:t>ribunal</w:t>
      </w:r>
      <w:r w:rsidRPr="002D3E2B">
        <w:rPr>
          <w:w w:val="103"/>
        </w:rPr>
        <w:t xml:space="preserve"> did </w:t>
      </w:r>
      <w:r w:rsidR="00386DD6">
        <w:rPr>
          <w:w w:val="103"/>
        </w:rPr>
        <w:t xml:space="preserve">not </w:t>
      </w:r>
      <w:r w:rsidRPr="002D3E2B">
        <w:rPr>
          <w:w w:val="103"/>
        </w:rPr>
        <w:t>find his evidence to be credible.</w:t>
      </w:r>
    </w:p>
    <w:p w14:paraId="4DA1BDB6" w14:textId="77777777" w:rsidR="002D3E2B" w:rsidRPr="002D3E2B" w:rsidRDefault="002D3E2B" w:rsidP="001509D6">
      <w:pPr>
        <w:pStyle w:val="SingleTxtG"/>
        <w:rPr>
          <w:w w:val="103"/>
        </w:rPr>
      </w:pPr>
      <w:r w:rsidRPr="002D3E2B">
        <w:rPr>
          <w:w w:val="103"/>
        </w:rPr>
        <w:t xml:space="preserve">4.17 </w:t>
      </w:r>
      <w:r>
        <w:rPr>
          <w:w w:val="103"/>
        </w:rPr>
        <w:tab/>
      </w:r>
      <w:r w:rsidRPr="002D3E2B">
        <w:rPr>
          <w:w w:val="103"/>
        </w:rPr>
        <w:t xml:space="preserve">In </w:t>
      </w:r>
      <w:r w:rsidR="00A82B2B">
        <w:rPr>
          <w:w w:val="103"/>
        </w:rPr>
        <w:t xml:space="preserve">the </w:t>
      </w:r>
      <w:r w:rsidRPr="002D3E2B">
        <w:rPr>
          <w:w w:val="103"/>
        </w:rPr>
        <w:t>light of the above, the State party submits that the complainant’s submissions concerning the name of the church do not undermine the conclusion consistently reach</w:t>
      </w:r>
      <w:r w:rsidR="00A82B2B">
        <w:rPr>
          <w:w w:val="103"/>
        </w:rPr>
        <w:t>ed</w:t>
      </w:r>
      <w:r w:rsidRPr="002D3E2B">
        <w:rPr>
          <w:w w:val="103"/>
        </w:rPr>
        <w:t xml:space="preserve"> by all the </w:t>
      </w:r>
      <w:r w:rsidR="00386DD6">
        <w:rPr>
          <w:w w:val="103"/>
        </w:rPr>
        <w:t>authorities</w:t>
      </w:r>
      <w:r w:rsidRPr="002D3E2B">
        <w:rPr>
          <w:w w:val="103"/>
        </w:rPr>
        <w:t xml:space="preserve"> that the complainant is not at a foreseeable, real or personal risk of torture in Sri Lanka.</w:t>
      </w:r>
    </w:p>
    <w:p w14:paraId="50F7C1B0" w14:textId="77777777" w:rsidR="002D3E2B" w:rsidRPr="002D3E2B" w:rsidRDefault="002D3E2B" w:rsidP="008D527B">
      <w:pPr>
        <w:pStyle w:val="SingleTxtG"/>
        <w:rPr>
          <w:w w:val="103"/>
        </w:rPr>
      </w:pPr>
      <w:r w:rsidRPr="002D3E2B">
        <w:rPr>
          <w:w w:val="103"/>
        </w:rPr>
        <w:t xml:space="preserve">4.18 </w:t>
      </w:r>
      <w:r>
        <w:rPr>
          <w:w w:val="103"/>
        </w:rPr>
        <w:tab/>
      </w:r>
      <w:r w:rsidRPr="002D3E2B">
        <w:rPr>
          <w:w w:val="103"/>
        </w:rPr>
        <w:t>As to the complainant’s claim regarding the data breach</w:t>
      </w:r>
      <w:r w:rsidR="00A82B2B">
        <w:rPr>
          <w:w w:val="103"/>
        </w:rPr>
        <w:t xml:space="preserve">, </w:t>
      </w:r>
      <w:r w:rsidRPr="002D3E2B">
        <w:rPr>
          <w:w w:val="103"/>
        </w:rPr>
        <w:t>where</w:t>
      </w:r>
      <w:r w:rsidR="00A82B2B">
        <w:rPr>
          <w:w w:val="103"/>
        </w:rPr>
        <w:t>by</w:t>
      </w:r>
      <w:r w:rsidRPr="002D3E2B">
        <w:rPr>
          <w:w w:val="103"/>
        </w:rPr>
        <w:t xml:space="preserve"> the personal details of a number of individuals were inadvertently posted on the website</w:t>
      </w:r>
      <w:r w:rsidR="00A82B2B">
        <w:rPr>
          <w:w w:val="103"/>
        </w:rPr>
        <w:t xml:space="preserve"> of the </w:t>
      </w:r>
      <w:r w:rsidR="00A82B2B" w:rsidRPr="00B03DB4">
        <w:rPr>
          <w:w w:val="103"/>
        </w:rPr>
        <w:t>Department of Immigration and Border Protection</w:t>
      </w:r>
      <w:r w:rsidRPr="002D3E2B">
        <w:rPr>
          <w:w w:val="103"/>
        </w:rPr>
        <w:t xml:space="preserve">, the State party submits that the complainant was not affected by the data breach as the data pertained </w:t>
      </w:r>
      <w:r w:rsidR="005616CD">
        <w:rPr>
          <w:w w:val="103"/>
        </w:rPr>
        <w:t xml:space="preserve">only </w:t>
      </w:r>
      <w:r w:rsidRPr="002D3E2B">
        <w:rPr>
          <w:w w:val="103"/>
        </w:rPr>
        <w:t xml:space="preserve">to </w:t>
      </w:r>
      <w:r w:rsidR="00EC20C5">
        <w:rPr>
          <w:w w:val="103"/>
        </w:rPr>
        <w:t>persons</w:t>
      </w:r>
      <w:r w:rsidRPr="002D3E2B">
        <w:rPr>
          <w:w w:val="103"/>
        </w:rPr>
        <w:t xml:space="preserve"> in detention on 31 January 2014 and the complainant was not in detention at that time. As such, the complainant’s personal details have not been released publicly. </w:t>
      </w:r>
    </w:p>
    <w:p w14:paraId="4BCE5D38" w14:textId="77777777" w:rsidR="001808C3" w:rsidRPr="001808C3" w:rsidRDefault="002D3E2B" w:rsidP="00B23A14">
      <w:pPr>
        <w:pStyle w:val="SingleTxtG"/>
        <w:rPr>
          <w:lang w:eastAsia="en-AU"/>
        </w:rPr>
      </w:pPr>
      <w:r w:rsidRPr="002D3E2B">
        <w:t xml:space="preserve">4.19 </w:t>
      </w:r>
      <w:r>
        <w:tab/>
      </w:r>
      <w:r w:rsidRPr="002D3E2B">
        <w:t xml:space="preserve">Finally, with regard to the complainant’s claim that </w:t>
      </w:r>
      <w:r w:rsidR="005616CD">
        <w:t xml:space="preserve">because </w:t>
      </w:r>
      <w:r w:rsidRPr="002D3E2B">
        <w:t xml:space="preserve">he is a failed asylum seeker, he </w:t>
      </w:r>
      <w:r w:rsidR="00EC20C5">
        <w:t>will</w:t>
      </w:r>
      <w:r w:rsidRPr="002D3E2B">
        <w:t xml:space="preserve"> be</w:t>
      </w:r>
      <w:r w:rsidR="00EC20C5">
        <w:t xml:space="preserve"> subjected to</w:t>
      </w:r>
      <w:r w:rsidRPr="002D3E2B">
        <w:t xml:space="preserve"> torture and killed if returned to Sri Lanka, the State party notes that the complainant has not provided any country information in support of </w:t>
      </w:r>
      <w:r w:rsidR="00EC20C5">
        <w:t>that</w:t>
      </w:r>
      <w:r w:rsidRPr="002D3E2B">
        <w:t xml:space="preserve"> claim. In th</w:t>
      </w:r>
      <w:r w:rsidR="005616CD">
        <w:t>at</w:t>
      </w:r>
      <w:r w:rsidRPr="002D3E2B">
        <w:t xml:space="preserve"> regard, the State party </w:t>
      </w:r>
      <w:r w:rsidRPr="002D3E2B">
        <w:rPr>
          <w:lang w:eastAsia="en-AU"/>
        </w:rPr>
        <w:t>acknowledges that article 3</w:t>
      </w:r>
      <w:r w:rsidR="005616CD">
        <w:rPr>
          <w:lang w:eastAsia="en-AU"/>
        </w:rPr>
        <w:t xml:space="preserve"> </w:t>
      </w:r>
      <w:r w:rsidRPr="002D3E2B">
        <w:rPr>
          <w:lang w:eastAsia="en-AU"/>
        </w:rPr>
        <w:t>(2) of the Convention requires all relevant considerations to be taken into account when determining whether article 3</w:t>
      </w:r>
      <w:r w:rsidR="005616CD">
        <w:rPr>
          <w:lang w:eastAsia="en-AU"/>
        </w:rPr>
        <w:t xml:space="preserve"> </w:t>
      </w:r>
      <w:r w:rsidRPr="002D3E2B">
        <w:rPr>
          <w:lang w:eastAsia="en-AU"/>
        </w:rPr>
        <w:t xml:space="preserve">(1) is engaged, including the existence in the State concerned of a </w:t>
      </w:r>
      <w:r w:rsidR="009175E0">
        <w:rPr>
          <w:lang w:eastAsia="en-AU"/>
        </w:rPr>
        <w:t>“</w:t>
      </w:r>
      <w:r w:rsidRPr="002D3E2B">
        <w:rPr>
          <w:lang w:eastAsia="en-AU"/>
        </w:rPr>
        <w:t>consistent pattern of gross, flagrant or mass violations of human rights</w:t>
      </w:r>
      <w:r w:rsidR="009175E0">
        <w:rPr>
          <w:lang w:eastAsia="en-AU"/>
        </w:rPr>
        <w:t>”</w:t>
      </w:r>
      <w:r w:rsidRPr="002D3E2B">
        <w:rPr>
          <w:lang w:eastAsia="en-AU"/>
        </w:rPr>
        <w:t>. However, the State party notes that the existence of a general risk of violence does not constitute sufficient ground</w:t>
      </w:r>
      <w:r w:rsidR="00EC20C5">
        <w:rPr>
          <w:lang w:eastAsia="en-AU"/>
        </w:rPr>
        <w:t>s</w:t>
      </w:r>
      <w:r w:rsidRPr="002D3E2B">
        <w:rPr>
          <w:lang w:eastAsia="en-AU"/>
        </w:rPr>
        <w:t xml:space="preserve"> for determining that a particular person would be in danger of being subjected to torture upon return to that country</w:t>
      </w:r>
      <w:r w:rsidR="005616CD">
        <w:rPr>
          <w:lang w:eastAsia="en-AU"/>
        </w:rPr>
        <w:t>.</w:t>
      </w:r>
      <w:r w:rsidRPr="002D3E2B">
        <w:rPr>
          <w:lang w:eastAsia="en-AU"/>
        </w:rPr>
        <w:t xml:space="preserve"> </w:t>
      </w:r>
      <w:r w:rsidR="005616CD">
        <w:rPr>
          <w:lang w:eastAsia="en-AU"/>
        </w:rPr>
        <w:t>A</w:t>
      </w:r>
      <w:r w:rsidRPr="002D3E2B">
        <w:rPr>
          <w:lang w:eastAsia="en-AU"/>
        </w:rPr>
        <w:t xml:space="preserve">dditional grounds must exist to show </w:t>
      </w:r>
      <w:r w:rsidR="005616CD">
        <w:rPr>
          <w:lang w:eastAsia="en-AU"/>
        </w:rPr>
        <w:t xml:space="preserve">that </w:t>
      </w:r>
      <w:r w:rsidRPr="002D3E2B">
        <w:rPr>
          <w:lang w:eastAsia="en-AU"/>
        </w:rPr>
        <w:t>the individual concerned would be personally at risk</w:t>
      </w:r>
      <w:r w:rsidR="005616CD">
        <w:rPr>
          <w:lang w:eastAsia="en-AU"/>
        </w:rPr>
        <w:t xml:space="preserve"> of torture</w:t>
      </w:r>
      <w:r w:rsidR="00203018">
        <w:rPr>
          <w:lang w:eastAsia="en-AU"/>
        </w:rPr>
        <w:t>.</w:t>
      </w:r>
      <w:r w:rsidR="001808C3">
        <w:rPr>
          <w:rStyle w:val="FootnoteReference"/>
          <w:lang w:eastAsia="en-AU"/>
        </w:rPr>
        <w:footnoteReference w:id="13"/>
      </w:r>
      <w:r w:rsidR="00203018">
        <w:rPr>
          <w:lang w:eastAsia="en-AU"/>
        </w:rPr>
        <w:t xml:space="preserve"> </w:t>
      </w:r>
      <w:r w:rsidRPr="002302C4">
        <w:rPr>
          <w:lang w:eastAsia="en-AU"/>
        </w:rPr>
        <w:t>As submitted above</w:t>
      </w:r>
      <w:r w:rsidRPr="002D3E2B">
        <w:rPr>
          <w:lang w:eastAsia="en-AU"/>
        </w:rPr>
        <w:t>, the State</w:t>
      </w:r>
      <w:r w:rsidR="001808C3">
        <w:rPr>
          <w:lang w:eastAsia="en-AU"/>
        </w:rPr>
        <w:t xml:space="preserve"> </w:t>
      </w:r>
      <w:r w:rsidR="001808C3" w:rsidRPr="001808C3">
        <w:rPr>
          <w:lang w:eastAsia="en-AU"/>
        </w:rPr>
        <w:t xml:space="preserve">party maintains that the complainant has not established the existence of additional grounds to show that he is at a foreseeable, real and personal risk of torture if returned to Sri Lanka. </w:t>
      </w:r>
    </w:p>
    <w:p w14:paraId="46DB16D8" w14:textId="77777777" w:rsidR="001808C3" w:rsidRPr="001808C3" w:rsidRDefault="001808C3" w:rsidP="00EC20C5">
      <w:pPr>
        <w:pStyle w:val="SingleTxtG"/>
        <w:rPr>
          <w:w w:val="103"/>
          <w:lang w:eastAsia="en-AU"/>
        </w:rPr>
      </w:pPr>
      <w:r w:rsidRPr="001808C3">
        <w:rPr>
          <w:w w:val="103"/>
          <w:lang w:eastAsia="en-AU"/>
        </w:rPr>
        <w:t xml:space="preserve">4.20 </w:t>
      </w:r>
      <w:r>
        <w:rPr>
          <w:w w:val="103"/>
          <w:lang w:eastAsia="en-AU"/>
        </w:rPr>
        <w:tab/>
      </w:r>
      <w:r w:rsidRPr="001808C3">
        <w:rPr>
          <w:w w:val="103"/>
          <w:lang w:eastAsia="en-AU"/>
        </w:rPr>
        <w:t xml:space="preserve">In addition, the State party submits that extensive country information </w:t>
      </w:r>
      <w:r w:rsidR="00B41DA0">
        <w:rPr>
          <w:w w:val="103"/>
          <w:lang w:eastAsia="en-AU"/>
        </w:rPr>
        <w:t>on</w:t>
      </w:r>
      <w:r w:rsidRPr="001808C3">
        <w:rPr>
          <w:w w:val="103"/>
          <w:lang w:eastAsia="en-AU"/>
        </w:rPr>
        <w:t xml:space="preserve"> Sri Lanka and the return of failed asylum seekers specifically </w:t>
      </w:r>
      <w:r w:rsidR="00B41DA0">
        <w:rPr>
          <w:w w:val="103"/>
          <w:lang w:eastAsia="en-AU"/>
        </w:rPr>
        <w:t>w</w:t>
      </w:r>
      <w:r w:rsidRPr="001808C3">
        <w:rPr>
          <w:w w:val="103"/>
          <w:lang w:eastAsia="en-AU"/>
        </w:rPr>
        <w:t>as also carefully considered throughout the domestic processes. In particular, during the complainant’s protection visa application review</w:t>
      </w:r>
      <w:r w:rsidR="00B41DA0">
        <w:rPr>
          <w:w w:val="103"/>
          <w:lang w:eastAsia="en-AU"/>
        </w:rPr>
        <w:t>,</w:t>
      </w:r>
      <w:r w:rsidRPr="001808C3">
        <w:rPr>
          <w:w w:val="103"/>
          <w:lang w:eastAsia="en-AU"/>
        </w:rPr>
        <w:t xml:space="preserve"> material before the </w:t>
      </w:r>
      <w:r w:rsidR="00EC20C5">
        <w:rPr>
          <w:w w:val="103"/>
          <w:lang w:eastAsia="en-AU"/>
        </w:rPr>
        <w:t>authorities</w:t>
      </w:r>
      <w:r w:rsidRPr="001808C3">
        <w:rPr>
          <w:w w:val="103"/>
          <w:lang w:eastAsia="en-AU"/>
        </w:rPr>
        <w:t xml:space="preserve"> </w:t>
      </w:r>
      <w:r w:rsidR="00B41DA0">
        <w:rPr>
          <w:w w:val="103"/>
          <w:lang w:eastAsia="en-AU"/>
        </w:rPr>
        <w:t>included</w:t>
      </w:r>
      <w:r w:rsidRPr="001808C3">
        <w:rPr>
          <w:w w:val="103"/>
          <w:lang w:eastAsia="en-AU"/>
        </w:rPr>
        <w:t xml:space="preserve"> country information </w:t>
      </w:r>
      <w:r w:rsidR="00B41DA0">
        <w:rPr>
          <w:w w:val="103"/>
          <w:lang w:eastAsia="en-AU"/>
        </w:rPr>
        <w:t>from</w:t>
      </w:r>
      <w:r w:rsidRPr="001808C3">
        <w:rPr>
          <w:w w:val="103"/>
          <w:lang w:eastAsia="en-AU"/>
        </w:rPr>
        <w:t xml:space="preserve"> the </w:t>
      </w:r>
      <w:r w:rsidR="0035032E" w:rsidRPr="003E3C4A">
        <w:rPr>
          <w:w w:val="103"/>
        </w:rPr>
        <w:t>Department of Foreign Affairs and Trade</w:t>
      </w:r>
      <w:r w:rsidRPr="001808C3">
        <w:rPr>
          <w:w w:val="103"/>
          <w:lang w:eastAsia="en-AU"/>
        </w:rPr>
        <w:t xml:space="preserve"> </w:t>
      </w:r>
      <w:r w:rsidR="0035032E">
        <w:rPr>
          <w:w w:val="103"/>
          <w:lang w:eastAsia="en-AU"/>
        </w:rPr>
        <w:t xml:space="preserve">and </w:t>
      </w:r>
      <w:r w:rsidRPr="001808C3">
        <w:rPr>
          <w:w w:val="103"/>
          <w:lang w:eastAsia="en-AU"/>
        </w:rPr>
        <w:t>non-governmental organi</w:t>
      </w:r>
      <w:r w:rsidR="0035032E">
        <w:rPr>
          <w:w w:val="103"/>
          <w:lang w:eastAsia="en-AU"/>
        </w:rPr>
        <w:t>z</w:t>
      </w:r>
      <w:r w:rsidRPr="001808C3">
        <w:rPr>
          <w:w w:val="103"/>
          <w:lang w:eastAsia="en-AU"/>
        </w:rPr>
        <w:t xml:space="preserve">ations (such as Amnesty International) </w:t>
      </w:r>
      <w:r w:rsidR="00EC20C5">
        <w:rPr>
          <w:w w:val="103"/>
          <w:lang w:eastAsia="en-AU"/>
        </w:rPr>
        <w:t>as well as guidance from</w:t>
      </w:r>
      <w:r w:rsidRPr="001808C3">
        <w:rPr>
          <w:w w:val="103"/>
          <w:lang w:eastAsia="en-AU"/>
        </w:rPr>
        <w:t xml:space="preserve"> the </w:t>
      </w:r>
      <w:r w:rsidR="00403E61">
        <w:rPr>
          <w:w w:val="103"/>
          <w:lang w:eastAsia="en-AU"/>
        </w:rPr>
        <w:t xml:space="preserve">Office of the </w:t>
      </w:r>
      <w:r w:rsidRPr="001808C3">
        <w:rPr>
          <w:w w:val="103"/>
          <w:lang w:eastAsia="en-AU"/>
        </w:rPr>
        <w:t>United Nations High Commissioner for Refugees’</w:t>
      </w:r>
      <w:r w:rsidR="00403E61">
        <w:rPr>
          <w:w w:val="103"/>
          <w:lang w:eastAsia="en-AU"/>
        </w:rPr>
        <w:t xml:space="preserve"> (UNHCR)</w:t>
      </w:r>
      <w:r w:rsidRPr="001808C3">
        <w:rPr>
          <w:w w:val="103"/>
          <w:lang w:eastAsia="en-AU"/>
        </w:rPr>
        <w:t xml:space="preserve"> Handbook.</w:t>
      </w:r>
    </w:p>
    <w:p w14:paraId="5E082CB7" w14:textId="77777777" w:rsidR="001808C3" w:rsidRPr="001808C3" w:rsidRDefault="001808C3" w:rsidP="00EC20C5">
      <w:pPr>
        <w:pStyle w:val="SingleTxtG"/>
        <w:rPr>
          <w:w w:val="103"/>
          <w:lang w:eastAsia="en-AU"/>
        </w:rPr>
      </w:pPr>
      <w:r w:rsidRPr="001808C3">
        <w:rPr>
          <w:w w:val="103"/>
          <w:lang w:eastAsia="en-AU"/>
        </w:rPr>
        <w:t xml:space="preserve">4.21 </w:t>
      </w:r>
      <w:r>
        <w:rPr>
          <w:w w:val="103"/>
          <w:lang w:eastAsia="en-AU"/>
        </w:rPr>
        <w:tab/>
      </w:r>
      <w:r w:rsidRPr="001808C3">
        <w:rPr>
          <w:w w:val="103"/>
          <w:lang w:eastAsia="en-AU"/>
        </w:rPr>
        <w:t>Further</w:t>
      </w:r>
      <w:r w:rsidR="005630B4">
        <w:rPr>
          <w:w w:val="103"/>
          <w:lang w:eastAsia="en-AU"/>
        </w:rPr>
        <w:t>more</w:t>
      </w:r>
      <w:r w:rsidRPr="001808C3">
        <w:rPr>
          <w:w w:val="103"/>
          <w:lang w:eastAsia="en-AU"/>
        </w:rPr>
        <w:t>, the R</w:t>
      </w:r>
      <w:r w:rsidR="0035032E">
        <w:rPr>
          <w:w w:val="103"/>
          <w:lang w:eastAsia="en-AU"/>
        </w:rPr>
        <w:t xml:space="preserve">efugee </w:t>
      </w:r>
      <w:r w:rsidRPr="001808C3">
        <w:rPr>
          <w:w w:val="103"/>
          <w:lang w:eastAsia="en-AU"/>
        </w:rPr>
        <w:t>R</w:t>
      </w:r>
      <w:r w:rsidR="0035032E">
        <w:rPr>
          <w:w w:val="103"/>
          <w:lang w:eastAsia="en-AU"/>
        </w:rPr>
        <w:t xml:space="preserve">eview </w:t>
      </w:r>
      <w:r w:rsidRPr="001808C3">
        <w:rPr>
          <w:w w:val="103"/>
          <w:lang w:eastAsia="en-AU"/>
        </w:rPr>
        <w:t>T</w:t>
      </w:r>
      <w:r w:rsidR="0035032E">
        <w:rPr>
          <w:w w:val="103"/>
          <w:lang w:eastAsia="en-AU"/>
        </w:rPr>
        <w:t>ribunal</w:t>
      </w:r>
      <w:r w:rsidRPr="001808C3">
        <w:rPr>
          <w:w w:val="103"/>
          <w:lang w:eastAsia="en-AU"/>
        </w:rPr>
        <w:t xml:space="preserve"> </w:t>
      </w:r>
      <w:r w:rsidR="00EC20C5">
        <w:rPr>
          <w:w w:val="103"/>
          <w:lang w:eastAsia="en-AU"/>
        </w:rPr>
        <w:t>had</w:t>
      </w:r>
      <w:r w:rsidRPr="001808C3">
        <w:rPr>
          <w:w w:val="103"/>
          <w:lang w:eastAsia="en-AU"/>
        </w:rPr>
        <w:t xml:space="preserve"> considered a wide range of country information pertaining to Sri Lanka</w:t>
      </w:r>
      <w:r w:rsidR="00203018">
        <w:rPr>
          <w:w w:val="103"/>
          <w:lang w:eastAsia="en-AU"/>
        </w:rPr>
        <w:t>,</w:t>
      </w:r>
      <w:r w:rsidRPr="001808C3">
        <w:rPr>
          <w:w w:val="103"/>
          <w:lang w:eastAsia="en-AU"/>
        </w:rPr>
        <w:t xml:space="preserve"> including information specifically relating to failed asylum seekers returning to Sri Lanka. The </w:t>
      </w:r>
      <w:r w:rsidR="005630B4">
        <w:rPr>
          <w:w w:val="103"/>
          <w:lang w:eastAsia="en-AU"/>
        </w:rPr>
        <w:t>Tribunal</w:t>
      </w:r>
      <w:r w:rsidRPr="001808C3">
        <w:rPr>
          <w:w w:val="103"/>
          <w:lang w:eastAsia="en-AU"/>
        </w:rPr>
        <w:t xml:space="preserve"> accepted that, </w:t>
      </w:r>
      <w:r w:rsidR="005630B4">
        <w:rPr>
          <w:w w:val="103"/>
          <w:lang w:eastAsia="en-AU"/>
        </w:rPr>
        <w:t>since</w:t>
      </w:r>
      <w:r w:rsidRPr="001808C3">
        <w:rPr>
          <w:w w:val="103"/>
          <w:lang w:eastAsia="en-AU"/>
        </w:rPr>
        <w:t xml:space="preserve"> failed asylum seekers </w:t>
      </w:r>
      <w:r w:rsidR="005630B4">
        <w:rPr>
          <w:w w:val="103"/>
          <w:lang w:eastAsia="en-AU"/>
        </w:rPr>
        <w:t xml:space="preserve">would </w:t>
      </w:r>
      <w:r w:rsidRPr="001808C3">
        <w:rPr>
          <w:w w:val="103"/>
          <w:lang w:eastAsia="en-AU"/>
        </w:rPr>
        <w:t>have generally left Sri Lanka illegally, they w</w:t>
      </w:r>
      <w:r w:rsidR="005630B4">
        <w:rPr>
          <w:w w:val="103"/>
          <w:lang w:eastAsia="en-AU"/>
        </w:rPr>
        <w:t>ould</w:t>
      </w:r>
      <w:r w:rsidRPr="001808C3">
        <w:rPr>
          <w:w w:val="103"/>
          <w:lang w:eastAsia="en-AU"/>
        </w:rPr>
        <w:t xml:space="preserve"> be dealt</w:t>
      </w:r>
      <w:r w:rsidR="005630B4">
        <w:rPr>
          <w:w w:val="103"/>
          <w:lang w:eastAsia="en-AU"/>
        </w:rPr>
        <w:t xml:space="preserve"> with</w:t>
      </w:r>
      <w:r w:rsidRPr="001808C3">
        <w:rPr>
          <w:w w:val="103"/>
          <w:lang w:eastAsia="en-AU"/>
        </w:rPr>
        <w:t xml:space="preserve"> under </w:t>
      </w:r>
      <w:r w:rsidR="005630B4">
        <w:rPr>
          <w:w w:val="103"/>
          <w:lang w:eastAsia="en-AU"/>
        </w:rPr>
        <w:t xml:space="preserve">the </w:t>
      </w:r>
      <w:r w:rsidRPr="001808C3">
        <w:rPr>
          <w:w w:val="103"/>
          <w:lang w:eastAsia="en-AU"/>
        </w:rPr>
        <w:t>relevant laws of Sri Lanka</w:t>
      </w:r>
      <w:r w:rsidR="00EC20C5">
        <w:rPr>
          <w:w w:val="103"/>
          <w:lang w:eastAsia="en-AU"/>
        </w:rPr>
        <w:t>,</w:t>
      </w:r>
      <w:r w:rsidRPr="001808C3">
        <w:rPr>
          <w:w w:val="103"/>
          <w:lang w:eastAsia="en-AU"/>
        </w:rPr>
        <w:t xml:space="preserve"> which are of general application</w:t>
      </w:r>
      <w:r w:rsidR="00203018">
        <w:rPr>
          <w:w w:val="103"/>
          <w:lang w:eastAsia="en-AU"/>
        </w:rPr>
        <w:t>.</w:t>
      </w:r>
      <w:r w:rsidRPr="001808C3">
        <w:rPr>
          <w:w w:val="103"/>
          <w:lang w:eastAsia="en-AU"/>
        </w:rPr>
        <w:t xml:space="preserve"> However, the </w:t>
      </w:r>
      <w:r w:rsidR="005630B4">
        <w:rPr>
          <w:w w:val="103"/>
          <w:lang w:eastAsia="en-AU"/>
        </w:rPr>
        <w:t>Tribunal</w:t>
      </w:r>
      <w:r w:rsidRPr="001808C3">
        <w:rPr>
          <w:w w:val="103"/>
          <w:lang w:eastAsia="en-AU"/>
        </w:rPr>
        <w:t xml:space="preserve"> did not accept that laws of general application would be applied to the complainant discriminatorily because he is a Tamil, </w:t>
      </w:r>
      <w:r w:rsidR="00EC20C5">
        <w:rPr>
          <w:w w:val="103"/>
          <w:lang w:eastAsia="en-AU"/>
        </w:rPr>
        <w:t>n</w:t>
      </w:r>
      <w:r w:rsidRPr="001808C3">
        <w:rPr>
          <w:w w:val="103"/>
          <w:lang w:eastAsia="en-AU"/>
        </w:rPr>
        <w:t>or that he w</w:t>
      </w:r>
      <w:r w:rsidR="005630B4">
        <w:rPr>
          <w:w w:val="103"/>
          <w:lang w:eastAsia="en-AU"/>
        </w:rPr>
        <w:t>ould</w:t>
      </w:r>
      <w:r w:rsidRPr="001808C3">
        <w:rPr>
          <w:w w:val="103"/>
          <w:lang w:eastAsia="en-AU"/>
        </w:rPr>
        <w:t xml:space="preserve"> be subject to significant harm for th</w:t>
      </w:r>
      <w:r w:rsidR="005630B4">
        <w:rPr>
          <w:w w:val="103"/>
          <w:lang w:eastAsia="en-AU"/>
        </w:rPr>
        <w:t>o</w:t>
      </w:r>
      <w:r w:rsidRPr="001808C3">
        <w:rPr>
          <w:w w:val="103"/>
          <w:lang w:eastAsia="en-AU"/>
        </w:rPr>
        <w:t>se reasons</w:t>
      </w:r>
      <w:r w:rsidR="00203018">
        <w:rPr>
          <w:w w:val="103"/>
          <w:lang w:eastAsia="en-AU"/>
        </w:rPr>
        <w:t>.</w:t>
      </w:r>
      <w:r w:rsidRPr="001808C3">
        <w:rPr>
          <w:w w:val="103"/>
          <w:lang w:eastAsia="en-AU"/>
        </w:rPr>
        <w:t xml:space="preserve"> </w:t>
      </w:r>
    </w:p>
    <w:p w14:paraId="7AA856EC" w14:textId="77777777" w:rsidR="001808C3" w:rsidRDefault="001808C3" w:rsidP="00EC20C5">
      <w:pPr>
        <w:pStyle w:val="SingleTxtG"/>
        <w:rPr>
          <w:w w:val="103"/>
          <w:lang w:eastAsia="en-AU"/>
        </w:rPr>
      </w:pPr>
      <w:r w:rsidRPr="001808C3">
        <w:rPr>
          <w:w w:val="103"/>
          <w:lang w:eastAsia="en-AU"/>
        </w:rPr>
        <w:t xml:space="preserve">4.22 </w:t>
      </w:r>
      <w:r>
        <w:rPr>
          <w:w w:val="103"/>
          <w:lang w:eastAsia="en-AU"/>
        </w:rPr>
        <w:tab/>
      </w:r>
      <w:r w:rsidRPr="001808C3">
        <w:rPr>
          <w:w w:val="103"/>
          <w:lang w:eastAsia="en-AU"/>
        </w:rPr>
        <w:t xml:space="preserve">Moreover, during the assessments of the complainant’s requests for </w:t>
      </w:r>
      <w:r w:rsidR="00D84D5C">
        <w:rPr>
          <w:w w:val="103"/>
          <w:lang w:eastAsia="en-AU"/>
        </w:rPr>
        <w:t>m</w:t>
      </w:r>
      <w:r w:rsidRPr="001808C3">
        <w:rPr>
          <w:w w:val="103"/>
          <w:lang w:eastAsia="en-AU"/>
        </w:rPr>
        <w:t xml:space="preserve">inisterial </w:t>
      </w:r>
      <w:r w:rsidR="00D84D5C">
        <w:rPr>
          <w:w w:val="103"/>
          <w:lang w:eastAsia="en-AU"/>
        </w:rPr>
        <w:t>i</w:t>
      </w:r>
      <w:r w:rsidRPr="001808C3">
        <w:rPr>
          <w:w w:val="103"/>
          <w:lang w:eastAsia="en-AU"/>
        </w:rPr>
        <w:t xml:space="preserve">ntervention, the country information provided by the </w:t>
      </w:r>
      <w:r w:rsidR="005630B4" w:rsidRPr="003E3C4A">
        <w:rPr>
          <w:w w:val="103"/>
        </w:rPr>
        <w:t>Department of Foreign Affairs and Trade</w:t>
      </w:r>
      <w:r w:rsidRPr="001808C3">
        <w:rPr>
          <w:w w:val="103"/>
          <w:lang w:eastAsia="en-AU"/>
        </w:rPr>
        <w:t xml:space="preserve"> was considered, </w:t>
      </w:r>
      <w:r w:rsidR="005630B4">
        <w:rPr>
          <w:w w:val="103"/>
          <w:lang w:eastAsia="en-AU"/>
        </w:rPr>
        <w:t>and it was</w:t>
      </w:r>
      <w:r w:rsidRPr="001808C3">
        <w:rPr>
          <w:w w:val="103"/>
          <w:lang w:eastAsia="en-AU"/>
        </w:rPr>
        <w:t xml:space="preserve"> verified that, while failed asylum seekers are detained</w:t>
      </w:r>
      <w:r w:rsidRPr="001808C3">
        <w:rPr>
          <w:b/>
          <w:w w:val="103"/>
          <w:lang w:eastAsia="en-AU"/>
        </w:rPr>
        <w:t xml:space="preserve"> </w:t>
      </w:r>
      <w:r w:rsidRPr="001808C3">
        <w:rPr>
          <w:w w:val="103"/>
          <w:lang w:eastAsia="en-AU"/>
        </w:rPr>
        <w:t xml:space="preserve">on return to Sri Lanka under laws relating to leaving the country illegally, all persons are granted bail </w:t>
      </w:r>
      <w:r w:rsidR="005630B4">
        <w:rPr>
          <w:w w:val="103"/>
          <w:lang w:eastAsia="en-AU"/>
        </w:rPr>
        <w:t>if</w:t>
      </w:r>
      <w:r w:rsidRPr="001808C3">
        <w:rPr>
          <w:w w:val="103"/>
          <w:lang w:eastAsia="en-AU"/>
        </w:rPr>
        <w:t xml:space="preserve"> a family member stands as guarantor</w:t>
      </w:r>
      <w:r w:rsidR="005630B4">
        <w:rPr>
          <w:w w:val="103"/>
          <w:lang w:eastAsia="en-AU"/>
        </w:rPr>
        <w:t>,</w:t>
      </w:r>
      <w:r w:rsidRPr="001808C3">
        <w:rPr>
          <w:w w:val="103"/>
          <w:lang w:eastAsia="en-AU"/>
        </w:rPr>
        <w:t xml:space="preserve"> with no discrimination on the basis of ethnicity or religion. It was noted that the complainant has family members </w:t>
      </w:r>
      <w:r w:rsidR="005630B4">
        <w:rPr>
          <w:w w:val="103"/>
          <w:lang w:eastAsia="en-AU"/>
        </w:rPr>
        <w:t>—</w:t>
      </w:r>
      <w:r w:rsidRPr="001808C3">
        <w:rPr>
          <w:w w:val="103"/>
          <w:lang w:eastAsia="en-AU"/>
        </w:rPr>
        <w:t xml:space="preserve"> his mother and three sisters</w:t>
      </w:r>
      <w:r w:rsidR="005630B4">
        <w:rPr>
          <w:w w:val="103"/>
          <w:lang w:eastAsia="en-AU"/>
        </w:rPr>
        <w:t xml:space="preserve"> —</w:t>
      </w:r>
      <w:r w:rsidRPr="001808C3">
        <w:rPr>
          <w:w w:val="103"/>
          <w:lang w:eastAsia="en-AU"/>
        </w:rPr>
        <w:t xml:space="preserve"> resid</w:t>
      </w:r>
      <w:r w:rsidR="005630B4">
        <w:rPr>
          <w:w w:val="103"/>
          <w:lang w:eastAsia="en-AU"/>
        </w:rPr>
        <w:t>ing</w:t>
      </w:r>
      <w:r w:rsidRPr="001808C3">
        <w:rPr>
          <w:w w:val="103"/>
          <w:lang w:eastAsia="en-AU"/>
        </w:rPr>
        <w:t xml:space="preserve"> in Sri Lanka who can assist him, and there is no information to indicate that he w</w:t>
      </w:r>
      <w:r w:rsidR="00BE0DE9">
        <w:rPr>
          <w:w w:val="103"/>
          <w:lang w:eastAsia="en-AU"/>
        </w:rPr>
        <w:t>ould</w:t>
      </w:r>
      <w:r w:rsidRPr="001808C3">
        <w:rPr>
          <w:w w:val="103"/>
          <w:lang w:eastAsia="en-AU"/>
        </w:rPr>
        <w:t xml:space="preserve"> not be granted bail</w:t>
      </w:r>
      <w:r w:rsidR="00BE0DE9">
        <w:rPr>
          <w:w w:val="103"/>
          <w:lang w:eastAsia="en-AU"/>
        </w:rPr>
        <w:t xml:space="preserve"> or</w:t>
      </w:r>
      <w:r w:rsidRPr="001808C3">
        <w:rPr>
          <w:w w:val="103"/>
          <w:lang w:eastAsia="en-AU"/>
        </w:rPr>
        <w:t xml:space="preserve"> </w:t>
      </w:r>
      <w:r w:rsidR="00BE0DE9">
        <w:rPr>
          <w:w w:val="103"/>
          <w:lang w:eastAsia="en-AU"/>
        </w:rPr>
        <w:t xml:space="preserve">that he would be </w:t>
      </w:r>
      <w:r w:rsidRPr="001808C3">
        <w:rPr>
          <w:w w:val="103"/>
          <w:lang w:eastAsia="en-AU"/>
        </w:rPr>
        <w:t>discriminated against or tortured because he is a failed asylum seeker and/or Tamil.</w:t>
      </w:r>
    </w:p>
    <w:p w14:paraId="271B91E6" w14:textId="77777777" w:rsidR="001808C3" w:rsidRPr="001808C3" w:rsidRDefault="00EC43B8" w:rsidP="00B23A14">
      <w:pPr>
        <w:pStyle w:val="H23G"/>
        <w:rPr>
          <w:w w:val="103"/>
        </w:rPr>
      </w:pPr>
      <w:r>
        <w:rPr>
          <w:rFonts w:eastAsia="SimSun"/>
          <w:w w:val="103"/>
        </w:rPr>
        <w:tab/>
      </w:r>
      <w:r>
        <w:rPr>
          <w:rFonts w:eastAsia="SimSun"/>
          <w:w w:val="103"/>
        </w:rPr>
        <w:tab/>
      </w:r>
      <w:r w:rsidR="001808C3" w:rsidRPr="001808C3">
        <w:rPr>
          <w:rFonts w:eastAsia="SimSun"/>
          <w:w w:val="103"/>
        </w:rPr>
        <w:t>Complainant’s comments on the State party’s observations</w:t>
      </w:r>
    </w:p>
    <w:p w14:paraId="67B8E943" w14:textId="77777777" w:rsidR="007019C1" w:rsidRDefault="001808C3" w:rsidP="007B4BE8">
      <w:pPr>
        <w:pStyle w:val="SingleTxtG"/>
        <w:rPr>
          <w:spacing w:val="4"/>
          <w:w w:val="103"/>
          <w:kern w:val="14"/>
        </w:rPr>
      </w:pPr>
      <w:r w:rsidRPr="001808C3">
        <w:rPr>
          <w:w w:val="103"/>
        </w:rPr>
        <w:t>5.1</w:t>
      </w:r>
      <w:r w:rsidRPr="001808C3">
        <w:rPr>
          <w:w w:val="103"/>
        </w:rPr>
        <w:tab/>
        <w:t>On 16 March 2015, the complainant submitted his comments on the State party’s observations</w:t>
      </w:r>
      <w:r w:rsidR="00BE0DE9">
        <w:rPr>
          <w:w w:val="103"/>
        </w:rPr>
        <w:t>,</w:t>
      </w:r>
      <w:r w:rsidRPr="001808C3">
        <w:rPr>
          <w:w w:val="103"/>
        </w:rPr>
        <w:t xml:space="preserve"> noting that </w:t>
      </w:r>
      <w:r w:rsidR="00BE0DE9">
        <w:rPr>
          <w:w w:val="103"/>
        </w:rPr>
        <w:t xml:space="preserve">he had stated to </w:t>
      </w:r>
      <w:r w:rsidRPr="001808C3">
        <w:rPr>
          <w:w w:val="103"/>
        </w:rPr>
        <w:t>the R</w:t>
      </w:r>
      <w:r w:rsidR="00BE0DE9">
        <w:rPr>
          <w:w w:val="103"/>
        </w:rPr>
        <w:t xml:space="preserve">efugee </w:t>
      </w:r>
      <w:r w:rsidRPr="001808C3">
        <w:rPr>
          <w:w w:val="103"/>
        </w:rPr>
        <w:t>R</w:t>
      </w:r>
      <w:r w:rsidR="00BE0DE9">
        <w:rPr>
          <w:w w:val="103"/>
        </w:rPr>
        <w:t xml:space="preserve">eview </w:t>
      </w:r>
      <w:r w:rsidRPr="001808C3">
        <w:rPr>
          <w:w w:val="103"/>
        </w:rPr>
        <w:t>T</w:t>
      </w:r>
      <w:r w:rsidR="00BE0DE9">
        <w:rPr>
          <w:w w:val="103"/>
        </w:rPr>
        <w:t>ribunal</w:t>
      </w:r>
      <w:r w:rsidRPr="001808C3">
        <w:rPr>
          <w:w w:val="103"/>
        </w:rPr>
        <w:t xml:space="preserve"> </w:t>
      </w:r>
      <w:r w:rsidR="00BE0DE9">
        <w:rPr>
          <w:w w:val="103"/>
        </w:rPr>
        <w:t xml:space="preserve">that, </w:t>
      </w:r>
      <w:r w:rsidRPr="001808C3">
        <w:rPr>
          <w:w w:val="103"/>
        </w:rPr>
        <w:t>inter alia, he was born in Pe</w:t>
      </w:r>
      <w:r w:rsidR="00BE0DE9">
        <w:rPr>
          <w:w w:val="103"/>
        </w:rPr>
        <w:t>r</w:t>
      </w:r>
      <w:r w:rsidRPr="001808C3">
        <w:rPr>
          <w:w w:val="103"/>
        </w:rPr>
        <w:t>iya</w:t>
      </w:r>
      <w:r w:rsidR="00BE0DE9">
        <w:rPr>
          <w:w w:val="103"/>
        </w:rPr>
        <w:t xml:space="preserve"> </w:t>
      </w:r>
      <w:r w:rsidRPr="001808C3">
        <w:rPr>
          <w:w w:val="103"/>
        </w:rPr>
        <w:t>porathivu, Bat</w:t>
      </w:r>
      <w:r w:rsidR="00BE0DE9">
        <w:rPr>
          <w:w w:val="103"/>
        </w:rPr>
        <w:t>t</w:t>
      </w:r>
      <w:r w:rsidRPr="001808C3">
        <w:rPr>
          <w:w w:val="103"/>
        </w:rPr>
        <w:t>ic</w:t>
      </w:r>
      <w:r w:rsidR="00BE0DE9">
        <w:rPr>
          <w:w w:val="103"/>
        </w:rPr>
        <w:t>a</w:t>
      </w:r>
      <w:r w:rsidRPr="001808C3">
        <w:rPr>
          <w:w w:val="103"/>
        </w:rPr>
        <w:t>loa</w:t>
      </w:r>
      <w:r w:rsidR="00BE0DE9">
        <w:rPr>
          <w:w w:val="103"/>
        </w:rPr>
        <w:t xml:space="preserve"> district,</w:t>
      </w:r>
      <w:r w:rsidRPr="001808C3">
        <w:rPr>
          <w:w w:val="103"/>
        </w:rPr>
        <w:t xml:space="preserve"> Sri Lanka, an area that was controlled by the </w:t>
      </w:r>
      <w:r w:rsidR="00BE0DE9" w:rsidRPr="00B22288">
        <w:t xml:space="preserve">Liberation Tigers of Tamil Eelam </w:t>
      </w:r>
      <w:r w:rsidR="00BE0DE9">
        <w:t>(</w:t>
      </w:r>
      <w:r w:rsidRPr="001808C3">
        <w:rPr>
          <w:w w:val="103"/>
        </w:rPr>
        <w:t>LTTE</w:t>
      </w:r>
      <w:r w:rsidR="00BE0DE9">
        <w:rPr>
          <w:w w:val="103"/>
        </w:rPr>
        <w:t xml:space="preserve">), </w:t>
      </w:r>
      <w:r w:rsidRPr="001808C3">
        <w:rPr>
          <w:w w:val="103"/>
        </w:rPr>
        <w:t>he was not involved in the fighting with the Sri Lankan armed forces</w:t>
      </w:r>
      <w:r w:rsidR="00BE0DE9">
        <w:rPr>
          <w:w w:val="103"/>
        </w:rPr>
        <w:t>,</w:t>
      </w:r>
      <w:r w:rsidRPr="001808C3">
        <w:rPr>
          <w:w w:val="103"/>
        </w:rPr>
        <w:t xml:space="preserve"> but that he and his family “rendered moral support and financial support to the LTTE in their arms struggle”. After the war ended, many LTTE cadres left Sri Lanka from the </w:t>
      </w:r>
      <w:r w:rsidR="00BE0DE9">
        <w:rPr>
          <w:w w:val="103"/>
        </w:rPr>
        <w:t xml:space="preserve">international airport in </w:t>
      </w:r>
      <w:r w:rsidRPr="001808C3">
        <w:rPr>
          <w:w w:val="103"/>
        </w:rPr>
        <w:t>Colombo and</w:t>
      </w:r>
      <w:r w:rsidR="00BE0DE9">
        <w:rPr>
          <w:w w:val="103"/>
        </w:rPr>
        <w:t>,</w:t>
      </w:r>
      <w:r w:rsidRPr="001808C3">
        <w:rPr>
          <w:w w:val="103"/>
        </w:rPr>
        <w:t xml:space="preserve"> since his and his family’s residence was in Negombo,</w:t>
      </w:r>
      <w:r w:rsidR="00BE0DE9">
        <w:rPr>
          <w:w w:val="103"/>
        </w:rPr>
        <w:t xml:space="preserve"> which is near the airport,</w:t>
      </w:r>
      <w:r w:rsidRPr="001808C3">
        <w:rPr>
          <w:w w:val="103"/>
        </w:rPr>
        <w:t xml:space="preserve"> many cadres</w:t>
      </w:r>
      <w:r w:rsidR="00DA6DAD">
        <w:rPr>
          <w:w w:val="103"/>
        </w:rPr>
        <w:t xml:space="preserve"> stayed in their house</w:t>
      </w:r>
      <w:r w:rsidR="00203018">
        <w:rPr>
          <w:w w:val="103"/>
        </w:rPr>
        <w:t xml:space="preserve">. </w:t>
      </w:r>
      <w:r w:rsidR="00DA6DAD">
        <w:rPr>
          <w:w w:val="103"/>
        </w:rPr>
        <w:t>The complainant reiterates that he hosted some LTT</w:t>
      </w:r>
      <w:r w:rsidRPr="001808C3">
        <w:rPr>
          <w:w w:val="103"/>
        </w:rPr>
        <w:t xml:space="preserve">E members in their family home in 2010 and helped them to obtain passports. He submits that a foreign national of Tamil origin was introduced to him by the LTTE members. </w:t>
      </w:r>
      <w:r w:rsidR="004A7EDA">
        <w:rPr>
          <w:w w:val="103"/>
        </w:rPr>
        <w:t>Prior to leaving Sri Lanka for</w:t>
      </w:r>
      <w:r w:rsidRPr="001808C3">
        <w:rPr>
          <w:w w:val="103"/>
        </w:rPr>
        <w:t xml:space="preserve"> India, </w:t>
      </w:r>
      <w:r w:rsidR="004A7EDA">
        <w:rPr>
          <w:w w:val="103"/>
        </w:rPr>
        <w:t>the person</w:t>
      </w:r>
      <w:r w:rsidRPr="001808C3">
        <w:rPr>
          <w:w w:val="103"/>
        </w:rPr>
        <w:t xml:space="preserve"> asked the complainant to take care of his possessions and keep them at </w:t>
      </w:r>
      <w:r w:rsidR="004A7EDA">
        <w:rPr>
          <w:w w:val="103"/>
        </w:rPr>
        <w:t xml:space="preserve">his </w:t>
      </w:r>
      <w:r w:rsidRPr="001808C3">
        <w:rPr>
          <w:w w:val="103"/>
        </w:rPr>
        <w:t xml:space="preserve">place and he had agreed. </w:t>
      </w:r>
      <w:r w:rsidR="004A7EDA">
        <w:rPr>
          <w:w w:val="103"/>
        </w:rPr>
        <w:t>There was some jewellery a</w:t>
      </w:r>
      <w:r w:rsidRPr="001808C3">
        <w:rPr>
          <w:w w:val="103"/>
        </w:rPr>
        <w:t>mong th</w:t>
      </w:r>
      <w:r w:rsidR="004A7EDA">
        <w:rPr>
          <w:w w:val="103"/>
        </w:rPr>
        <w:t>e</w:t>
      </w:r>
      <w:r w:rsidRPr="001808C3">
        <w:rPr>
          <w:w w:val="103"/>
        </w:rPr>
        <w:t xml:space="preserve"> person’s belongings</w:t>
      </w:r>
      <w:r w:rsidR="002F3938">
        <w:rPr>
          <w:w w:val="103"/>
        </w:rPr>
        <w:t xml:space="preserve"> and, f</w:t>
      </w:r>
      <w:r w:rsidRPr="001808C3">
        <w:rPr>
          <w:w w:val="103"/>
        </w:rPr>
        <w:t xml:space="preserve">or safety reasons, the complainant gave the jewellery to another friend until the </w:t>
      </w:r>
      <w:r w:rsidR="002F3938">
        <w:rPr>
          <w:w w:val="103"/>
        </w:rPr>
        <w:t>person</w:t>
      </w:r>
      <w:r w:rsidRPr="001808C3">
        <w:rPr>
          <w:w w:val="103"/>
        </w:rPr>
        <w:t xml:space="preserve"> came back. A week later, the complainant went to Bat</w:t>
      </w:r>
      <w:r w:rsidR="002F3938">
        <w:rPr>
          <w:w w:val="103"/>
        </w:rPr>
        <w:t>t</w:t>
      </w:r>
      <w:r w:rsidRPr="001808C3">
        <w:rPr>
          <w:w w:val="103"/>
        </w:rPr>
        <w:t>ic</w:t>
      </w:r>
      <w:r w:rsidR="002F3938">
        <w:rPr>
          <w:w w:val="103"/>
        </w:rPr>
        <w:t>a</w:t>
      </w:r>
      <w:r w:rsidRPr="001808C3">
        <w:rPr>
          <w:w w:val="103"/>
        </w:rPr>
        <w:t xml:space="preserve">loa to visit his mother. </w:t>
      </w:r>
      <w:r w:rsidR="002F3938">
        <w:rPr>
          <w:w w:val="103"/>
        </w:rPr>
        <w:t xml:space="preserve">When </w:t>
      </w:r>
      <w:r w:rsidRPr="001808C3">
        <w:rPr>
          <w:w w:val="103"/>
        </w:rPr>
        <w:t xml:space="preserve">he came back to Negombo, </w:t>
      </w:r>
      <w:r w:rsidR="002F3938">
        <w:rPr>
          <w:w w:val="103"/>
        </w:rPr>
        <w:t>he</w:t>
      </w:r>
      <w:r w:rsidRPr="001808C3">
        <w:rPr>
          <w:w w:val="103"/>
        </w:rPr>
        <w:t xml:space="preserve"> asked the friend to return the jewellery</w:t>
      </w:r>
      <w:r w:rsidR="002F3938">
        <w:rPr>
          <w:w w:val="103"/>
        </w:rPr>
        <w:t>,</w:t>
      </w:r>
      <w:r w:rsidRPr="001808C3">
        <w:rPr>
          <w:w w:val="103"/>
        </w:rPr>
        <w:t xml:space="preserve"> but </w:t>
      </w:r>
      <w:r w:rsidR="002F3938">
        <w:rPr>
          <w:w w:val="103"/>
        </w:rPr>
        <w:t>t</w:t>
      </w:r>
      <w:r w:rsidRPr="001808C3">
        <w:rPr>
          <w:w w:val="103"/>
        </w:rPr>
        <w:t xml:space="preserve">he </w:t>
      </w:r>
      <w:r w:rsidR="002F3938">
        <w:rPr>
          <w:w w:val="103"/>
        </w:rPr>
        <w:t xml:space="preserve">friend </w:t>
      </w:r>
      <w:r w:rsidRPr="001808C3">
        <w:rPr>
          <w:w w:val="103"/>
        </w:rPr>
        <w:t>refused</w:t>
      </w:r>
      <w:r w:rsidR="002F3938">
        <w:rPr>
          <w:w w:val="103"/>
        </w:rPr>
        <w:t>, saying</w:t>
      </w:r>
      <w:r w:rsidRPr="001808C3">
        <w:rPr>
          <w:w w:val="103"/>
        </w:rPr>
        <w:t xml:space="preserve"> that if the complainant continued to insist</w:t>
      </w:r>
      <w:r w:rsidR="002F3938">
        <w:rPr>
          <w:w w:val="103"/>
        </w:rPr>
        <w:t xml:space="preserve"> that he</w:t>
      </w:r>
      <w:r w:rsidRPr="001808C3">
        <w:rPr>
          <w:w w:val="103"/>
        </w:rPr>
        <w:t xml:space="preserve"> return</w:t>
      </w:r>
      <w:r w:rsidR="002F3938">
        <w:rPr>
          <w:w w:val="103"/>
        </w:rPr>
        <w:t xml:space="preserve"> the jewellery</w:t>
      </w:r>
      <w:r w:rsidRPr="001808C3">
        <w:rPr>
          <w:w w:val="103"/>
        </w:rPr>
        <w:t>, he would denounce him to the C</w:t>
      </w:r>
      <w:r w:rsidR="002F3938">
        <w:rPr>
          <w:w w:val="103"/>
        </w:rPr>
        <w:t xml:space="preserve">riminal </w:t>
      </w:r>
      <w:r w:rsidRPr="001808C3">
        <w:rPr>
          <w:w w:val="103"/>
        </w:rPr>
        <w:t>I</w:t>
      </w:r>
      <w:r w:rsidR="002F3938">
        <w:rPr>
          <w:w w:val="103"/>
        </w:rPr>
        <w:t xml:space="preserve">nvestigation </w:t>
      </w:r>
      <w:r w:rsidRPr="001808C3">
        <w:rPr>
          <w:w w:val="103"/>
        </w:rPr>
        <w:t>D</w:t>
      </w:r>
      <w:r w:rsidR="002F3938">
        <w:rPr>
          <w:w w:val="103"/>
        </w:rPr>
        <w:t>epartment</w:t>
      </w:r>
      <w:r w:rsidRPr="001808C3">
        <w:rPr>
          <w:w w:val="103"/>
        </w:rPr>
        <w:t xml:space="preserve"> and accuse</w:t>
      </w:r>
      <w:r w:rsidR="002F3938">
        <w:rPr>
          <w:w w:val="103"/>
        </w:rPr>
        <w:t xml:space="preserve"> him of having</w:t>
      </w:r>
      <w:r w:rsidRPr="001808C3">
        <w:rPr>
          <w:w w:val="103"/>
        </w:rPr>
        <w:t xml:space="preserve"> links to the LTTE. In the meantime, the I</w:t>
      </w:r>
      <w:r w:rsidR="002F3938">
        <w:rPr>
          <w:w w:val="103"/>
        </w:rPr>
        <w:t xml:space="preserve">nvestigation </w:t>
      </w:r>
      <w:r w:rsidRPr="001808C3">
        <w:rPr>
          <w:w w:val="103"/>
        </w:rPr>
        <w:t>D</w:t>
      </w:r>
      <w:r w:rsidR="002F3938">
        <w:rPr>
          <w:w w:val="103"/>
        </w:rPr>
        <w:t>epartment</w:t>
      </w:r>
      <w:r w:rsidRPr="001808C3">
        <w:rPr>
          <w:w w:val="103"/>
        </w:rPr>
        <w:t xml:space="preserve"> had learn</w:t>
      </w:r>
      <w:r w:rsidR="002F3938">
        <w:rPr>
          <w:w w:val="103"/>
        </w:rPr>
        <w:t>ed</w:t>
      </w:r>
      <w:r w:rsidRPr="001808C3">
        <w:rPr>
          <w:w w:val="103"/>
        </w:rPr>
        <w:t xml:space="preserve"> that LTTE members had stayed at the</w:t>
      </w:r>
      <w:r w:rsidR="004D4C4A" w:rsidRPr="004D4C4A">
        <w:rPr>
          <w:spacing w:val="4"/>
          <w:w w:val="103"/>
          <w:kern w:val="14"/>
        </w:rPr>
        <w:t xml:space="preserve"> complainant’s house. </w:t>
      </w:r>
      <w:r w:rsidR="002F3938">
        <w:rPr>
          <w:spacing w:val="4"/>
          <w:w w:val="103"/>
          <w:kern w:val="14"/>
        </w:rPr>
        <w:t xml:space="preserve">The complainant </w:t>
      </w:r>
      <w:r w:rsidR="004D4C4A" w:rsidRPr="004D4C4A">
        <w:rPr>
          <w:spacing w:val="4"/>
          <w:w w:val="103"/>
          <w:kern w:val="14"/>
        </w:rPr>
        <w:t>was arrested by the C</w:t>
      </w:r>
      <w:r w:rsidR="002F3938">
        <w:rPr>
          <w:spacing w:val="4"/>
          <w:w w:val="103"/>
          <w:kern w:val="14"/>
        </w:rPr>
        <w:t xml:space="preserve">riminal </w:t>
      </w:r>
      <w:r w:rsidR="004D4C4A" w:rsidRPr="004D4C4A">
        <w:rPr>
          <w:spacing w:val="4"/>
          <w:w w:val="103"/>
          <w:kern w:val="14"/>
        </w:rPr>
        <w:t>I</w:t>
      </w:r>
      <w:r w:rsidR="002F3938">
        <w:rPr>
          <w:spacing w:val="4"/>
          <w:w w:val="103"/>
          <w:kern w:val="14"/>
        </w:rPr>
        <w:t xml:space="preserve">nvestigation </w:t>
      </w:r>
      <w:r w:rsidR="004D4C4A" w:rsidRPr="004D4C4A">
        <w:rPr>
          <w:spacing w:val="4"/>
          <w:w w:val="103"/>
          <w:kern w:val="14"/>
        </w:rPr>
        <w:t>D</w:t>
      </w:r>
      <w:r w:rsidR="002F3938">
        <w:rPr>
          <w:spacing w:val="4"/>
          <w:w w:val="103"/>
          <w:kern w:val="14"/>
        </w:rPr>
        <w:t>epartment</w:t>
      </w:r>
      <w:r w:rsidR="004D4C4A" w:rsidRPr="004D4C4A">
        <w:rPr>
          <w:spacing w:val="4"/>
          <w:w w:val="103"/>
          <w:kern w:val="14"/>
        </w:rPr>
        <w:t xml:space="preserve"> on 17 September 2010</w:t>
      </w:r>
      <w:r w:rsidR="002F3938">
        <w:rPr>
          <w:spacing w:val="4"/>
          <w:w w:val="103"/>
          <w:kern w:val="14"/>
        </w:rPr>
        <w:t>. He</w:t>
      </w:r>
      <w:r w:rsidR="004D4C4A" w:rsidRPr="004D4C4A">
        <w:rPr>
          <w:spacing w:val="4"/>
          <w:w w:val="103"/>
          <w:kern w:val="14"/>
        </w:rPr>
        <w:t xml:space="preserve"> was released three days</w:t>
      </w:r>
      <w:r w:rsidR="002F3938">
        <w:rPr>
          <w:spacing w:val="4"/>
          <w:w w:val="103"/>
          <w:kern w:val="14"/>
        </w:rPr>
        <w:t xml:space="preserve"> later,</w:t>
      </w:r>
      <w:r w:rsidR="004D4C4A" w:rsidRPr="004D4C4A">
        <w:rPr>
          <w:spacing w:val="4"/>
          <w:w w:val="103"/>
          <w:kern w:val="14"/>
        </w:rPr>
        <w:t xml:space="preserve"> when his father paid a bribe</w:t>
      </w:r>
      <w:r w:rsidR="002F3938">
        <w:rPr>
          <w:spacing w:val="4"/>
          <w:w w:val="103"/>
          <w:kern w:val="14"/>
        </w:rPr>
        <w:t>,</w:t>
      </w:r>
      <w:r w:rsidR="004D4C4A" w:rsidRPr="004D4C4A">
        <w:rPr>
          <w:spacing w:val="4"/>
          <w:w w:val="103"/>
          <w:kern w:val="14"/>
        </w:rPr>
        <w:t xml:space="preserve"> and the I</w:t>
      </w:r>
      <w:r w:rsidR="002F3938">
        <w:rPr>
          <w:spacing w:val="4"/>
          <w:w w:val="103"/>
          <w:kern w:val="14"/>
        </w:rPr>
        <w:t xml:space="preserve">nvestigation </w:t>
      </w:r>
      <w:r w:rsidR="004D4C4A" w:rsidRPr="004D4C4A">
        <w:rPr>
          <w:spacing w:val="4"/>
          <w:w w:val="103"/>
          <w:kern w:val="14"/>
        </w:rPr>
        <w:t>D</w:t>
      </w:r>
      <w:r w:rsidR="002F3938">
        <w:rPr>
          <w:spacing w:val="4"/>
          <w:w w:val="103"/>
          <w:kern w:val="14"/>
        </w:rPr>
        <w:t>epartment</w:t>
      </w:r>
      <w:r w:rsidR="004D4C4A" w:rsidRPr="004D4C4A">
        <w:rPr>
          <w:spacing w:val="4"/>
          <w:w w:val="103"/>
          <w:kern w:val="14"/>
        </w:rPr>
        <w:t xml:space="preserve"> told him to leave the country as soon as possible. He reiterates his story concerning his tr</w:t>
      </w:r>
      <w:r w:rsidR="002F3938">
        <w:rPr>
          <w:spacing w:val="4"/>
          <w:w w:val="103"/>
          <w:kern w:val="14"/>
        </w:rPr>
        <w:t>avel</w:t>
      </w:r>
      <w:r w:rsidR="004D4C4A" w:rsidRPr="004D4C4A">
        <w:rPr>
          <w:spacing w:val="4"/>
          <w:w w:val="103"/>
          <w:kern w:val="14"/>
        </w:rPr>
        <w:t xml:space="preserve"> to Africa, his return to Sri Lanka</w:t>
      </w:r>
      <w:r w:rsidR="002F3938">
        <w:rPr>
          <w:spacing w:val="4"/>
          <w:w w:val="103"/>
          <w:kern w:val="14"/>
        </w:rPr>
        <w:t>,</w:t>
      </w:r>
      <w:r w:rsidR="004D4C4A" w:rsidRPr="004D4C4A">
        <w:rPr>
          <w:spacing w:val="4"/>
          <w:w w:val="103"/>
          <w:kern w:val="14"/>
        </w:rPr>
        <w:t xml:space="preserve"> his uncle’s help and h</w:t>
      </w:r>
      <w:r w:rsidR="002F3938">
        <w:rPr>
          <w:spacing w:val="4"/>
          <w:w w:val="103"/>
          <w:kern w:val="14"/>
        </w:rPr>
        <w:t>is</w:t>
      </w:r>
      <w:r w:rsidR="004D4C4A" w:rsidRPr="004D4C4A">
        <w:rPr>
          <w:spacing w:val="4"/>
          <w:w w:val="103"/>
          <w:kern w:val="14"/>
        </w:rPr>
        <w:t xml:space="preserve"> hiding in a church until 30 January 2012</w:t>
      </w:r>
      <w:r w:rsidR="002F3938">
        <w:rPr>
          <w:spacing w:val="4"/>
          <w:w w:val="103"/>
          <w:kern w:val="14"/>
        </w:rPr>
        <w:t xml:space="preserve">, after </w:t>
      </w:r>
      <w:r w:rsidR="004D4C4A" w:rsidRPr="004D4C4A">
        <w:rPr>
          <w:spacing w:val="4"/>
          <w:w w:val="103"/>
          <w:kern w:val="14"/>
        </w:rPr>
        <w:t xml:space="preserve">he had returned to his village in June 2011, </w:t>
      </w:r>
      <w:r w:rsidR="002F3938">
        <w:rPr>
          <w:spacing w:val="4"/>
          <w:w w:val="103"/>
          <w:kern w:val="14"/>
        </w:rPr>
        <w:t xml:space="preserve">and was told that </w:t>
      </w:r>
      <w:r w:rsidR="004D4C4A" w:rsidRPr="004D4C4A">
        <w:rPr>
          <w:spacing w:val="4"/>
          <w:w w:val="103"/>
          <w:kern w:val="14"/>
        </w:rPr>
        <w:t>the C</w:t>
      </w:r>
      <w:r w:rsidR="002F3938">
        <w:rPr>
          <w:spacing w:val="4"/>
          <w:w w:val="103"/>
          <w:kern w:val="14"/>
        </w:rPr>
        <w:t xml:space="preserve">riminal </w:t>
      </w:r>
      <w:r w:rsidR="004D4C4A" w:rsidRPr="004D4C4A">
        <w:rPr>
          <w:spacing w:val="4"/>
          <w:w w:val="103"/>
          <w:kern w:val="14"/>
        </w:rPr>
        <w:t>I</w:t>
      </w:r>
      <w:r w:rsidR="002F3938">
        <w:rPr>
          <w:spacing w:val="4"/>
          <w:w w:val="103"/>
          <w:kern w:val="14"/>
        </w:rPr>
        <w:t xml:space="preserve">nvestigation </w:t>
      </w:r>
      <w:r w:rsidR="004D4C4A" w:rsidRPr="004D4C4A">
        <w:rPr>
          <w:spacing w:val="4"/>
          <w:w w:val="103"/>
          <w:kern w:val="14"/>
        </w:rPr>
        <w:t>D</w:t>
      </w:r>
      <w:r w:rsidR="002F3938">
        <w:rPr>
          <w:spacing w:val="4"/>
          <w:w w:val="103"/>
          <w:kern w:val="14"/>
        </w:rPr>
        <w:t>epartment</w:t>
      </w:r>
      <w:r w:rsidR="004D4C4A" w:rsidRPr="004D4C4A">
        <w:rPr>
          <w:spacing w:val="4"/>
          <w:w w:val="103"/>
          <w:kern w:val="14"/>
        </w:rPr>
        <w:t xml:space="preserve"> was looking for </w:t>
      </w:r>
      <w:r w:rsidR="002F3938">
        <w:rPr>
          <w:spacing w:val="4"/>
          <w:w w:val="103"/>
          <w:kern w:val="14"/>
        </w:rPr>
        <w:t>him</w:t>
      </w:r>
      <w:r w:rsidR="004D4C4A" w:rsidRPr="004D4C4A">
        <w:rPr>
          <w:spacing w:val="4"/>
          <w:w w:val="103"/>
          <w:kern w:val="14"/>
        </w:rPr>
        <w:t xml:space="preserve"> and he was advised by his mother to leave the village. </w:t>
      </w:r>
    </w:p>
    <w:p w14:paraId="3BD99ED5" w14:textId="77777777" w:rsidR="007019C1" w:rsidRPr="007019C1" w:rsidRDefault="007019C1" w:rsidP="007B4BE8">
      <w:pPr>
        <w:pStyle w:val="SingleTxtG"/>
        <w:rPr>
          <w:w w:val="103"/>
        </w:rPr>
      </w:pPr>
      <w:r w:rsidRPr="007019C1">
        <w:rPr>
          <w:w w:val="103"/>
        </w:rPr>
        <w:t xml:space="preserve">5.2 </w:t>
      </w:r>
      <w:r>
        <w:rPr>
          <w:w w:val="103"/>
        </w:rPr>
        <w:tab/>
      </w:r>
      <w:r w:rsidRPr="007019C1">
        <w:rPr>
          <w:w w:val="103"/>
        </w:rPr>
        <w:t>The complainant maintains that</w:t>
      </w:r>
      <w:r w:rsidR="002F3938">
        <w:rPr>
          <w:w w:val="103"/>
        </w:rPr>
        <w:t>,</w:t>
      </w:r>
      <w:r w:rsidRPr="007019C1">
        <w:rPr>
          <w:w w:val="103"/>
        </w:rPr>
        <w:t xml:space="preserve"> since he is “a wanted person and not a recogni</w:t>
      </w:r>
      <w:r w:rsidR="002F3938">
        <w:rPr>
          <w:w w:val="103"/>
        </w:rPr>
        <w:t>z</w:t>
      </w:r>
      <w:r w:rsidRPr="007019C1">
        <w:rPr>
          <w:w w:val="103"/>
        </w:rPr>
        <w:t xml:space="preserve">ed asylum seeker”, he will be detained in Sri Lanka upon return and he fears that he will be tortured and killed. He submits that he </w:t>
      </w:r>
      <w:r w:rsidR="00EC20C5">
        <w:rPr>
          <w:w w:val="103"/>
        </w:rPr>
        <w:t>told</w:t>
      </w:r>
      <w:r w:rsidRPr="007019C1">
        <w:rPr>
          <w:w w:val="103"/>
        </w:rPr>
        <w:t xml:space="preserve"> the </w:t>
      </w:r>
      <w:r w:rsidR="006E0F28" w:rsidRPr="00B03DB4">
        <w:rPr>
          <w:w w:val="103"/>
        </w:rPr>
        <w:t>Department of Immigration and Border Protection</w:t>
      </w:r>
      <w:r w:rsidRPr="007019C1">
        <w:rPr>
          <w:w w:val="103"/>
        </w:rPr>
        <w:t xml:space="preserve"> and </w:t>
      </w:r>
      <w:r w:rsidR="006E0F28">
        <w:rPr>
          <w:w w:val="103"/>
        </w:rPr>
        <w:t xml:space="preserve">the </w:t>
      </w:r>
      <w:r w:rsidRPr="007019C1">
        <w:rPr>
          <w:w w:val="103"/>
        </w:rPr>
        <w:t>R</w:t>
      </w:r>
      <w:r w:rsidR="006E0F28">
        <w:rPr>
          <w:w w:val="103"/>
        </w:rPr>
        <w:t xml:space="preserve">efugee </w:t>
      </w:r>
      <w:r w:rsidRPr="007019C1">
        <w:rPr>
          <w:w w:val="103"/>
        </w:rPr>
        <w:t>R</w:t>
      </w:r>
      <w:r w:rsidR="006E0F28">
        <w:rPr>
          <w:w w:val="103"/>
        </w:rPr>
        <w:t xml:space="preserve">eview </w:t>
      </w:r>
      <w:r w:rsidRPr="007019C1">
        <w:rPr>
          <w:w w:val="103"/>
        </w:rPr>
        <w:t>T</w:t>
      </w:r>
      <w:r w:rsidR="006E0F28">
        <w:rPr>
          <w:w w:val="103"/>
        </w:rPr>
        <w:t>ribunal</w:t>
      </w:r>
      <w:r w:rsidRPr="007019C1">
        <w:rPr>
          <w:w w:val="103"/>
        </w:rPr>
        <w:t xml:space="preserve"> that he would be subjected to torture upon return to Sri Lanka</w:t>
      </w:r>
      <w:r w:rsidR="006E0F28">
        <w:rPr>
          <w:w w:val="103"/>
        </w:rPr>
        <w:t>,</w:t>
      </w:r>
      <w:r w:rsidRPr="007019C1">
        <w:rPr>
          <w:w w:val="103"/>
        </w:rPr>
        <w:t xml:space="preserve"> </w:t>
      </w:r>
      <w:r w:rsidR="006E0F28">
        <w:rPr>
          <w:w w:val="103"/>
        </w:rPr>
        <w:t>owing</w:t>
      </w:r>
      <w:r w:rsidRPr="007019C1">
        <w:rPr>
          <w:w w:val="103"/>
        </w:rPr>
        <w:t xml:space="preserve"> to his family’s and his own involvement with </w:t>
      </w:r>
      <w:r w:rsidR="00EC20C5">
        <w:rPr>
          <w:w w:val="103"/>
        </w:rPr>
        <w:t xml:space="preserve">the </w:t>
      </w:r>
      <w:r w:rsidRPr="007019C1">
        <w:rPr>
          <w:w w:val="103"/>
        </w:rPr>
        <w:t xml:space="preserve">LTTE. He notes that the current situation in Sri Lanka “illustrates how people who had connections with </w:t>
      </w:r>
      <w:r w:rsidR="00EC20C5">
        <w:rPr>
          <w:w w:val="103"/>
        </w:rPr>
        <w:t xml:space="preserve">the </w:t>
      </w:r>
      <w:r w:rsidRPr="007019C1">
        <w:rPr>
          <w:w w:val="103"/>
        </w:rPr>
        <w:t xml:space="preserve">LTTE had undergone severe torture </w:t>
      </w:r>
      <w:r w:rsidR="00EC20C5">
        <w:rPr>
          <w:w w:val="103"/>
        </w:rPr>
        <w:t>at</w:t>
      </w:r>
      <w:r w:rsidRPr="007019C1">
        <w:rPr>
          <w:w w:val="103"/>
        </w:rPr>
        <w:t xml:space="preserve"> the hands of the police and army personals</w:t>
      </w:r>
      <w:r w:rsidR="00EC20C5">
        <w:rPr>
          <w:w w:val="103"/>
        </w:rPr>
        <w:t>”</w:t>
      </w:r>
      <w:r w:rsidRPr="007019C1">
        <w:rPr>
          <w:w w:val="103"/>
        </w:rPr>
        <w:t xml:space="preserve">. </w:t>
      </w:r>
      <w:r w:rsidR="00EC20C5">
        <w:rPr>
          <w:w w:val="103"/>
        </w:rPr>
        <w:t>He claims that i</w:t>
      </w:r>
      <w:r w:rsidRPr="007019C1">
        <w:rPr>
          <w:w w:val="103"/>
        </w:rPr>
        <w:t>t is still happening even after the regime has changed. In th</w:t>
      </w:r>
      <w:r w:rsidR="00E15DAE">
        <w:rPr>
          <w:w w:val="103"/>
        </w:rPr>
        <w:t>at</w:t>
      </w:r>
      <w:r w:rsidRPr="007019C1">
        <w:rPr>
          <w:w w:val="103"/>
        </w:rPr>
        <w:t xml:space="preserve"> regard, the complainant </w:t>
      </w:r>
      <w:r w:rsidR="00E15DAE">
        <w:rPr>
          <w:w w:val="103"/>
        </w:rPr>
        <w:t>states</w:t>
      </w:r>
      <w:r w:rsidRPr="007019C1">
        <w:rPr>
          <w:w w:val="103"/>
        </w:rPr>
        <w:t xml:space="preserve"> that</w:t>
      </w:r>
      <w:r w:rsidR="00E15DAE">
        <w:rPr>
          <w:w w:val="103"/>
        </w:rPr>
        <w:t xml:space="preserve"> </w:t>
      </w:r>
      <w:r w:rsidRPr="007019C1">
        <w:rPr>
          <w:w w:val="103"/>
        </w:rPr>
        <w:t>a Tamil</w:t>
      </w:r>
      <w:r w:rsidR="00E15DAE">
        <w:rPr>
          <w:w w:val="103"/>
        </w:rPr>
        <w:t>,</w:t>
      </w:r>
      <w:r w:rsidRPr="007019C1">
        <w:rPr>
          <w:w w:val="103"/>
        </w:rPr>
        <w:t xml:space="preserve"> who had recently been returned from Dubai, as well as six other Sri Lankans, who had been deported from Italy, were arrested and tortured in Colombo</w:t>
      </w:r>
      <w:r w:rsidR="00203018">
        <w:rPr>
          <w:w w:val="103"/>
        </w:rPr>
        <w:t>.</w:t>
      </w:r>
      <w:r w:rsidRPr="007019C1">
        <w:rPr>
          <w:w w:val="103"/>
        </w:rPr>
        <w:t xml:space="preserve"> He submits that he cannot provide any documents attesting </w:t>
      </w:r>
      <w:r w:rsidR="00E15DAE">
        <w:rPr>
          <w:w w:val="103"/>
        </w:rPr>
        <w:t xml:space="preserve">to </w:t>
      </w:r>
      <w:r w:rsidRPr="007019C1">
        <w:rPr>
          <w:w w:val="103"/>
        </w:rPr>
        <w:t>his arrest and detention</w:t>
      </w:r>
      <w:r w:rsidR="00E15DAE">
        <w:rPr>
          <w:w w:val="103"/>
        </w:rPr>
        <w:t>,</w:t>
      </w:r>
      <w:r w:rsidRPr="007019C1">
        <w:rPr>
          <w:w w:val="103"/>
        </w:rPr>
        <w:t xml:space="preserve"> as the police did not “file the case”. He </w:t>
      </w:r>
      <w:r w:rsidR="00E15DAE">
        <w:rPr>
          <w:w w:val="103"/>
        </w:rPr>
        <w:t>emphasizes</w:t>
      </w:r>
      <w:r w:rsidRPr="007019C1">
        <w:rPr>
          <w:w w:val="103"/>
        </w:rPr>
        <w:t xml:space="preserve"> that</w:t>
      </w:r>
      <w:r w:rsidR="00E15DAE">
        <w:rPr>
          <w:w w:val="103"/>
        </w:rPr>
        <w:t>,</w:t>
      </w:r>
      <w:r w:rsidRPr="007019C1">
        <w:rPr>
          <w:w w:val="103"/>
        </w:rPr>
        <w:t xml:space="preserve"> </w:t>
      </w:r>
      <w:r w:rsidR="00E15DAE">
        <w:rPr>
          <w:w w:val="103"/>
        </w:rPr>
        <w:t>a</w:t>
      </w:r>
      <w:r w:rsidRPr="007019C1">
        <w:rPr>
          <w:w w:val="103"/>
        </w:rPr>
        <w:t>s a young Tamil coming from a particular place in Sri Lanka</w:t>
      </w:r>
      <w:r w:rsidR="00E15DAE">
        <w:rPr>
          <w:w w:val="103"/>
        </w:rPr>
        <w:t>,</w:t>
      </w:r>
      <w:r w:rsidRPr="007019C1">
        <w:rPr>
          <w:w w:val="103"/>
        </w:rPr>
        <w:t xml:space="preserve"> he fear</w:t>
      </w:r>
      <w:r w:rsidR="00E15DAE">
        <w:rPr>
          <w:w w:val="103"/>
        </w:rPr>
        <w:t>s</w:t>
      </w:r>
      <w:r w:rsidRPr="007019C1">
        <w:rPr>
          <w:w w:val="103"/>
        </w:rPr>
        <w:t xml:space="preserve"> being subjected to arrest and torture upon return. The complainant provides several publications </w:t>
      </w:r>
      <w:r w:rsidR="00E15DAE">
        <w:rPr>
          <w:w w:val="103"/>
        </w:rPr>
        <w:t>about</w:t>
      </w:r>
      <w:r w:rsidRPr="007019C1">
        <w:rPr>
          <w:w w:val="103"/>
        </w:rPr>
        <w:t xml:space="preserve"> arrests, including </w:t>
      </w:r>
      <w:r w:rsidR="00E15DAE">
        <w:rPr>
          <w:w w:val="103"/>
        </w:rPr>
        <w:t>at</w:t>
      </w:r>
      <w:r w:rsidRPr="007019C1">
        <w:rPr>
          <w:w w:val="103"/>
        </w:rPr>
        <w:t xml:space="preserve"> the airport</w:t>
      </w:r>
      <w:r w:rsidR="00E15DAE">
        <w:rPr>
          <w:w w:val="103"/>
        </w:rPr>
        <w:t>,</w:t>
      </w:r>
      <w:r w:rsidRPr="007019C1">
        <w:rPr>
          <w:w w:val="103"/>
        </w:rPr>
        <w:t xml:space="preserve"> and killings of ethnic Tamils connected </w:t>
      </w:r>
      <w:r w:rsidR="00E15DAE">
        <w:rPr>
          <w:w w:val="103"/>
        </w:rPr>
        <w:t xml:space="preserve">to </w:t>
      </w:r>
      <w:r w:rsidRPr="007019C1">
        <w:rPr>
          <w:w w:val="103"/>
        </w:rPr>
        <w:t xml:space="preserve">or suspected of being connected </w:t>
      </w:r>
      <w:r w:rsidR="00E15DAE">
        <w:rPr>
          <w:w w:val="103"/>
        </w:rPr>
        <w:t>to</w:t>
      </w:r>
      <w:r w:rsidRPr="007019C1">
        <w:rPr>
          <w:w w:val="103"/>
        </w:rPr>
        <w:t xml:space="preserve"> the LTTE</w:t>
      </w:r>
      <w:r w:rsidR="00203018">
        <w:rPr>
          <w:w w:val="103"/>
        </w:rPr>
        <w:t>.</w:t>
      </w:r>
    </w:p>
    <w:p w14:paraId="26AF3602" w14:textId="77777777" w:rsidR="00E61D3D" w:rsidRDefault="007019C1" w:rsidP="001509D6">
      <w:pPr>
        <w:pStyle w:val="SingleTxtG"/>
        <w:rPr>
          <w:spacing w:val="4"/>
          <w:w w:val="103"/>
          <w:kern w:val="14"/>
        </w:rPr>
      </w:pPr>
      <w:r w:rsidRPr="007019C1">
        <w:rPr>
          <w:w w:val="103"/>
        </w:rPr>
        <w:t xml:space="preserve">5.3 </w:t>
      </w:r>
      <w:r>
        <w:rPr>
          <w:w w:val="103"/>
        </w:rPr>
        <w:tab/>
      </w:r>
      <w:r w:rsidRPr="007019C1">
        <w:rPr>
          <w:w w:val="103"/>
        </w:rPr>
        <w:t>The complainant further submits that</w:t>
      </w:r>
      <w:r w:rsidR="007B4BE8">
        <w:rPr>
          <w:w w:val="103"/>
        </w:rPr>
        <w:t>,</w:t>
      </w:r>
      <w:r w:rsidRPr="007019C1">
        <w:rPr>
          <w:w w:val="103"/>
        </w:rPr>
        <w:t xml:space="preserve"> even though he was given </w:t>
      </w:r>
      <w:r w:rsidR="009550FF">
        <w:rPr>
          <w:w w:val="103"/>
        </w:rPr>
        <w:t xml:space="preserve">the </w:t>
      </w:r>
      <w:r w:rsidRPr="007019C1">
        <w:rPr>
          <w:w w:val="103"/>
        </w:rPr>
        <w:t xml:space="preserve">opportunity to make submissions before the </w:t>
      </w:r>
      <w:r w:rsidR="00E15DAE">
        <w:rPr>
          <w:w w:val="103"/>
        </w:rPr>
        <w:t>Australian</w:t>
      </w:r>
      <w:r w:rsidRPr="007019C1">
        <w:rPr>
          <w:w w:val="103"/>
        </w:rPr>
        <w:t xml:space="preserve"> authorities, the respective </w:t>
      </w:r>
      <w:r w:rsidR="007B4BE8">
        <w:rPr>
          <w:w w:val="103"/>
        </w:rPr>
        <w:t>authorities</w:t>
      </w:r>
      <w:r w:rsidRPr="007019C1">
        <w:rPr>
          <w:w w:val="103"/>
        </w:rPr>
        <w:t xml:space="preserve"> did not take into account </w:t>
      </w:r>
      <w:r w:rsidR="009550FF">
        <w:rPr>
          <w:w w:val="103"/>
        </w:rPr>
        <w:t xml:space="preserve">the fact </w:t>
      </w:r>
      <w:r w:rsidRPr="007019C1">
        <w:rPr>
          <w:w w:val="103"/>
        </w:rPr>
        <w:t>that his father was shot</w:t>
      </w:r>
      <w:r w:rsidR="009550FF">
        <w:rPr>
          <w:w w:val="103"/>
        </w:rPr>
        <w:t>,</w:t>
      </w:r>
      <w:r w:rsidRPr="007019C1">
        <w:rPr>
          <w:w w:val="103"/>
        </w:rPr>
        <w:t xml:space="preserve"> </w:t>
      </w:r>
      <w:r w:rsidR="007B4BE8">
        <w:rPr>
          <w:w w:val="103"/>
        </w:rPr>
        <w:t xml:space="preserve">nor did </w:t>
      </w:r>
      <w:r w:rsidRPr="007019C1">
        <w:rPr>
          <w:w w:val="103"/>
        </w:rPr>
        <w:t xml:space="preserve">they request information </w:t>
      </w:r>
      <w:r w:rsidR="009550FF">
        <w:rPr>
          <w:w w:val="103"/>
        </w:rPr>
        <w:t>about</w:t>
      </w:r>
      <w:r w:rsidRPr="007019C1">
        <w:rPr>
          <w:w w:val="103"/>
        </w:rPr>
        <w:t xml:space="preserve"> the circumstances of </w:t>
      </w:r>
      <w:r w:rsidR="009550FF">
        <w:rPr>
          <w:w w:val="103"/>
        </w:rPr>
        <w:t>his</w:t>
      </w:r>
      <w:r w:rsidRPr="007019C1">
        <w:rPr>
          <w:w w:val="103"/>
        </w:rPr>
        <w:t xml:space="preserve"> father’s death</w:t>
      </w:r>
      <w:r w:rsidR="007B4BE8">
        <w:rPr>
          <w:w w:val="103"/>
        </w:rPr>
        <w:t xml:space="preserve"> </w:t>
      </w:r>
      <w:r w:rsidR="009550FF">
        <w:rPr>
          <w:w w:val="103"/>
        </w:rPr>
        <w:t>or take into account</w:t>
      </w:r>
      <w:r w:rsidRPr="007019C1">
        <w:rPr>
          <w:w w:val="103"/>
        </w:rPr>
        <w:t xml:space="preserve"> the fact that his uncle was ill-treated</w:t>
      </w:r>
      <w:r w:rsidR="007B4BE8">
        <w:rPr>
          <w:w w:val="103"/>
        </w:rPr>
        <w:t xml:space="preserve"> for helping him</w:t>
      </w:r>
      <w:r w:rsidR="009550FF">
        <w:rPr>
          <w:w w:val="103"/>
        </w:rPr>
        <w:t>, among other things</w:t>
      </w:r>
      <w:r w:rsidRPr="007019C1">
        <w:rPr>
          <w:w w:val="103"/>
        </w:rPr>
        <w:t>. In th</w:t>
      </w:r>
      <w:r w:rsidR="009550FF">
        <w:rPr>
          <w:w w:val="103"/>
        </w:rPr>
        <w:t>at</w:t>
      </w:r>
      <w:r w:rsidRPr="007019C1">
        <w:rPr>
          <w:w w:val="103"/>
        </w:rPr>
        <w:t xml:space="preserve"> regard, the complainant notes that he g</w:t>
      </w:r>
      <w:r w:rsidR="009550FF">
        <w:rPr>
          <w:w w:val="103"/>
        </w:rPr>
        <w:t>ave</w:t>
      </w:r>
      <w:r w:rsidRPr="007019C1">
        <w:rPr>
          <w:w w:val="103"/>
        </w:rPr>
        <w:t xml:space="preserve"> all the information concerning his </w:t>
      </w:r>
      <w:r w:rsidR="002302C4">
        <w:rPr>
          <w:w w:val="103"/>
        </w:rPr>
        <w:t xml:space="preserve">risk of </w:t>
      </w:r>
      <w:r w:rsidRPr="007019C1">
        <w:rPr>
          <w:w w:val="103"/>
        </w:rPr>
        <w:t xml:space="preserve">persecution and all </w:t>
      </w:r>
      <w:r w:rsidR="002302C4">
        <w:rPr>
          <w:w w:val="103"/>
        </w:rPr>
        <w:t xml:space="preserve">the </w:t>
      </w:r>
      <w:r w:rsidRPr="007019C1">
        <w:rPr>
          <w:w w:val="103"/>
        </w:rPr>
        <w:t xml:space="preserve">documents </w:t>
      </w:r>
      <w:r w:rsidR="002302C4">
        <w:rPr>
          <w:w w:val="103"/>
        </w:rPr>
        <w:t>to</w:t>
      </w:r>
      <w:r w:rsidRPr="007019C1">
        <w:rPr>
          <w:w w:val="103"/>
        </w:rPr>
        <w:t xml:space="preserve"> support his claims. He also reiterates his arguments about the name of the church </w:t>
      </w:r>
      <w:r w:rsidR="002302C4">
        <w:rPr>
          <w:w w:val="103"/>
        </w:rPr>
        <w:t>in which</w:t>
      </w:r>
      <w:r w:rsidRPr="007019C1">
        <w:rPr>
          <w:w w:val="103"/>
        </w:rPr>
        <w:t xml:space="preserve"> he had sought refuge until 30 January 2012. The complainant</w:t>
      </w:r>
      <w:r w:rsidR="009C28F9">
        <w:rPr>
          <w:w w:val="103"/>
        </w:rPr>
        <w:t xml:space="preserve"> </w:t>
      </w:r>
      <w:r w:rsidR="009C28F9" w:rsidRPr="009C28F9">
        <w:rPr>
          <w:spacing w:val="4"/>
          <w:w w:val="103"/>
          <w:kern w:val="14"/>
        </w:rPr>
        <w:t>further refers to a report</w:t>
      </w:r>
      <w:r w:rsidR="002302C4">
        <w:rPr>
          <w:spacing w:val="4"/>
          <w:w w:val="103"/>
          <w:kern w:val="14"/>
        </w:rPr>
        <w:t>,</w:t>
      </w:r>
      <w:r w:rsidR="009C28F9" w:rsidRPr="009C28F9">
        <w:rPr>
          <w:spacing w:val="4"/>
          <w:w w:val="103"/>
          <w:kern w:val="14"/>
        </w:rPr>
        <w:t xml:space="preserve"> which states that even if a deportee is released on bail, “either cash or personnel”, that person is not fully free </w:t>
      </w:r>
      <w:r w:rsidR="002302C4">
        <w:rPr>
          <w:spacing w:val="4"/>
          <w:w w:val="103"/>
          <w:kern w:val="14"/>
        </w:rPr>
        <w:t>n</w:t>
      </w:r>
      <w:r w:rsidR="009C28F9" w:rsidRPr="009C28F9">
        <w:rPr>
          <w:spacing w:val="4"/>
          <w:w w:val="103"/>
          <w:kern w:val="14"/>
        </w:rPr>
        <w:t xml:space="preserve">or has </w:t>
      </w:r>
      <w:r w:rsidR="002302C4">
        <w:rPr>
          <w:spacing w:val="4"/>
          <w:w w:val="103"/>
          <w:kern w:val="14"/>
        </w:rPr>
        <w:t xml:space="preserve">the </w:t>
      </w:r>
      <w:r w:rsidR="009C28F9" w:rsidRPr="009C28F9">
        <w:rPr>
          <w:spacing w:val="4"/>
          <w:w w:val="103"/>
          <w:kern w:val="14"/>
        </w:rPr>
        <w:t>freedom to live in his native place</w:t>
      </w:r>
      <w:r w:rsidR="002302C4">
        <w:rPr>
          <w:spacing w:val="4"/>
          <w:w w:val="103"/>
          <w:kern w:val="14"/>
        </w:rPr>
        <w:t xml:space="preserve"> if it</w:t>
      </w:r>
      <w:r w:rsidR="009C28F9" w:rsidRPr="009C28F9">
        <w:rPr>
          <w:spacing w:val="4"/>
          <w:w w:val="103"/>
          <w:kern w:val="14"/>
        </w:rPr>
        <w:t xml:space="preserve"> is in the </w:t>
      </w:r>
      <w:r w:rsidR="002302C4">
        <w:rPr>
          <w:spacing w:val="4"/>
          <w:w w:val="103"/>
          <w:kern w:val="14"/>
        </w:rPr>
        <w:t>n</w:t>
      </w:r>
      <w:r w:rsidR="009C28F9" w:rsidRPr="009C28F9">
        <w:rPr>
          <w:spacing w:val="4"/>
          <w:w w:val="103"/>
          <w:kern w:val="14"/>
        </w:rPr>
        <w:t xml:space="preserve">orth or </w:t>
      </w:r>
      <w:r w:rsidR="002302C4">
        <w:rPr>
          <w:spacing w:val="4"/>
          <w:w w:val="103"/>
          <w:kern w:val="14"/>
        </w:rPr>
        <w:t>e</w:t>
      </w:r>
      <w:r w:rsidR="009C28F9" w:rsidRPr="009C28F9">
        <w:rPr>
          <w:spacing w:val="4"/>
          <w:w w:val="103"/>
          <w:kern w:val="14"/>
        </w:rPr>
        <w:t>ast</w:t>
      </w:r>
      <w:r w:rsidR="002302C4">
        <w:rPr>
          <w:spacing w:val="4"/>
          <w:w w:val="103"/>
          <w:kern w:val="14"/>
        </w:rPr>
        <w:t>, because o</w:t>
      </w:r>
      <w:r w:rsidR="009C28F9" w:rsidRPr="009C28F9">
        <w:rPr>
          <w:spacing w:val="4"/>
          <w:w w:val="103"/>
          <w:kern w:val="14"/>
        </w:rPr>
        <w:t>ne of the bail conditions is to appear in court</w:t>
      </w:r>
      <w:r w:rsidR="007B4BE8">
        <w:rPr>
          <w:spacing w:val="4"/>
          <w:w w:val="103"/>
          <w:kern w:val="14"/>
        </w:rPr>
        <w:t xml:space="preserve"> </w:t>
      </w:r>
      <w:r w:rsidR="009C28F9" w:rsidRPr="009C28F9">
        <w:rPr>
          <w:spacing w:val="4"/>
          <w:w w:val="103"/>
          <w:kern w:val="14"/>
        </w:rPr>
        <w:t xml:space="preserve">in the </w:t>
      </w:r>
      <w:r w:rsidR="008A206A">
        <w:rPr>
          <w:spacing w:val="4"/>
          <w:w w:val="103"/>
          <w:kern w:val="14"/>
        </w:rPr>
        <w:t>s</w:t>
      </w:r>
      <w:r w:rsidR="009C28F9" w:rsidRPr="009C28F9">
        <w:rPr>
          <w:spacing w:val="4"/>
          <w:w w:val="103"/>
          <w:kern w:val="14"/>
        </w:rPr>
        <w:t xml:space="preserve">outh (Negombo) </w:t>
      </w:r>
      <w:r w:rsidR="008A206A">
        <w:rPr>
          <w:spacing w:val="4"/>
          <w:w w:val="103"/>
          <w:kern w:val="14"/>
        </w:rPr>
        <w:t>at regular intervals</w:t>
      </w:r>
      <w:r w:rsidR="009C28F9" w:rsidRPr="009C28F9">
        <w:rPr>
          <w:spacing w:val="4"/>
          <w:w w:val="103"/>
          <w:kern w:val="14"/>
        </w:rPr>
        <w:t xml:space="preserve">. </w:t>
      </w:r>
      <w:r w:rsidR="008A206A">
        <w:rPr>
          <w:spacing w:val="4"/>
          <w:w w:val="103"/>
          <w:kern w:val="14"/>
        </w:rPr>
        <w:t>He notes that s</w:t>
      </w:r>
      <w:r w:rsidR="009C28F9" w:rsidRPr="009C28F9">
        <w:rPr>
          <w:spacing w:val="4"/>
          <w:w w:val="103"/>
          <w:kern w:val="14"/>
        </w:rPr>
        <w:t xml:space="preserve">ome of the cases have stretched over </w:t>
      </w:r>
      <w:r w:rsidR="008A206A">
        <w:rPr>
          <w:spacing w:val="4"/>
          <w:w w:val="103"/>
          <w:kern w:val="14"/>
        </w:rPr>
        <w:t>five</w:t>
      </w:r>
      <w:r w:rsidR="009C28F9" w:rsidRPr="009C28F9">
        <w:rPr>
          <w:spacing w:val="4"/>
          <w:w w:val="103"/>
          <w:kern w:val="14"/>
        </w:rPr>
        <w:t xml:space="preserve"> years</w:t>
      </w:r>
      <w:r w:rsidR="007B4BE8">
        <w:rPr>
          <w:spacing w:val="4"/>
          <w:w w:val="103"/>
          <w:kern w:val="14"/>
        </w:rPr>
        <w:t xml:space="preserve"> and d</w:t>
      </w:r>
      <w:r w:rsidR="009C28F9" w:rsidRPr="009C28F9">
        <w:rPr>
          <w:spacing w:val="4"/>
          <w:w w:val="103"/>
          <w:kern w:val="14"/>
        </w:rPr>
        <w:t>uring th</w:t>
      </w:r>
      <w:r w:rsidR="008A206A">
        <w:rPr>
          <w:spacing w:val="4"/>
          <w:w w:val="103"/>
          <w:kern w:val="14"/>
        </w:rPr>
        <w:t>at</w:t>
      </w:r>
      <w:r w:rsidR="009C28F9" w:rsidRPr="009C28F9">
        <w:rPr>
          <w:spacing w:val="4"/>
          <w:w w:val="103"/>
          <w:kern w:val="14"/>
        </w:rPr>
        <w:t xml:space="preserve"> period</w:t>
      </w:r>
      <w:r w:rsidR="008A206A">
        <w:rPr>
          <w:spacing w:val="4"/>
          <w:w w:val="103"/>
          <w:kern w:val="14"/>
        </w:rPr>
        <w:t xml:space="preserve">, </w:t>
      </w:r>
      <w:r w:rsidR="009C28F9" w:rsidRPr="009C28F9">
        <w:rPr>
          <w:spacing w:val="4"/>
          <w:w w:val="103"/>
          <w:kern w:val="14"/>
        </w:rPr>
        <w:t>th</w:t>
      </w:r>
      <w:r w:rsidR="008A206A">
        <w:rPr>
          <w:spacing w:val="4"/>
          <w:w w:val="103"/>
          <w:kern w:val="14"/>
        </w:rPr>
        <w:t>e</w:t>
      </w:r>
      <w:r w:rsidR="009C28F9" w:rsidRPr="009C28F9">
        <w:rPr>
          <w:spacing w:val="4"/>
          <w:w w:val="103"/>
          <w:kern w:val="14"/>
        </w:rPr>
        <w:t xml:space="preserve"> person cannot be employed or leave the country for any reason.</w:t>
      </w:r>
    </w:p>
    <w:p w14:paraId="2AB7C265" w14:textId="77777777" w:rsidR="009C28F9" w:rsidRPr="009C28F9" w:rsidRDefault="009C28F9" w:rsidP="008A206A">
      <w:pPr>
        <w:pStyle w:val="SingleTxtG"/>
        <w:rPr>
          <w:w w:val="103"/>
        </w:rPr>
      </w:pPr>
      <w:r w:rsidRPr="009C28F9">
        <w:rPr>
          <w:w w:val="103"/>
        </w:rPr>
        <w:t xml:space="preserve">5.4 </w:t>
      </w:r>
      <w:r>
        <w:rPr>
          <w:w w:val="103"/>
        </w:rPr>
        <w:tab/>
      </w:r>
      <w:r w:rsidRPr="009C28F9">
        <w:rPr>
          <w:w w:val="103"/>
        </w:rPr>
        <w:t xml:space="preserve">The complainant submits that he was detained in Sri Lanka in 2010 for about three days and that the police inquiry was mainly about the two </w:t>
      </w:r>
      <w:r w:rsidR="008A206A">
        <w:rPr>
          <w:w w:val="103"/>
        </w:rPr>
        <w:t>people</w:t>
      </w:r>
      <w:r w:rsidRPr="009C28F9">
        <w:rPr>
          <w:w w:val="103"/>
        </w:rPr>
        <w:t xml:space="preserve"> who had stayed at his house. He maintains that</w:t>
      </w:r>
      <w:r w:rsidR="007B4BE8">
        <w:rPr>
          <w:w w:val="103"/>
        </w:rPr>
        <w:t>,</w:t>
      </w:r>
      <w:r w:rsidRPr="009C28F9">
        <w:rPr>
          <w:w w:val="103"/>
        </w:rPr>
        <w:t xml:space="preserve"> as a result of the “assault and torture” he had </w:t>
      </w:r>
      <w:r w:rsidR="008A206A">
        <w:rPr>
          <w:w w:val="103"/>
        </w:rPr>
        <w:t>endured</w:t>
      </w:r>
      <w:r w:rsidRPr="009C28F9">
        <w:rPr>
          <w:w w:val="103"/>
        </w:rPr>
        <w:t xml:space="preserve"> while in detention, he </w:t>
      </w:r>
      <w:r w:rsidR="008A206A">
        <w:rPr>
          <w:w w:val="103"/>
        </w:rPr>
        <w:t>has</w:t>
      </w:r>
      <w:r w:rsidRPr="009C28F9">
        <w:rPr>
          <w:w w:val="103"/>
        </w:rPr>
        <w:t xml:space="preserve"> nightmares and sleep difficulties. In th</w:t>
      </w:r>
      <w:r w:rsidR="008A206A">
        <w:rPr>
          <w:w w:val="103"/>
        </w:rPr>
        <w:t>at</w:t>
      </w:r>
      <w:r w:rsidRPr="009C28F9">
        <w:rPr>
          <w:w w:val="103"/>
        </w:rPr>
        <w:t xml:space="preserve"> regard, he states that he ha</w:t>
      </w:r>
      <w:r w:rsidR="008A206A">
        <w:rPr>
          <w:w w:val="103"/>
        </w:rPr>
        <w:t>s</w:t>
      </w:r>
      <w:r w:rsidRPr="009C28F9">
        <w:rPr>
          <w:w w:val="103"/>
        </w:rPr>
        <w:t xml:space="preserve"> been referred to several mental</w:t>
      </w:r>
      <w:r w:rsidR="008A206A">
        <w:rPr>
          <w:w w:val="103"/>
        </w:rPr>
        <w:t>-</w:t>
      </w:r>
      <w:r w:rsidRPr="009C28F9">
        <w:rPr>
          <w:w w:val="103"/>
        </w:rPr>
        <w:t>health counsellors</w:t>
      </w:r>
      <w:r w:rsidR="00203018">
        <w:rPr>
          <w:w w:val="103"/>
        </w:rPr>
        <w:t>.</w:t>
      </w:r>
      <w:r w:rsidRPr="009C28F9">
        <w:rPr>
          <w:w w:val="103"/>
        </w:rPr>
        <w:t xml:space="preserve"> </w:t>
      </w:r>
    </w:p>
    <w:p w14:paraId="66A96419" w14:textId="77777777" w:rsidR="009C28F9" w:rsidRPr="009C28F9" w:rsidRDefault="009C28F9" w:rsidP="00EB5A81">
      <w:pPr>
        <w:pStyle w:val="SingleTxtG"/>
        <w:rPr>
          <w:w w:val="103"/>
        </w:rPr>
      </w:pPr>
      <w:r w:rsidRPr="009C28F9">
        <w:rPr>
          <w:w w:val="103"/>
        </w:rPr>
        <w:t xml:space="preserve">5.5 </w:t>
      </w:r>
      <w:r>
        <w:rPr>
          <w:w w:val="103"/>
        </w:rPr>
        <w:tab/>
      </w:r>
      <w:r w:rsidR="008A206A">
        <w:rPr>
          <w:w w:val="103"/>
        </w:rPr>
        <w:t>Regarding</w:t>
      </w:r>
      <w:r w:rsidRPr="009C28F9">
        <w:rPr>
          <w:w w:val="103"/>
        </w:rPr>
        <w:t xml:space="preserve"> the data breach by the </w:t>
      </w:r>
      <w:r w:rsidR="00EB5A81" w:rsidRPr="0009753D">
        <w:rPr>
          <w:w w:val="103"/>
        </w:rPr>
        <w:t>Department of Immigration and Border Protection</w:t>
      </w:r>
      <w:r w:rsidRPr="009C28F9">
        <w:rPr>
          <w:w w:val="103"/>
        </w:rPr>
        <w:t>, he affirms that he has never been in any detention centre in Australia and that his personal details were not disclosed.</w:t>
      </w:r>
    </w:p>
    <w:p w14:paraId="0B71F0E5" w14:textId="77777777" w:rsidR="009C28F9" w:rsidRPr="009C28F9" w:rsidRDefault="009C28F9" w:rsidP="00EB5A81">
      <w:pPr>
        <w:pStyle w:val="SingleTxtG"/>
        <w:rPr>
          <w:w w:val="103"/>
        </w:rPr>
      </w:pPr>
      <w:r w:rsidRPr="009C28F9">
        <w:rPr>
          <w:w w:val="103"/>
        </w:rPr>
        <w:t xml:space="preserve">5.6 </w:t>
      </w:r>
      <w:r>
        <w:rPr>
          <w:w w:val="103"/>
        </w:rPr>
        <w:tab/>
      </w:r>
      <w:r w:rsidR="00EB5A81">
        <w:rPr>
          <w:w w:val="103"/>
        </w:rPr>
        <w:t>Regarding</w:t>
      </w:r>
      <w:r w:rsidRPr="009C28F9">
        <w:rPr>
          <w:w w:val="103"/>
        </w:rPr>
        <w:t xml:space="preserve"> the current situation in Sri Lanka, the complainant refers to a publication </w:t>
      </w:r>
      <w:r w:rsidR="00EB5A81">
        <w:rPr>
          <w:w w:val="103"/>
        </w:rPr>
        <w:t>dated</w:t>
      </w:r>
      <w:r w:rsidRPr="009C28F9">
        <w:rPr>
          <w:w w:val="103"/>
        </w:rPr>
        <w:t xml:space="preserve"> 7 March 2015</w:t>
      </w:r>
      <w:r w:rsidR="00203018">
        <w:rPr>
          <w:w w:val="103"/>
        </w:rPr>
        <w:t>,</w:t>
      </w:r>
      <w:r w:rsidRPr="009C28F9">
        <w:rPr>
          <w:w w:val="103"/>
        </w:rPr>
        <w:t xml:space="preserve"> </w:t>
      </w:r>
      <w:r w:rsidR="00EB5A81">
        <w:rPr>
          <w:w w:val="103"/>
        </w:rPr>
        <w:t xml:space="preserve">in which </w:t>
      </w:r>
      <w:r w:rsidRPr="009C28F9">
        <w:rPr>
          <w:w w:val="103"/>
        </w:rPr>
        <w:t xml:space="preserve">it is stated that “any returnee will be harassed at the airport”. The complainant submits that the bail conditions are severe and it takes years to be released </w:t>
      </w:r>
      <w:r w:rsidR="00EB5A81">
        <w:rPr>
          <w:w w:val="103"/>
        </w:rPr>
        <w:t xml:space="preserve">owing </w:t>
      </w:r>
      <w:r w:rsidRPr="009C28F9">
        <w:rPr>
          <w:w w:val="103"/>
        </w:rPr>
        <w:t>to</w:t>
      </w:r>
      <w:r w:rsidR="00EB5A81">
        <w:rPr>
          <w:w w:val="103"/>
        </w:rPr>
        <w:t xml:space="preserve"> the </w:t>
      </w:r>
      <w:r w:rsidR="007B4BE8">
        <w:rPr>
          <w:w w:val="103"/>
        </w:rPr>
        <w:t xml:space="preserve">lengthy </w:t>
      </w:r>
      <w:r w:rsidRPr="009C28F9">
        <w:rPr>
          <w:w w:val="103"/>
        </w:rPr>
        <w:t xml:space="preserve">court proceedings. </w:t>
      </w:r>
      <w:r w:rsidR="00EB5A81">
        <w:rPr>
          <w:w w:val="103"/>
        </w:rPr>
        <w:t>Also, e</w:t>
      </w:r>
      <w:r w:rsidRPr="009C28F9">
        <w:rPr>
          <w:w w:val="103"/>
        </w:rPr>
        <w:t xml:space="preserve">very time </w:t>
      </w:r>
      <w:r w:rsidR="00EB5A81">
        <w:rPr>
          <w:w w:val="103"/>
        </w:rPr>
        <w:t xml:space="preserve">the </w:t>
      </w:r>
      <w:r w:rsidRPr="009C28F9">
        <w:rPr>
          <w:w w:val="103"/>
        </w:rPr>
        <w:t xml:space="preserve">court adjourns, the deportee incurs costs in relation to court appearances. </w:t>
      </w:r>
      <w:r w:rsidR="00EB5A81">
        <w:rPr>
          <w:w w:val="103"/>
        </w:rPr>
        <w:t>He states that t</w:t>
      </w:r>
      <w:r w:rsidRPr="009C28F9">
        <w:rPr>
          <w:w w:val="103"/>
        </w:rPr>
        <w:t xml:space="preserve">ravel from </w:t>
      </w:r>
      <w:r w:rsidR="00EB5A81">
        <w:rPr>
          <w:w w:val="103"/>
        </w:rPr>
        <w:t>the e</w:t>
      </w:r>
      <w:r w:rsidRPr="009C28F9">
        <w:rPr>
          <w:w w:val="103"/>
        </w:rPr>
        <w:t>ast (Bat</w:t>
      </w:r>
      <w:r w:rsidR="00EB5A81">
        <w:rPr>
          <w:w w:val="103"/>
        </w:rPr>
        <w:t>t</w:t>
      </w:r>
      <w:r w:rsidRPr="009C28F9">
        <w:rPr>
          <w:w w:val="103"/>
        </w:rPr>
        <w:t>ic</w:t>
      </w:r>
      <w:r w:rsidR="00EB5A81">
        <w:rPr>
          <w:w w:val="103"/>
        </w:rPr>
        <w:t>a</w:t>
      </w:r>
      <w:r w:rsidRPr="009C28F9">
        <w:rPr>
          <w:w w:val="103"/>
        </w:rPr>
        <w:t>loa) to</w:t>
      </w:r>
      <w:r w:rsidR="00EB5A81">
        <w:rPr>
          <w:w w:val="103"/>
        </w:rPr>
        <w:t xml:space="preserve"> the</w:t>
      </w:r>
      <w:r w:rsidRPr="009C28F9">
        <w:rPr>
          <w:w w:val="103"/>
        </w:rPr>
        <w:t xml:space="preserve"> </w:t>
      </w:r>
      <w:r w:rsidR="00EB5A81">
        <w:rPr>
          <w:w w:val="103"/>
        </w:rPr>
        <w:t>s</w:t>
      </w:r>
      <w:r w:rsidRPr="009C28F9">
        <w:rPr>
          <w:w w:val="103"/>
        </w:rPr>
        <w:t>outh (Negombo), hotel accommodation</w:t>
      </w:r>
      <w:r w:rsidR="00EB5A81">
        <w:rPr>
          <w:w w:val="103"/>
        </w:rPr>
        <w:t>,</w:t>
      </w:r>
      <w:r w:rsidRPr="009C28F9">
        <w:rPr>
          <w:w w:val="103"/>
        </w:rPr>
        <w:t xml:space="preserve"> </w:t>
      </w:r>
      <w:r w:rsidR="00EB5A81">
        <w:rPr>
          <w:w w:val="103"/>
        </w:rPr>
        <w:t xml:space="preserve">retaining the services of </w:t>
      </w:r>
      <w:r w:rsidRPr="009C28F9">
        <w:rPr>
          <w:w w:val="103"/>
        </w:rPr>
        <w:t xml:space="preserve">a defence lawyer and paying the fees are a very high cost for the returnee. </w:t>
      </w:r>
      <w:r w:rsidR="00EB5A81">
        <w:rPr>
          <w:w w:val="103"/>
        </w:rPr>
        <w:t>He emphasizes that it</w:t>
      </w:r>
      <w:r w:rsidRPr="009C28F9">
        <w:rPr>
          <w:w w:val="103"/>
        </w:rPr>
        <w:t xml:space="preserve"> is not </w:t>
      </w:r>
      <w:r w:rsidR="00EB5A81">
        <w:rPr>
          <w:w w:val="103"/>
        </w:rPr>
        <w:t xml:space="preserve">a </w:t>
      </w:r>
      <w:r w:rsidRPr="009C28F9">
        <w:rPr>
          <w:w w:val="103"/>
        </w:rPr>
        <w:t>one</w:t>
      </w:r>
      <w:r w:rsidR="00EB5A81">
        <w:rPr>
          <w:w w:val="103"/>
        </w:rPr>
        <w:t>-</w:t>
      </w:r>
      <w:r w:rsidRPr="009C28F9">
        <w:rPr>
          <w:w w:val="103"/>
        </w:rPr>
        <w:t>off cost; it may last for a substantial period of time.</w:t>
      </w:r>
    </w:p>
    <w:p w14:paraId="2D33448E" w14:textId="77777777" w:rsidR="009C28F9" w:rsidRPr="009C28F9" w:rsidRDefault="009C28F9" w:rsidP="00EB5A81">
      <w:pPr>
        <w:pStyle w:val="SingleTxtG"/>
        <w:rPr>
          <w:w w:val="103"/>
        </w:rPr>
      </w:pPr>
      <w:r w:rsidRPr="009C28F9">
        <w:rPr>
          <w:w w:val="103"/>
        </w:rPr>
        <w:t xml:space="preserve">5.7 </w:t>
      </w:r>
      <w:r>
        <w:rPr>
          <w:w w:val="103"/>
        </w:rPr>
        <w:tab/>
      </w:r>
      <w:r w:rsidR="00EB5A81">
        <w:rPr>
          <w:w w:val="103"/>
        </w:rPr>
        <w:t xml:space="preserve">With regard to </w:t>
      </w:r>
      <w:r w:rsidRPr="009C28F9">
        <w:rPr>
          <w:w w:val="103"/>
        </w:rPr>
        <w:t xml:space="preserve">the State party’s argument that the complainant has family in Sri Lanka, the complainant submits that his mother is very old and cannot travel to Negombo and that his three sisters have their own families. In addition, he does not want to </w:t>
      </w:r>
      <w:r w:rsidR="00EB5A81">
        <w:rPr>
          <w:w w:val="103"/>
        </w:rPr>
        <w:t>expose</w:t>
      </w:r>
      <w:r w:rsidRPr="009C28F9">
        <w:rPr>
          <w:w w:val="103"/>
        </w:rPr>
        <w:t xml:space="preserve"> his mother and sisters to any ill-treatment</w:t>
      </w:r>
      <w:r w:rsidR="00EB5A81">
        <w:rPr>
          <w:w w:val="103"/>
        </w:rPr>
        <w:t>,</w:t>
      </w:r>
      <w:r w:rsidRPr="009C28F9">
        <w:rPr>
          <w:w w:val="103"/>
        </w:rPr>
        <w:t xml:space="preserve"> given that his uncle was assaulted for helping him. </w:t>
      </w:r>
    </w:p>
    <w:p w14:paraId="22D9BA61" w14:textId="77777777" w:rsidR="00D408D9" w:rsidRDefault="009C28F9" w:rsidP="00EB5A81">
      <w:pPr>
        <w:pStyle w:val="SingleTxtG"/>
        <w:rPr>
          <w:w w:val="103"/>
        </w:rPr>
      </w:pPr>
      <w:r w:rsidRPr="009C28F9">
        <w:rPr>
          <w:w w:val="103"/>
        </w:rPr>
        <w:t xml:space="preserve">5.8 </w:t>
      </w:r>
      <w:r>
        <w:rPr>
          <w:w w:val="103"/>
        </w:rPr>
        <w:tab/>
      </w:r>
      <w:r w:rsidRPr="009C28F9">
        <w:rPr>
          <w:w w:val="103"/>
        </w:rPr>
        <w:t xml:space="preserve">On 24 May 2015, the complainant </w:t>
      </w:r>
      <w:r w:rsidR="00EB5A81">
        <w:rPr>
          <w:w w:val="103"/>
        </w:rPr>
        <w:t>submits</w:t>
      </w:r>
      <w:r w:rsidRPr="009C28F9">
        <w:rPr>
          <w:w w:val="103"/>
        </w:rPr>
        <w:t xml:space="preserve"> that he </w:t>
      </w:r>
      <w:r w:rsidR="00EB5A81">
        <w:rPr>
          <w:w w:val="103"/>
        </w:rPr>
        <w:t>was</w:t>
      </w:r>
      <w:r w:rsidRPr="009C28F9">
        <w:rPr>
          <w:w w:val="103"/>
        </w:rPr>
        <w:t xml:space="preserve"> detained by the State party’s immigration authorities on 21 May 2015 </w:t>
      </w:r>
      <w:r w:rsidR="00EB5A81">
        <w:rPr>
          <w:w w:val="103"/>
        </w:rPr>
        <w:t>with a view</w:t>
      </w:r>
      <w:r w:rsidRPr="009C28F9">
        <w:rPr>
          <w:w w:val="103"/>
        </w:rPr>
        <w:t xml:space="preserve"> to deport</w:t>
      </w:r>
      <w:r w:rsidR="00EB5A81">
        <w:rPr>
          <w:w w:val="103"/>
        </w:rPr>
        <w:t>ing</w:t>
      </w:r>
      <w:r w:rsidRPr="009C28F9">
        <w:rPr>
          <w:w w:val="103"/>
        </w:rPr>
        <w:t xml:space="preserve"> him and that he fears persecution and </w:t>
      </w:r>
      <w:r w:rsidR="00EB5A81">
        <w:rPr>
          <w:w w:val="103"/>
        </w:rPr>
        <w:t xml:space="preserve">risk to </w:t>
      </w:r>
      <w:r w:rsidRPr="009C28F9">
        <w:rPr>
          <w:w w:val="103"/>
        </w:rPr>
        <w:t xml:space="preserve">his safety </w:t>
      </w:r>
      <w:r w:rsidR="00EB5A81">
        <w:rPr>
          <w:w w:val="103"/>
        </w:rPr>
        <w:t>if deported to</w:t>
      </w:r>
      <w:r w:rsidRPr="009C28F9">
        <w:rPr>
          <w:w w:val="103"/>
        </w:rPr>
        <w:t xml:space="preserve"> Sri Lanka.</w:t>
      </w:r>
    </w:p>
    <w:p w14:paraId="15CFD6F6" w14:textId="77777777" w:rsidR="009C28F9" w:rsidRPr="009C28F9" w:rsidRDefault="006B58B6" w:rsidP="00B23A14">
      <w:pPr>
        <w:pStyle w:val="H23G"/>
        <w:rPr>
          <w:w w:val="103"/>
        </w:rPr>
      </w:pPr>
      <w:r>
        <w:rPr>
          <w:rFonts w:eastAsia="SimSun"/>
          <w:w w:val="103"/>
        </w:rPr>
        <w:tab/>
      </w:r>
      <w:r>
        <w:rPr>
          <w:rFonts w:eastAsia="SimSun"/>
          <w:w w:val="103"/>
        </w:rPr>
        <w:tab/>
      </w:r>
      <w:r w:rsidR="009C28F9" w:rsidRPr="009C28F9">
        <w:rPr>
          <w:rFonts w:eastAsia="SimSun"/>
          <w:w w:val="103"/>
        </w:rPr>
        <w:t>State party</w:t>
      </w:r>
      <w:r w:rsidR="00EB5A81">
        <w:rPr>
          <w:rFonts w:eastAsia="SimSun"/>
          <w:w w:val="103"/>
        </w:rPr>
        <w:t>’s additional observations</w:t>
      </w:r>
    </w:p>
    <w:p w14:paraId="617645ED" w14:textId="77777777" w:rsidR="009C28F9" w:rsidRPr="009C28F9" w:rsidRDefault="009C28F9" w:rsidP="007B4BE8">
      <w:pPr>
        <w:pStyle w:val="SingleTxtG"/>
        <w:rPr>
          <w:w w:val="103"/>
        </w:rPr>
      </w:pPr>
      <w:r w:rsidRPr="009C28F9">
        <w:rPr>
          <w:w w:val="103"/>
        </w:rPr>
        <w:t xml:space="preserve">6.1 </w:t>
      </w:r>
      <w:r w:rsidR="00D408D9">
        <w:rPr>
          <w:w w:val="103"/>
        </w:rPr>
        <w:tab/>
      </w:r>
      <w:r w:rsidRPr="009C28F9">
        <w:rPr>
          <w:w w:val="103"/>
        </w:rPr>
        <w:t>On 29 May 2015, the State party refers to</w:t>
      </w:r>
      <w:r w:rsidR="00372AF7">
        <w:rPr>
          <w:w w:val="103"/>
        </w:rPr>
        <w:t>, inter alia,</w:t>
      </w:r>
      <w:r w:rsidRPr="009C28F9">
        <w:rPr>
          <w:w w:val="103"/>
        </w:rPr>
        <w:t xml:space="preserve"> its observations </w:t>
      </w:r>
      <w:r w:rsidR="00372AF7">
        <w:rPr>
          <w:w w:val="103"/>
        </w:rPr>
        <w:t>on</w:t>
      </w:r>
      <w:r w:rsidRPr="009C28F9">
        <w:rPr>
          <w:w w:val="103"/>
        </w:rPr>
        <w:t xml:space="preserve"> the admissibility and merits of 15 September 2014 and reiterates that it has considered the complainant’s claims and </w:t>
      </w:r>
      <w:r w:rsidR="00372AF7">
        <w:rPr>
          <w:w w:val="103"/>
        </w:rPr>
        <w:t>additional</w:t>
      </w:r>
      <w:r w:rsidRPr="009C28F9">
        <w:rPr>
          <w:w w:val="103"/>
        </w:rPr>
        <w:t xml:space="preserve"> submissions and found that there </w:t>
      </w:r>
      <w:r w:rsidR="007B4BE8">
        <w:rPr>
          <w:w w:val="103"/>
        </w:rPr>
        <w:t>i</w:t>
      </w:r>
      <w:r w:rsidRPr="009C28F9">
        <w:rPr>
          <w:w w:val="103"/>
        </w:rPr>
        <w:t>s no new and credible information</w:t>
      </w:r>
      <w:r w:rsidR="00372AF7">
        <w:rPr>
          <w:w w:val="103"/>
        </w:rPr>
        <w:t xml:space="preserve"> to support his claims</w:t>
      </w:r>
      <w:r w:rsidRPr="009C28F9">
        <w:rPr>
          <w:w w:val="103"/>
        </w:rPr>
        <w:t>.</w:t>
      </w:r>
    </w:p>
    <w:p w14:paraId="11657589" w14:textId="77777777" w:rsidR="0009753D" w:rsidRPr="0009753D" w:rsidRDefault="009C28F9" w:rsidP="001509D6">
      <w:pPr>
        <w:pStyle w:val="SingleTxtG"/>
        <w:rPr>
          <w:spacing w:val="4"/>
          <w:w w:val="103"/>
          <w:kern w:val="14"/>
        </w:rPr>
      </w:pPr>
      <w:r w:rsidRPr="009C28F9">
        <w:rPr>
          <w:w w:val="103"/>
        </w:rPr>
        <w:t>6.2</w:t>
      </w:r>
      <w:r w:rsidR="00D408D9">
        <w:rPr>
          <w:w w:val="103"/>
        </w:rPr>
        <w:tab/>
      </w:r>
      <w:r w:rsidR="00372AF7">
        <w:rPr>
          <w:w w:val="103"/>
        </w:rPr>
        <w:t>T</w:t>
      </w:r>
      <w:r w:rsidRPr="009C28F9">
        <w:rPr>
          <w:w w:val="103"/>
        </w:rPr>
        <w:t xml:space="preserve">he State party notes that the complainant’s </w:t>
      </w:r>
      <w:r w:rsidR="00372AF7">
        <w:rPr>
          <w:w w:val="103"/>
        </w:rPr>
        <w:t>additional</w:t>
      </w:r>
      <w:r w:rsidRPr="009C28F9">
        <w:rPr>
          <w:w w:val="103"/>
        </w:rPr>
        <w:t xml:space="preserve"> submissions of 16 March 2015 and 24 May 2015 </w:t>
      </w:r>
      <w:r w:rsidR="00372AF7">
        <w:rPr>
          <w:w w:val="103"/>
        </w:rPr>
        <w:t>were</w:t>
      </w:r>
      <w:r w:rsidRPr="009C28F9">
        <w:rPr>
          <w:w w:val="103"/>
        </w:rPr>
        <w:t xml:space="preserve"> also considered. It notes that the complainant</w:t>
      </w:r>
      <w:r w:rsidR="00372AF7">
        <w:rPr>
          <w:w w:val="103"/>
        </w:rPr>
        <w:t>’s</w:t>
      </w:r>
      <w:r w:rsidRPr="009C28F9">
        <w:rPr>
          <w:w w:val="103"/>
        </w:rPr>
        <w:t xml:space="preserve"> claims that one of the reasons </w:t>
      </w:r>
      <w:r w:rsidR="00372AF7">
        <w:rPr>
          <w:w w:val="103"/>
        </w:rPr>
        <w:t xml:space="preserve">why </w:t>
      </w:r>
      <w:r w:rsidRPr="009C28F9">
        <w:rPr>
          <w:w w:val="103"/>
        </w:rPr>
        <w:t>the R</w:t>
      </w:r>
      <w:r w:rsidR="00372AF7">
        <w:rPr>
          <w:w w:val="103"/>
        </w:rPr>
        <w:t xml:space="preserve">efugee </w:t>
      </w:r>
      <w:r w:rsidRPr="009C28F9">
        <w:rPr>
          <w:w w:val="103"/>
        </w:rPr>
        <w:t>R</w:t>
      </w:r>
      <w:r w:rsidR="00372AF7">
        <w:rPr>
          <w:w w:val="103"/>
        </w:rPr>
        <w:t xml:space="preserve">eview </w:t>
      </w:r>
      <w:r w:rsidRPr="009C28F9">
        <w:rPr>
          <w:w w:val="103"/>
        </w:rPr>
        <w:t>T</w:t>
      </w:r>
      <w:r w:rsidR="00372AF7">
        <w:rPr>
          <w:w w:val="103"/>
        </w:rPr>
        <w:t>ribunal</w:t>
      </w:r>
      <w:r w:rsidRPr="009C28F9">
        <w:rPr>
          <w:w w:val="103"/>
        </w:rPr>
        <w:t xml:space="preserve"> </w:t>
      </w:r>
      <w:r w:rsidRPr="001509D6">
        <w:rPr>
          <w:w w:val="103"/>
        </w:rPr>
        <w:t>“assumed”</w:t>
      </w:r>
      <w:r w:rsidRPr="009C28F9">
        <w:rPr>
          <w:w w:val="103"/>
        </w:rPr>
        <w:t xml:space="preserve"> th</w:t>
      </w:r>
      <w:r w:rsidR="00372AF7">
        <w:rPr>
          <w:w w:val="103"/>
        </w:rPr>
        <w:t>at his story</w:t>
      </w:r>
      <w:r w:rsidRPr="009C28F9">
        <w:rPr>
          <w:w w:val="103"/>
        </w:rPr>
        <w:t xml:space="preserve"> was not credible was because of </w:t>
      </w:r>
      <w:r w:rsidR="00372AF7">
        <w:rPr>
          <w:w w:val="103"/>
        </w:rPr>
        <w:t>the confusion</w:t>
      </w:r>
      <w:r w:rsidRPr="009C28F9">
        <w:rPr>
          <w:w w:val="103"/>
        </w:rPr>
        <w:t xml:space="preserve"> concerning the name of the church </w:t>
      </w:r>
      <w:r w:rsidR="00372AF7">
        <w:rPr>
          <w:w w:val="103"/>
        </w:rPr>
        <w:t xml:space="preserve">in which </w:t>
      </w:r>
      <w:r w:rsidRPr="009C28F9">
        <w:rPr>
          <w:w w:val="103"/>
        </w:rPr>
        <w:t>he had allegedly sought</w:t>
      </w:r>
      <w:r w:rsidR="0009753D">
        <w:rPr>
          <w:w w:val="103"/>
        </w:rPr>
        <w:t xml:space="preserve"> </w:t>
      </w:r>
      <w:r w:rsidR="0009753D" w:rsidRPr="0009753D">
        <w:rPr>
          <w:spacing w:val="4"/>
          <w:w w:val="103"/>
          <w:kern w:val="14"/>
        </w:rPr>
        <w:t>refuge from mid-2011 to February 2012. In th</w:t>
      </w:r>
      <w:r w:rsidR="00372AF7">
        <w:rPr>
          <w:spacing w:val="4"/>
          <w:w w:val="103"/>
          <w:kern w:val="14"/>
        </w:rPr>
        <w:t>at</w:t>
      </w:r>
      <w:r w:rsidR="0009753D" w:rsidRPr="0009753D">
        <w:rPr>
          <w:spacing w:val="4"/>
          <w:w w:val="103"/>
          <w:kern w:val="14"/>
        </w:rPr>
        <w:t xml:space="preserve"> regard, the State party submits that it was reasonable for the R</w:t>
      </w:r>
      <w:r w:rsidR="00372AF7">
        <w:rPr>
          <w:spacing w:val="4"/>
          <w:w w:val="103"/>
          <w:kern w:val="14"/>
        </w:rPr>
        <w:t xml:space="preserve">efugee </w:t>
      </w:r>
      <w:r w:rsidR="0009753D" w:rsidRPr="0009753D">
        <w:rPr>
          <w:spacing w:val="4"/>
          <w:w w:val="103"/>
          <w:kern w:val="14"/>
        </w:rPr>
        <w:t>R</w:t>
      </w:r>
      <w:r w:rsidR="00372AF7">
        <w:rPr>
          <w:spacing w:val="4"/>
          <w:w w:val="103"/>
          <w:kern w:val="14"/>
        </w:rPr>
        <w:t xml:space="preserve">eview </w:t>
      </w:r>
      <w:r w:rsidR="0009753D" w:rsidRPr="0009753D">
        <w:rPr>
          <w:spacing w:val="4"/>
          <w:w w:val="103"/>
          <w:kern w:val="14"/>
        </w:rPr>
        <w:t>T</w:t>
      </w:r>
      <w:r w:rsidR="00372AF7">
        <w:rPr>
          <w:spacing w:val="4"/>
          <w:w w:val="103"/>
          <w:kern w:val="14"/>
        </w:rPr>
        <w:t>ribunal</w:t>
      </w:r>
      <w:r w:rsidR="0009753D" w:rsidRPr="0009753D">
        <w:rPr>
          <w:spacing w:val="4"/>
          <w:w w:val="103"/>
          <w:kern w:val="14"/>
        </w:rPr>
        <w:t xml:space="preserve"> to reach th</w:t>
      </w:r>
      <w:r w:rsidR="00372AF7">
        <w:rPr>
          <w:spacing w:val="4"/>
          <w:w w:val="103"/>
          <w:kern w:val="14"/>
        </w:rPr>
        <w:t>o</w:t>
      </w:r>
      <w:r w:rsidR="0009753D" w:rsidRPr="0009753D">
        <w:rPr>
          <w:spacing w:val="4"/>
          <w:w w:val="103"/>
          <w:kern w:val="14"/>
        </w:rPr>
        <w:t xml:space="preserve">se conclusions </w:t>
      </w:r>
      <w:r w:rsidR="00372AF7">
        <w:rPr>
          <w:spacing w:val="4"/>
          <w:w w:val="103"/>
          <w:kern w:val="14"/>
        </w:rPr>
        <w:t>since</w:t>
      </w:r>
      <w:r w:rsidR="0009753D" w:rsidRPr="0009753D">
        <w:rPr>
          <w:spacing w:val="4"/>
          <w:w w:val="103"/>
          <w:kern w:val="14"/>
        </w:rPr>
        <w:t xml:space="preserve"> the complainant was present at the hearing and was given the opportunity to clarify his statements with the assistance of an interpreter. </w:t>
      </w:r>
      <w:r w:rsidR="0009753D" w:rsidRPr="00D53798">
        <w:rPr>
          <w:spacing w:val="4"/>
          <w:w w:val="103"/>
          <w:kern w:val="14"/>
        </w:rPr>
        <w:t>In any event</w:t>
      </w:r>
      <w:r w:rsidR="0009753D" w:rsidRPr="0009753D">
        <w:rPr>
          <w:spacing w:val="4"/>
          <w:w w:val="103"/>
          <w:kern w:val="14"/>
        </w:rPr>
        <w:t>, the State party reiterates that the T</w:t>
      </w:r>
      <w:r w:rsidR="00D53798">
        <w:rPr>
          <w:spacing w:val="4"/>
          <w:w w:val="103"/>
          <w:kern w:val="14"/>
        </w:rPr>
        <w:t>ribunal</w:t>
      </w:r>
      <w:r w:rsidR="0009753D" w:rsidRPr="0009753D">
        <w:rPr>
          <w:spacing w:val="4"/>
          <w:w w:val="103"/>
          <w:kern w:val="14"/>
        </w:rPr>
        <w:t xml:space="preserve">’s conclusion </w:t>
      </w:r>
      <w:r w:rsidR="00D53798">
        <w:rPr>
          <w:spacing w:val="4"/>
          <w:w w:val="103"/>
          <w:kern w:val="14"/>
        </w:rPr>
        <w:t>regarding</w:t>
      </w:r>
      <w:r w:rsidR="0009753D" w:rsidRPr="0009753D">
        <w:rPr>
          <w:spacing w:val="4"/>
          <w:w w:val="103"/>
          <w:kern w:val="14"/>
        </w:rPr>
        <w:t xml:space="preserve"> the complainant’s credibility were not </w:t>
      </w:r>
      <w:r w:rsidR="00D53798">
        <w:rPr>
          <w:spacing w:val="4"/>
          <w:w w:val="103"/>
          <w:kern w:val="14"/>
        </w:rPr>
        <w:t>based</w:t>
      </w:r>
      <w:r w:rsidR="0009753D" w:rsidRPr="0009753D">
        <w:rPr>
          <w:spacing w:val="4"/>
          <w:w w:val="103"/>
          <w:kern w:val="14"/>
        </w:rPr>
        <w:t xml:space="preserve"> solely </w:t>
      </w:r>
      <w:r w:rsidR="00D53798">
        <w:rPr>
          <w:spacing w:val="4"/>
          <w:w w:val="103"/>
          <w:kern w:val="14"/>
        </w:rPr>
        <w:t>on the</w:t>
      </w:r>
      <w:r w:rsidR="0009753D" w:rsidRPr="0009753D">
        <w:rPr>
          <w:spacing w:val="4"/>
          <w:w w:val="103"/>
          <w:kern w:val="14"/>
        </w:rPr>
        <w:t xml:space="preserve"> </w:t>
      </w:r>
      <w:r w:rsidR="00FE63BA">
        <w:rPr>
          <w:spacing w:val="4"/>
          <w:w w:val="103"/>
          <w:kern w:val="14"/>
        </w:rPr>
        <w:t xml:space="preserve">matter </w:t>
      </w:r>
      <w:r w:rsidR="00D53798">
        <w:rPr>
          <w:spacing w:val="4"/>
          <w:w w:val="103"/>
          <w:kern w:val="14"/>
        </w:rPr>
        <w:t>of</w:t>
      </w:r>
      <w:r w:rsidR="0009753D" w:rsidRPr="0009753D">
        <w:rPr>
          <w:spacing w:val="4"/>
          <w:w w:val="103"/>
          <w:kern w:val="14"/>
        </w:rPr>
        <w:t xml:space="preserve"> the name of the church. </w:t>
      </w:r>
      <w:r w:rsidR="00D53798">
        <w:rPr>
          <w:spacing w:val="4"/>
          <w:w w:val="103"/>
          <w:kern w:val="14"/>
        </w:rPr>
        <w:t>The Tribunal</w:t>
      </w:r>
      <w:r w:rsidR="0009753D" w:rsidRPr="0009753D">
        <w:rPr>
          <w:spacing w:val="4"/>
          <w:w w:val="103"/>
          <w:kern w:val="14"/>
        </w:rPr>
        <w:t xml:space="preserve"> relied on a culmination of factors in reaching </w:t>
      </w:r>
      <w:r w:rsidR="00D53798">
        <w:rPr>
          <w:spacing w:val="4"/>
          <w:w w:val="103"/>
          <w:kern w:val="14"/>
        </w:rPr>
        <w:t>its</w:t>
      </w:r>
      <w:r w:rsidR="0009753D" w:rsidRPr="0009753D">
        <w:rPr>
          <w:spacing w:val="4"/>
          <w:w w:val="103"/>
          <w:kern w:val="14"/>
        </w:rPr>
        <w:t xml:space="preserve"> conclusion, including how the complainant re-entered Sri Lanka in 2011 without attracting the interest of the Sri Lankan authorities</w:t>
      </w:r>
      <w:r w:rsidR="00D53798">
        <w:rPr>
          <w:spacing w:val="4"/>
          <w:w w:val="103"/>
          <w:kern w:val="14"/>
        </w:rPr>
        <w:t>,</w:t>
      </w:r>
      <w:r w:rsidR="0009753D" w:rsidRPr="0009753D">
        <w:rPr>
          <w:spacing w:val="4"/>
          <w:w w:val="103"/>
          <w:kern w:val="14"/>
        </w:rPr>
        <w:t xml:space="preserve"> despite allegedly being of interest to the C</w:t>
      </w:r>
      <w:r w:rsidR="00D53798">
        <w:rPr>
          <w:spacing w:val="4"/>
          <w:w w:val="103"/>
          <w:kern w:val="14"/>
        </w:rPr>
        <w:t xml:space="preserve">riminal </w:t>
      </w:r>
      <w:r w:rsidR="0009753D" w:rsidRPr="0009753D">
        <w:rPr>
          <w:spacing w:val="4"/>
          <w:w w:val="103"/>
          <w:kern w:val="14"/>
        </w:rPr>
        <w:t>I</w:t>
      </w:r>
      <w:r w:rsidR="00D53798">
        <w:rPr>
          <w:spacing w:val="4"/>
          <w:w w:val="103"/>
          <w:kern w:val="14"/>
        </w:rPr>
        <w:t xml:space="preserve">nvestigation </w:t>
      </w:r>
      <w:r w:rsidR="0009753D" w:rsidRPr="0009753D">
        <w:rPr>
          <w:spacing w:val="4"/>
          <w:w w:val="103"/>
          <w:kern w:val="14"/>
        </w:rPr>
        <w:t>D</w:t>
      </w:r>
      <w:r w:rsidR="00D53798">
        <w:rPr>
          <w:spacing w:val="4"/>
          <w:w w:val="103"/>
          <w:kern w:val="14"/>
        </w:rPr>
        <w:t>epartment</w:t>
      </w:r>
      <w:r w:rsidR="0009753D" w:rsidRPr="0009753D">
        <w:rPr>
          <w:spacing w:val="4"/>
          <w:w w:val="103"/>
          <w:kern w:val="14"/>
        </w:rPr>
        <w:t xml:space="preserve">. </w:t>
      </w:r>
    </w:p>
    <w:p w14:paraId="7C5AB37A" w14:textId="77777777" w:rsidR="0009753D" w:rsidRPr="0009753D" w:rsidRDefault="0009753D" w:rsidP="008D527B">
      <w:pPr>
        <w:pStyle w:val="SingleTxtG"/>
        <w:rPr>
          <w:w w:val="103"/>
        </w:rPr>
      </w:pPr>
      <w:r w:rsidRPr="0009753D">
        <w:rPr>
          <w:w w:val="103"/>
        </w:rPr>
        <w:t xml:space="preserve">6.3 </w:t>
      </w:r>
      <w:r>
        <w:rPr>
          <w:w w:val="103"/>
        </w:rPr>
        <w:tab/>
      </w:r>
      <w:r w:rsidR="00D53798">
        <w:rPr>
          <w:w w:val="103"/>
        </w:rPr>
        <w:t xml:space="preserve">With regard </w:t>
      </w:r>
      <w:r w:rsidRPr="0009753D">
        <w:rPr>
          <w:w w:val="103"/>
        </w:rPr>
        <w:t>to return</w:t>
      </w:r>
      <w:r w:rsidR="000E6FB7">
        <w:rPr>
          <w:w w:val="103"/>
        </w:rPr>
        <w:t>ing</w:t>
      </w:r>
      <w:r w:rsidRPr="0009753D">
        <w:rPr>
          <w:w w:val="103"/>
        </w:rPr>
        <w:t xml:space="preserve"> individuals to Sri Lanka, the State party submits that the complainant’s claims of being an LTTE supporter were extensively considered </w:t>
      </w:r>
      <w:r w:rsidR="00FE63BA">
        <w:rPr>
          <w:w w:val="103"/>
        </w:rPr>
        <w:t>in</w:t>
      </w:r>
      <w:r w:rsidR="000E6FB7">
        <w:rPr>
          <w:w w:val="103"/>
        </w:rPr>
        <w:t xml:space="preserve"> the assessment of</w:t>
      </w:r>
      <w:r w:rsidRPr="0009753D">
        <w:rPr>
          <w:w w:val="103"/>
        </w:rPr>
        <w:t xml:space="preserve"> his protection visa a</w:t>
      </w:r>
      <w:r w:rsidR="000E6FB7">
        <w:rPr>
          <w:w w:val="103"/>
        </w:rPr>
        <w:t>pplication,</w:t>
      </w:r>
      <w:r w:rsidRPr="0009753D">
        <w:rPr>
          <w:w w:val="103"/>
        </w:rPr>
        <w:t xml:space="preserve"> the T</w:t>
      </w:r>
      <w:r w:rsidR="000E6FB7">
        <w:rPr>
          <w:w w:val="103"/>
        </w:rPr>
        <w:t>ribunal</w:t>
      </w:r>
      <w:r w:rsidRPr="0009753D">
        <w:rPr>
          <w:w w:val="103"/>
        </w:rPr>
        <w:t xml:space="preserve"> review and </w:t>
      </w:r>
      <w:r w:rsidR="00FE63BA">
        <w:rPr>
          <w:w w:val="103"/>
        </w:rPr>
        <w:t xml:space="preserve">the </w:t>
      </w:r>
      <w:r w:rsidR="000E6FB7">
        <w:rPr>
          <w:w w:val="103"/>
        </w:rPr>
        <w:t>assessment</w:t>
      </w:r>
      <w:r w:rsidR="00FE63BA">
        <w:rPr>
          <w:w w:val="103"/>
        </w:rPr>
        <w:t>s</w:t>
      </w:r>
      <w:r w:rsidR="000E6FB7">
        <w:rPr>
          <w:w w:val="103"/>
        </w:rPr>
        <w:t xml:space="preserve"> of </w:t>
      </w:r>
      <w:r w:rsidRPr="0009753D">
        <w:rPr>
          <w:w w:val="103"/>
        </w:rPr>
        <w:t xml:space="preserve">his requests for </w:t>
      </w:r>
      <w:r w:rsidR="00D84D5C">
        <w:rPr>
          <w:w w:val="103"/>
        </w:rPr>
        <w:t>m</w:t>
      </w:r>
      <w:r w:rsidRPr="0009753D">
        <w:rPr>
          <w:w w:val="103"/>
        </w:rPr>
        <w:t xml:space="preserve">inisterial </w:t>
      </w:r>
      <w:r w:rsidR="00D84D5C">
        <w:rPr>
          <w:w w:val="103"/>
        </w:rPr>
        <w:t>i</w:t>
      </w:r>
      <w:r w:rsidRPr="0009753D">
        <w:rPr>
          <w:w w:val="103"/>
        </w:rPr>
        <w:t xml:space="preserve">ntervention. </w:t>
      </w:r>
      <w:r w:rsidR="000E6FB7">
        <w:rPr>
          <w:w w:val="103"/>
        </w:rPr>
        <w:t xml:space="preserve">Each </w:t>
      </w:r>
      <w:r w:rsidR="00FE63BA">
        <w:rPr>
          <w:w w:val="103"/>
        </w:rPr>
        <w:t xml:space="preserve">procedure </w:t>
      </w:r>
      <w:r w:rsidRPr="0009753D">
        <w:rPr>
          <w:w w:val="103"/>
        </w:rPr>
        <w:t xml:space="preserve">found that the complainant’s claims lacked credibility and/or did not give rise to a specific profile that would place him at risk of harm if returned to Sri Lanka. </w:t>
      </w:r>
      <w:r w:rsidR="000E6FB7">
        <w:rPr>
          <w:w w:val="103"/>
        </w:rPr>
        <w:t>Taking into account</w:t>
      </w:r>
      <w:r w:rsidRPr="0009753D">
        <w:rPr>
          <w:w w:val="103"/>
        </w:rPr>
        <w:t xml:space="preserve"> the most recent country information, the Department of Immigration and Border Protection assessed the complainant’s </w:t>
      </w:r>
      <w:r w:rsidR="000E6FB7">
        <w:rPr>
          <w:w w:val="103"/>
        </w:rPr>
        <w:t>additional</w:t>
      </w:r>
      <w:r w:rsidRPr="0009753D">
        <w:rPr>
          <w:w w:val="103"/>
        </w:rPr>
        <w:t xml:space="preserve"> submission</w:t>
      </w:r>
      <w:r w:rsidR="000E6FB7">
        <w:rPr>
          <w:w w:val="103"/>
        </w:rPr>
        <w:t>s</w:t>
      </w:r>
      <w:r w:rsidRPr="0009753D">
        <w:rPr>
          <w:w w:val="103"/>
        </w:rPr>
        <w:t xml:space="preserve"> of 16 March 2015 and 24 May 2015 and concluded that there was no new and credible, relevant information that ha</w:t>
      </w:r>
      <w:r w:rsidR="000E6FB7">
        <w:rPr>
          <w:w w:val="103"/>
        </w:rPr>
        <w:t>d</w:t>
      </w:r>
      <w:r w:rsidRPr="0009753D">
        <w:rPr>
          <w:w w:val="103"/>
        </w:rPr>
        <w:t xml:space="preserve"> not been previously assessed. The Department was satisfied that there continued to be no substantial grounds for believing there is a real risk of harm for the complainant.</w:t>
      </w:r>
    </w:p>
    <w:p w14:paraId="3EA43DB1" w14:textId="77777777" w:rsidR="0009753D" w:rsidRDefault="0009753D" w:rsidP="008D527B">
      <w:pPr>
        <w:pStyle w:val="SingleTxtG"/>
        <w:rPr>
          <w:w w:val="103"/>
          <w:lang w:eastAsia="en-AU"/>
        </w:rPr>
      </w:pPr>
      <w:r w:rsidRPr="0009753D">
        <w:rPr>
          <w:w w:val="103"/>
        </w:rPr>
        <w:t xml:space="preserve">6.4 </w:t>
      </w:r>
      <w:r>
        <w:rPr>
          <w:w w:val="103"/>
        </w:rPr>
        <w:tab/>
      </w:r>
      <w:r w:rsidRPr="0009753D">
        <w:rPr>
          <w:w w:val="103"/>
        </w:rPr>
        <w:t>The State party further notes that the complainant s</w:t>
      </w:r>
      <w:r w:rsidR="000E6FB7">
        <w:rPr>
          <w:w w:val="103"/>
        </w:rPr>
        <w:t>tates</w:t>
      </w:r>
      <w:r w:rsidRPr="0009753D">
        <w:rPr>
          <w:w w:val="103"/>
        </w:rPr>
        <w:t xml:space="preserve"> that</w:t>
      </w:r>
      <w:r w:rsidR="000E6FB7">
        <w:rPr>
          <w:w w:val="103"/>
        </w:rPr>
        <w:t>,</w:t>
      </w:r>
      <w:r w:rsidRPr="0009753D">
        <w:rPr>
          <w:w w:val="103"/>
        </w:rPr>
        <w:t xml:space="preserve"> as a failed asylum seeker, he fear</w:t>
      </w:r>
      <w:r w:rsidR="000E6FB7">
        <w:rPr>
          <w:w w:val="103"/>
        </w:rPr>
        <w:t xml:space="preserve">s </w:t>
      </w:r>
      <w:r w:rsidRPr="0009753D">
        <w:rPr>
          <w:w w:val="103"/>
        </w:rPr>
        <w:t>being tortured and killed upon return</w:t>
      </w:r>
      <w:r w:rsidR="000E6FB7">
        <w:rPr>
          <w:w w:val="103"/>
        </w:rPr>
        <w:t xml:space="preserve"> to Sri Lanka</w:t>
      </w:r>
      <w:r w:rsidRPr="0009753D">
        <w:rPr>
          <w:w w:val="103"/>
        </w:rPr>
        <w:t xml:space="preserve">. </w:t>
      </w:r>
      <w:r w:rsidRPr="0009753D">
        <w:rPr>
          <w:w w:val="103"/>
          <w:lang w:eastAsia="en-AU"/>
        </w:rPr>
        <w:t xml:space="preserve">The State party reiterates that extensive country information </w:t>
      </w:r>
      <w:r w:rsidR="000E6FB7">
        <w:rPr>
          <w:w w:val="103"/>
          <w:lang w:eastAsia="en-AU"/>
        </w:rPr>
        <w:t xml:space="preserve">on </w:t>
      </w:r>
      <w:r w:rsidRPr="0009753D">
        <w:rPr>
          <w:w w:val="103"/>
          <w:lang w:eastAsia="en-AU"/>
        </w:rPr>
        <w:t xml:space="preserve">Sri Lanka and the return of failed asylum seekers specifically </w:t>
      </w:r>
      <w:r w:rsidR="00FE63BA">
        <w:rPr>
          <w:w w:val="103"/>
          <w:lang w:eastAsia="en-AU"/>
        </w:rPr>
        <w:t>had</w:t>
      </w:r>
      <w:r w:rsidRPr="0009753D">
        <w:rPr>
          <w:w w:val="103"/>
          <w:lang w:eastAsia="en-AU"/>
        </w:rPr>
        <w:t xml:space="preserve"> also been carefully considered at the domestic level. For example, during the review of </w:t>
      </w:r>
      <w:r w:rsidR="00FE63BA">
        <w:rPr>
          <w:w w:val="103"/>
          <w:lang w:eastAsia="en-AU"/>
        </w:rPr>
        <w:t xml:space="preserve">the </w:t>
      </w:r>
      <w:r w:rsidRPr="0009753D">
        <w:rPr>
          <w:w w:val="103"/>
          <w:lang w:eastAsia="en-AU"/>
        </w:rPr>
        <w:t xml:space="preserve">protection visa application, the </w:t>
      </w:r>
      <w:r w:rsidR="00FE63BA">
        <w:rPr>
          <w:w w:val="103"/>
          <w:lang w:eastAsia="en-AU"/>
        </w:rPr>
        <w:t>authorities</w:t>
      </w:r>
      <w:r w:rsidRPr="0009753D">
        <w:rPr>
          <w:w w:val="103"/>
          <w:lang w:eastAsia="en-AU"/>
        </w:rPr>
        <w:t xml:space="preserve"> </w:t>
      </w:r>
      <w:r w:rsidR="00403E61">
        <w:rPr>
          <w:w w:val="103"/>
          <w:lang w:eastAsia="en-AU"/>
        </w:rPr>
        <w:t xml:space="preserve">considered </w:t>
      </w:r>
      <w:r w:rsidRPr="0009753D">
        <w:rPr>
          <w:w w:val="103"/>
          <w:lang w:eastAsia="en-AU"/>
        </w:rPr>
        <w:t xml:space="preserve">country information provided by the </w:t>
      </w:r>
      <w:r w:rsidR="00403E61" w:rsidRPr="003E3C4A">
        <w:rPr>
          <w:w w:val="103"/>
        </w:rPr>
        <w:t>Department of Foreign Affairs and Trade</w:t>
      </w:r>
      <w:r w:rsidR="00403E61">
        <w:rPr>
          <w:w w:val="103"/>
        </w:rPr>
        <w:t xml:space="preserve"> and</w:t>
      </w:r>
      <w:r w:rsidRPr="0009753D">
        <w:rPr>
          <w:w w:val="103"/>
          <w:lang w:eastAsia="en-AU"/>
        </w:rPr>
        <w:t xml:space="preserve"> non-governmental organizations</w:t>
      </w:r>
      <w:r w:rsidR="00FE63BA">
        <w:rPr>
          <w:w w:val="103"/>
          <w:lang w:eastAsia="en-AU"/>
        </w:rPr>
        <w:t>,</w:t>
      </w:r>
      <w:r w:rsidRPr="0009753D">
        <w:rPr>
          <w:w w:val="103"/>
          <w:lang w:eastAsia="en-AU"/>
        </w:rPr>
        <w:t xml:space="preserve"> a</w:t>
      </w:r>
      <w:r w:rsidR="00403E61">
        <w:rPr>
          <w:w w:val="103"/>
          <w:lang w:eastAsia="en-AU"/>
        </w:rPr>
        <w:t>s well as</w:t>
      </w:r>
      <w:r w:rsidRPr="0009753D">
        <w:rPr>
          <w:w w:val="103"/>
          <w:lang w:eastAsia="en-AU"/>
        </w:rPr>
        <w:t xml:space="preserve"> </w:t>
      </w:r>
      <w:r w:rsidR="00FE63BA">
        <w:rPr>
          <w:w w:val="103"/>
          <w:lang w:eastAsia="en-AU"/>
        </w:rPr>
        <w:t xml:space="preserve">guidance in </w:t>
      </w:r>
      <w:r w:rsidR="00403E61">
        <w:rPr>
          <w:w w:val="103"/>
          <w:lang w:eastAsia="en-AU"/>
        </w:rPr>
        <w:t xml:space="preserve">the </w:t>
      </w:r>
      <w:r w:rsidRPr="0009753D">
        <w:rPr>
          <w:w w:val="103"/>
          <w:lang w:eastAsia="en-AU"/>
        </w:rPr>
        <w:t>UNHCR Handbook. Further</w:t>
      </w:r>
      <w:r w:rsidR="00403E61">
        <w:rPr>
          <w:w w:val="103"/>
          <w:lang w:eastAsia="en-AU"/>
        </w:rPr>
        <w:t>more</w:t>
      </w:r>
      <w:r w:rsidRPr="0009753D">
        <w:rPr>
          <w:w w:val="103"/>
          <w:lang w:eastAsia="en-AU"/>
        </w:rPr>
        <w:t>, the R</w:t>
      </w:r>
      <w:r w:rsidR="00403E61">
        <w:rPr>
          <w:w w:val="103"/>
          <w:lang w:eastAsia="en-AU"/>
        </w:rPr>
        <w:t xml:space="preserve">efugee </w:t>
      </w:r>
      <w:r w:rsidRPr="0009753D">
        <w:rPr>
          <w:w w:val="103"/>
          <w:lang w:eastAsia="en-AU"/>
        </w:rPr>
        <w:t>R</w:t>
      </w:r>
      <w:r w:rsidR="00403E61">
        <w:rPr>
          <w:w w:val="103"/>
          <w:lang w:eastAsia="en-AU"/>
        </w:rPr>
        <w:t xml:space="preserve">eview </w:t>
      </w:r>
      <w:r w:rsidRPr="0009753D">
        <w:rPr>
          <w:w w:val="103"/>
          <w:lang w:eastAsia="en-AU"/>
        </w:rPr>
        <w:t>T</w:t>
      </w:r>
      <w:r w:rsidR="00403E61">
        <w:rPr>
          <w:w w:val="103"/>
          <w:lang w:eastAsia="en-AU"/>
        </w:rPr>
        <w:t>ribunal</w:t>
      </w:r>
      <w:r w:rsidRPr="0009753D">
        <w:rPr>
          <w:w w:val="103"/>
          <w:lang w:eastAsia="en-AU"/>
        </w:rPr>
        <w:t xml:space="preserve"> </w:t>
      </w:r>
      <w:r w:rsidR="00403E61">
        <w:rPr>
          <w:w w:val="103"/>
          <w:lang w:eastAsia="en-AU"/>
        </w:rPr>
        <w:t xml:space="preserve">had </w:t>
      </w:r>
      <w:r w:rsidRPr="0009753D">
        <w:rPr>
          <w:w w:val="103"/>
          <w:lang w:eastAsia="en-AU"/>
        </w:rPr>
        <w:t>also considered a wide range of country information pertaining to Sri Lanka</w:t>
      </w:r>
      <w:r w:rsidR="00203018">
        <w:rPr>
          <w:w w:val="103"/>
          <w:lang w:eastAsia="en-AU"/>
        </w:rPr>
        <w:t>,</w:t>
      </w:r>
      <w:r w:rsidRPr="0009753D">
        <w:rPr>
          <w:w w:val="103"/>
          <w:lang w:eastAsia="en-AU"/>
        </w:rPr>
        <w:t xml:space="preserve"> including information specifically relating to failed asylum seekers. Finally, </w:t>
      </w:r>
      <w:r w:rsidR="00403E61">
        <w:rPr>
          <w:w w:val="103"/>
          <w:lang w:eastAsia="en-AU"/>
        </w:rPr>
        <w:t xml:space="preserve">in </w:t>
      </w:r>
      <w:r w:rsidR="00FE63BA">
        <w:rPr>
          <w:w w:val="103"/>
          <w:lang w:eastAsia="en-AU"/>
        </w:rPr>
        <w:t xml:space="preserve">the </w:t>
      </w:r>
      <w:r w:rsidRPr="0009753D">
        <w:rPr>
          <w:w w:val="103"/>
          <w:lang w:eastAsia="en-AU"/>
        </w:rPr>
        <w:t xml:space="preserve">assessments </w:t>
      </w:r>
      <w:r w:rsidR="00FE63BA">
        <w:rPr>
          <w:w w:val="103"/>
          <w:lang w:eastAsia="en-AU"/>
        </w:rPr>
        <w:t xml:space="preserve">of </w:t>
      </w:r>
      <w:r w:rsidRPr="0009753D">
        <w:rPr>
          <w:w w:val="103"/>
          <w:lang w:eastAsia="en-AU"/>
        </w:rPr>
        <w:t>the</w:t>
      </w:r>
      <w:r w:rsidR="00403E61">
        <w:rPr>
          <w:w w:val="103"/>
          <w:lang w:eastAsia="en-AU"/>
        </w:rPr>
        <w:t xml:space="preserve"> complainant</w:t>
      </w:r>
      <w:r w:rsidR="00FE63BA">
        <w:rPr>
          <w:w w:val="103"/>
          <w:lang w:eastAsia="en-AU"/>
        </w:rPr>
        <w:t>’</w:t>
      </w:r>
      <w:r w:rsidR="00403E61">
        <w:rPr>
          <w:w w:val="103"/>
          <w:lang w:eastAsia="en-AU"/>
        </w:rPr>
        <w:t>s requests for</w:t>
      </w:r>
      <w:r w:rsidRPr="0009753D">
        <w:rPr>
          <w:w w:val="103"/>
          <w:lang w:eastAsia="en-AU"/>
        </w:rPr>
        <w:t xml:space="preserve"> </w:t>
      </w:r>
      <w:r w:rsidR="00D84D5C">
        <w:rPr>
          <w:w w:val="103"/>
          <w:lang w:eastAsia="en-AU"/>
        </w:rPr>
        <w:t>m</w:t>
      </w:r>
      <w:r w:rsidRPr="0009753D">
        <w:rPr>
          <w:w w:val="103"/>
          <w:lang w:eastAsia="en-AU"/>
        </w:rPr>
        <w:t xml:space="preserve">inisterial </w:t>
      </w:r>
      <w:r w:rsidR="00D84D5C">
        <w:rPr>
          <w:w w:val="103"/>
          <w:lang w:eastAsia="en-AU"/>
        </w:rPr>
        <w:t>i</w:t>
      </w:r>
      <w:r w:rsidRPr="0009753D">
        <w:rPr>
          <w:w w:val="103"/>
          <w:lang w:eastAsia="en-AU"/>
        </w:rPr>
        <w:t xml:space="preserve">ntervention, country information provided by the </w:t>
      </w:r>
      <w:r w:rsidR="00403E61" w:rsidRPr="003E3C4A">
        <w:rPr>
          <w:w w:val="103"/>
        </w:rPr>
        <w:t>Department of Foreign Affairs and Trade</w:t>
      </w:r>
      <w:r w:rsidR="00403E61">
        <w:rPr>
          <w:w w:val="103"/>
        </w:rPr>
        <w:t xml:space="preserve"> was considered, and </w:t>
      </w:r>
      <w:r w:rsidR="00FE63BA">
        <w:rPr>
          <w:w w:val="103"/>
        </w:rPr>
        <w:t xml:space="preserve">it was </w:t>
      </w:r>
      <w:r w:rsidRPr="0009753D">
        <w:rPr>
          <w:w w:val="103"/>
          <w:lang w:eastAsia="en-AU"/>
        </w:rPr>
        <w:t>verified that</w:t>
      </w:r>
      <w:r w:rsidR="00403E61">
        <w:rPr>
          <w:w w:val="103"/>
          <w:lang w:eastAsia="en-AU"/>
        </w:rPr>
        <w:t>,</w:t>
      </w:r>
      <w:r w:rsidRPr="0009753D">
        <w:rPr>
          <w:w w:val="103"/>
          <w:lang w:eastAsia="en-AU"/>
        </w:rPr>
        <w:t xml:space="preserve"> while failed asylum seekers are detained upon return to Sri Lanka under </w:t>
      </w:r>
      <w:r w:rsidR="00403E61">
        <w:rPr>
          <w:w w:val="103"/>
          <w:lang w:eastAsia="en-AU"/>
        </w:rPr>
        <w:t xml:space="preserve">the </w:t>
      </w:r>
      <w:r w:rsidRPr="0009753D">
        <w:rPr>
          <w:w w:val="103"/>
          <w:lang w:eastAsia="en-AU"/>
        </w:rPr>
        <w:t xml:space="preserve">laws relating to leaving the country illegally, all </w:t>
      </w:r>
      <w:r w:rsidR="00403E61">
        <w:rPr>
          <w:w w:val="103"/>
          <w:lang w:eastAsia="en-AU"/>
        </w:rPr>
        <w:t>such detainees</w:t>
      </w:r>
      <w:r w:rsidRPr="0009753D">
        <w:rPr>
          <w:w w:val="103"/>
          <w:lang w:eastAsia="en-AU"/>
        </w:rPr>
        <w:t xml:space="preserve"> are granted bail </w:t>
      </w:r>
      <w:r w:rsidR="00403E61">
        <w:rPr>
          <w:w w:val="103"/>
          <w:lang w:eastAsia="en-AU"/>
        </w:rPr>
        <w:t>if</w:t>
      </w:r>
      <w:r w:rsidRPr="0009753D">
        <w:rPr>
          <w:w w:val="103"/>
          <w:lang w:eastAsia="en-AU"/>
        </w:rPr>
        <w:t xml:space="preserve"> a family member stands as guarantor. It was noted that the complainant has family members who could assist him and it was considered that there</w:t>
      </w:r>
      <w:r w:rsidR="00403E61">
        <w:rPr>
          <w:w w:val="103"/>
          <w:lang w:eastAsia="en-AU"/>
        </w:rPr>
        <w:t xml:space="preserve"> was</w:t>
      </w:r>
      <w:r w:rsidRPr="0009753D">
        <w:rPr>
          <w:w w:val="103"/>
          <w:lang w:eastAsia="en-AU"/>
        </w:rPr>
        <w:t xml:space="preserve"> no information indicat</w:t>
      </w:r>
      <w:r w:rsidR="00403E61">
        <w:rPr>
          <w:w w:val="103"/>
          <w:lang w:eastAsia="en-AU"/>
        </w:rPr>
        <w:t>ing</w:t>
      </w:r>
      <w:r w:rsidRPr="0009753D">
        <w:rPr>
          <w:w w:val="103"/>
          <w:lang w:eastAsia="en-AU"/>
        </w:rPr>
        <w:t xml:space="preserve"> that he w</w:t>
      </w:r>
      <w:r w:rsidR="00403E61">
        <w:rPr>
          <w:w w:val="103"/>
          <w:lang w:eastAsia="en-AU"/>
        </w:rPr>
        <w:t>ould</w:t>
      </w:r>
      <w:r w:rsidRPr="0009753D">
        <w:rPr>
          <w:w w:val="103"/>
          <w:lang w:eastAsia="en-AU"/>
        </w:rPr>
        <w:t xml:space="preserve"> not be granted bail</w:t>
      </w:r>
      <w:r w:rsidR="00403E61">
        <w:rPr>
          <w:w w:val="103"/>
          <w:lang w:eastAsia="en-AU"/>
        </w:rPr>
        <w:t xml:space="preserve"> or</w:t>
      </w:r>
      <w:r w:rsidRPr="0009753D">
        <w:rPr>
          <w:w w:val="103"/>
          <w:lang w:eastAsia="en-AU"/>
        </w:rPr>
        <w:t xml:space="preserve"> </w:t>
      </w:r>
      <w:r w:rsidR="00403E61">
        <w:rPr>
          <w:w w:val="103"/>
          <w:lang w:eastAsia="en-AU"/>
        </w:rPr>
        <w:t xml:space="preserve">that he would be </w:t>
      </w:r>
      <w:r w:rsidRPr="0009753D">
        <w:rPr>
          <w:w w:val="103"/>
          <w:lang w:eastAsia="en-AU"/>
        </w:rPr>
        <w:t>discriminated against or tortured because he is a failed asylum seeker and/or Tamil.</w:t>
      </w:r>
    </w:p>
    <w:p w14:paraId="3DDF7835" w14:textId="77777777" w:rsidR="0009753D" w:rsidRPr="0009753D" w:rsidRDefault="006B58B6" w:rsidP="00B23A14">
      <w:pPr>
        <w:pStyle w:val="H23G"/>
        <w:rPr>
          <w:w w:val="103"/>
        </w:rPr>
      </w:pPr>
      <w:r>
        <w:rPr>
          <w:rFonts w:eastAsia="SimSun"/>
          <w:w w:val="103"/>
        </w:rPr>
        <w:tab/>
      </w:r>
      <w:r>
        <w:rPr>
          <w:rFonts w:eastAsia="SimSun"/>
          <w:w w:val="103"/>
        </w:rPr>
        <w:tab/>
      </w:r>
      <w:r w:rsidR="00403E61" w:rsidRPr="00B23A14">
        <w:rPr>
          <w:rFonts w:eastAsia="SimSun"/>
          <w:w w:val="103"/>
        </w:rPr>
        <w:t>Complainant’s</w:t>
      </w:r>
      <w:r w:rsidR="00403E61">
        <w:rPr>
          <w:rFonts w:eastAsia="SimSun"/>
          <w:w w:val="103"/>
        </w:rPr>
        <w:t xml:space="preserve"> additional</w:t>
      </w:r>
      <w:r w:rsidR="0009753D" w:rsidRPr="0009753D">
        <w:rPr>
          <w:rFonts w:eastAsia="SimSun"/>
          <w:w w:val="103"/>
        </w:rPr>
        <w:t xml:space="preserve"> comments</w:t>
      </w:r>
    </w:p>
    <w:p w14:paraId="411358FA" w14:textId="77777777" w:rsidR="0009753D" w:rsidRPr="0009753D" w:rsidRDefault="0009753D" w:rsidP="001509D6">
      <w:pPr>
        <w:pStyle w:val="SingleTxtG"/>
        <w:rPr>
          <w:lang w:eastAsia="en-GB"/>
        </w:rPr>
      </w:pPr>
      <w:r w:rsidRPr="0009753D">
        <w:rPr>
          <w:spacing w:val="4"/>
          <w:w w:val="103"/>
          <w:kern w:val="14"/>
        </w:rPr>
        <w:t xml:space="preserve">7.1 </w:t>
      </w:r>
      <w:r>
        <w:rPr>
          <w:spacing w:val="4"/>
          <w:w w:val="103"/>
          <w:kern w:val="14"/>
        </w:rPr>
        <w:tab/>
      </w:r>
      <w:r w:rsidRPr="0009753D">
        <w:rPr>
          <w:spacing w:val="4"/>
          <w:w w:val="103"/>
          <w:kern w:val="14"/>
        </w:rPr>
        <w:t xml:space="preserve">On 6 August 2015, the complainant reiterates that </w:t>
      </w:r>
      <w:r w:rsidRPr="0009753D">
        <w:rPr>
          <w:lang w:eastAsia="en-GB"/>
        </w:rPr>
        <w:t>his life w</w:t>
      </w:r>
      <w:r w:rsidR="00403E61">
        <w:rPr>
          <w:lang w:eastAsia="en-GB"/>
        </w:rPr>
        <w:t>ould</w:t>
      </w:r>
      <w:r w:rsidRPr="0009753D">
        <w:rPr>
          <w:lang w:eastAsia="en-GB"/>
        </w:rPr>
        <w:t xml:space="preserve"> be in danger</w:t>
      </w:r>
      <w:r w:rsidR="00403E61">
        <w:rPr>
          <w:lang w:eastAsia="en-GB"/>
        </w:rPr>
        <w:t xml:space="preserve"> </w:t>
      </w:r>
      <w:r w:rsidR="00FE63BA">
        <w:rPr>
          <w:lang w:eastAsia="en-GB"/>
        </w:rPr>
        <w:t>if returned to</w:t>
      </w:r>
      <w:r w:rsidR="00403E61">
        <w:rPr>
          <w:lang w:eastAsia="en-GB"/>
        </w:rPr>
        <w:t xml:space="preserve"> Sri Lanka</w:t>
      </w:r>
      <w:r w:rsidR="00FE63BA">
        <w:rPr>
          <w:lang w:eastAsia="en-GB"/>
        </w:rPr>
        <w:t>. He states</w:t>
      </w:r>
      <w:r w:rsidR="00403E61">
        <w:rPr>
          <w:lang w:eastAsia="en-GB"/>
        </w:rPr>
        <w:t xml:space="preserve"> that</w:t>
      </w:r>
      <w:r w:rsidRPr="0009753D">
        <w:rPr>
          <w:lang w:eastAsia="en-GB"/>
        </w:rPr>
        <w:t xml:space="preserve"> he has become “mentally up-set”, suffers from “stress and trauma”</w:t>
      </w:r>
      <w:r w:rsidR="00403E61">
        <w:rPr>
          <w:lang w:eastAsia="en-GB"/>
        </w:rPr>
        <w:t>,</w:t>
      </w:r>
      <w:r w:rsidRPr="0009753D">
        <w:rPr>
          <w:lang w:eastAsia="en-GB"/>
        </w:rPr>
        <w:t xml:space="preserve"> has tried to commit suicide and had </w:t>
      </w:r>
      <w:r w:rsidR="00403E61">
        <w:rPr>
          <w:lang w:eastAsia="en-GB"/>
        </w:rPr>
        <w:t>to be</w:t>
      </w:r>
      <w:r w:rsidRPr="0009753D">
        <w:rPr>
          <w:lang w:eastAsia="en-GB"/>
        </w:rPr>
        <w:t xml:space="preserve"> treated for one week in a mental hospital because of this</w:t>
      </w:r>
      <w:r w:rsidR="00203018">
        <w:rPr>
          <w:lang w:eastAsia="en-GB"/>
        </w:rPr>
        <w:t>.</w:t>
      </w:r>
      <w:r w:rsidRPr="0009753D">
        <w:rPr>
          <w:lang w:eastAsia="en-GB"/>
        </w:rPr>
        <w:t xml:space="preserve"> He further submits that</w:t>
      </w:r>
      <w:r w:rsidR="00403E61">
        <w:rPr>
          <w:lang w:eastAsia="en-GB"/>
        </w:rPr>
        <w:t>,</w:t>
      </w:r>
      <w:r w:rsidRPr="0009753D">
        <w:rPr>
          <w:lang w:eastAsia="en-GB"/>
        </w:rPr>
        <w:t xml:space="preserve"> on 21 May 2015</w:t>
      </w:r>
      <w:r w:rsidR="00403E61">
        <w:rPr>
          <w:lang w:eastAsia="en-GB"/>
        </w:rPr>
        <w:t>,</w:t>
      </w:r>
      <w:r w:rsidRPr="0009753D">
        <w:rPr>
          <w:lang w:eastAsia="en-GB"/>
        </w:rPr>
        <w:t xml:space="preserve"> he was detained in the </w:t>
      </w:r>
      <w:r w:rsidR="00403E61">
        <w:rPr>
          <w:lang w:eastAsia="en-GB"/>
        </w:rPr>
        <w:t xml:space="preserve">Villawood Immigration </w:t>
      </w:r>
      <w:r w:rsidRPr="0009753D">
        <w:rPr>
          <w:lang w:eastAsia="en-GB"/>
        </w:rPr>
        <w:t>Detention Centre and</w:t>
      </w:r>
      <w:r w:rsidR="00403E61">
        <w:rPr>
          <w:lang w:eastAsia="en-GB"/>
        </w:rPr>
        <w:t>,</w:t>
      </w:r>
      <w:r w:rsidRPr="0009753D">
        <w:rPr>
          <w:lang w:eastAsia="en-GB"/>
        </w:rPr>
        <w:t xml:space="preserve"> on 20 July 2015</w:t>
      </w:r>
      <w:r w:rsidR="00403E61">
        <w:rPr>
          <w:lang w:eastAsia="en-GB"/>
        </w:rPr>
        <w:t>, he was</w:t>
      </w:r>
      <w:r w:rsidRPr="0009753D">
        <w:rPr>
          <w:lang w:eastAsia="en-GB"/>
        </w:rPr>
        <w:t xml:space="preserve"> transferred to the Christmas Island</w:t>
      </w:r>
      <w:r w:rsidR="00403E61">
        <w:rPr>
          <w:lang w:eastAsia="en-GB"/>
        </w:rPr>
        <w:t xml:space="preserve"> Centre</w:t>
      </w:r>
      <w:r w:rsidR="00203018">
        <w:rPr>
          <w:lang w:eastAsia="en-GB"/>
        </w:rPr>
        <w:t>.</w:t>
      </w:r>
    </w:p>
    <w:p w14:paraId="1E4952DA" w14:textId="77777777" w:rsidR="00015B99" w:rsidRPr="00015B99" w:rsidRDefault="00015B99" w:rsidP="00B23A14">
      <w:pPr>
        <w:pStyle w:val="H23G"/>
        <w:rPr>
          <w:rFonts w:eastAsia="SimSun"/>
          <w:w w:val="103"/>
          <w:lang w:eastAsia="zh-CN"/>
        </w:rPr>
      </w:pPr>
      <w:r>
        <w:rPr>
          <w:rFonts w:eastAsia="SimSun"/>
          <w:spacing w:val="2"/>
          <w:w w:val="103"/>
          <w:lang w:eastAsia="zh-CN"/>
        </w:rPr>
        <w:tab/>
      </w:r>
      <w:r>
        <w:rPr>
          <w:rFonts w:eastAsia="SimSun"/>
          <w:spacing w:val="2"/>
          <w:w w:val="103"/>
          <w:lang w:eastAsia="zh-CN"/>
        </w:rPr>
        <w:tab/>
      </w:r>
      <w:r w:rsidR="00403E61">
        <w:rPr>
          <w:rFonts w:eastAsia="SimSun"/>
          <w:spacing w:val="2"/>
          <w:w w:val="103"/>
          <w:lang w:eastAsia="zh-CN"/>
        </w:rPr>
        <w:t>Additional</w:t>
      </w:r>
      <w:r w:rsidRPr="00015B99">
        <w:rPr>
          <w:rFonts w:eastAsia="SimSun"/>
          <w:spacing w:val="2"/>
          <w:w w:val="103"/>
          <w:lang w:eastAsia="zh-CN"/>
        </w:rPr>
        <w:t xml:space="preserve"> </w:t>
      </w:r>
      <w:r w:rsidR="00B51A66">
        <w:rPr>
          <w:rFonts w:eastAsia="SimSun"/>
          <w:spacing w:val="2"/>
          <w:w w:val="103"/>
          <w:lang w:eastAsia="zh-CN"/>
        </w:rPr>
        <w:t xml:space="preserve">submissions </w:t>
      </w:r>
      <w:r w:rsidRPr="00015B99">
        <w:rPr>
          <w:rFonts w:eastAsia="SimSun"/>
          <w:spacing w:val="2"/>
          <w:w w:val="103"/>
          <w:lang w:eastAsia="zh-CN"/>
        </w:rPr>
        <w:t xml:space="preserve">by the </w:t>
      </w:r>
      <w:r w:rsidR="00B51A66">
        <w:rPr>
          <w:rFonts w:eastAsia="SimSun"/>
          <w:spacing w:val="2"/>
          <w:w w:val="103"/>
          <w:lang w:eastAsia="zh-CN"/>
        </w:rPr>
        <w:t>parties</w:t>
      </w:r>
      <w:r w:rsidR="00DA6DAD">
        <w:rPr>
          <w:rFonts w:eastAsia="SimSun"/>
          <w:spacing w:val="2"/>
          <w:w w:val="103"/>
          <w:lang w:eastAsia="zh-CN"/>
        </w:rPr>
        <w:t xml:space="preserve"> </w:t>
      </w:r>
    </w:p>
    <w:p w14:paraId="7DFC3B79" w14:textId="77777777" w:rsidR="00015B99" w:rsidRDefault="00015B99" w:rsidP="001509D6">
      <w:pPr>
        <w:pStyle w:val="SingleTxtG"/>
        <w:rPr>
          <w:w w:val="103"/>
        </w:rPr>
      </w:pPr>
      <w:r w:rsidRPr="00015B99">
        <w:rPr>
          <w:w w:val="103"/>
        </w:rPr>
        <w:t>8.1</w:t>
      </w:r>
      <w:r w:rsidRPr="00015B99">
        <w:rPr>
          <w:w w:val="103"/>
        </w:rPr>
        <w:tab/>
        <w:t xml:space="preserve">On 9 September 2015, the State party submits that the Department of Immigration and Border Protection had </w:t>
      </w:r>
      <w:r w:rsidR="00FE63BA">
        <w:rPr>
          <w:w w:val="103"/>
        </w:rPr>
        <w:t>already</w:t>
      </w:r>
      <w:r w:rsidR="00FE63BA" w:rsidRPr="00015B99">
        <w:rPr>
          <w:w w:val="103"/>
        </w:rPr>
        <w:t xml:space="preserve"> </w:t>
      </w:r>
      <w:r w:rsidRPr="00015B99">
        <w:rPr>
          <w:w w:val="103"/>
        </w:rPr>
        <w:t xml:space="preserve">assessed the information included in the complainant’s </w:t>
      </w:r>
      <w:r w:rsidR="00486D56">
        <w:rPr>
          <w:w w:val="103"/>
        </w:rPr>
        <w:t xml:space="preserve">additional </w:t>
      </w:r>
      <w:r w:rsidRPr="00015B99">
        <w:rPr>
          <w:w w:val="103"/>
        </w:rPr>
        <w:t xml:space="preserve">submission of August 2015 </w:t>
      </w:r>
      <w:r w:rsidR="00FE63BA">
        <w:rPr>
          <w:w w:val="103"/>
        </w:rPr>
        <w:t>and</w:t>
      </w:r>
      <w:r w:rsidRPr="00015B99">
        <w:rPr>
          <w:w w:val="103"/>
        </w:rPr>
        <w:t xml:space="preserve"> </w:t>
      </w:r>
      <w:r w:rsidR="00FE63BA">
        <w:rPr>
          <w:w w:val="103"/>
        </w:rPr>
        <w:t>a</w:t>
      </w:r>
      <w:r w:rsidRPr="00015B99">
        <w:rPr>
          <w:w w:val="103"/>
        </w:rPr>
        <w:t xml:space="preserve"> police report </w:t>
      </w:r>
      <w:r w:rsidR="00FE63BA">
        <w:rPr>
          <w:w w:val="103"/>
        </w:rPr>
        <w:t>dated</w:t>
      </w:r>
      <w:r w:rsidRPr="00015B99">
        <w:rPr>
          <w:w w:val="103"/>
        </w:rPr>
        <w:t xml:space="preserve"> 17 September 2010</w:t>
      </w:r>
      <w:r w:rsidR="00486D56">
        <w:rPr>
          <w:w w:val="103"/>
        </w:rPr>
        <w:t xml:space="preserve"> in the assessment of his request for </w:t>
      </w:r>
      <w:r w:rsidRPr="00015B99">
        <w:rPr>
          <w:w w:val="103"/>
        </w:rPr>
        <w:t>ministerial intervention in July 2015</w:t>
      </w:r>
      <w:r w:rsidR="00F01473">
        <w:rPr>
          <w:w w:val="103"/>
        </w:rPr>
        <w:t>.</w:t>
      </w:r>
      <w:r w:rsidRPr="00015B99">
        <w:rPr>
          <w:w w:val="103"/>
        </w:rPr>
        <w:t xml:space="preserve"> However, the departmental </w:t>
      </w:r>
      <w:r w:rsidR="00FE63BA">
        <w:rPr>
          <w:w w:val="103"/>
        </w:rPr>
        <w:t>authorities</w:t>
      </w:r>
      <w:r w:rsidRPr="00015B99">
        <w:rPr>
          <w:w w:val="103"/>
        </w:rPr>
        <w:t xml:space="preserve"> did not accept the </w:t>
      </w:r>
      <w:r w:rsidR="00FE63BA">
        <w:rPr>
          <w:w w:val="103"/>
        </w:rPr>
        <w:t xml:space="preserve">police </w:t>
      </w:r>
      <w:r w:rsidRPr="00015B99">
        <w:rPr>
          <w:w w:val="103"/>
        </w:rPr>
        <w:t xml:space="preserve">report as genuine and formed the view that it was not credible that the complainant </w:t>
      </w:r>
      <w:r w:rsidR="00486D56">
        <w:rPr>
          <w:w w:val="103"/>
        </w:rPr>
        <w:t>did</w:t>
      </w:r>
      <w:r w:rsidRPr="00015B99">
        <w:rPr>
          <w:w w:val="103"/>
        </w:rPr>
        <w:t xml:space="preserve"> not provide the document at an earlier stage whil</w:t>
      </w:r>
      <w:r w:rsidR="00486D56">
        <w:rPr>
          <w:w w:val="103"/>
        </w:rPr>
        <w:t>e</w:t>
      </w:r>
      <w:r w:rsidRPr="00015B99">
        <w:rPr>
          <w:w w:val="103"/>
        </w:rPr>
        <w:t xml:space="preserve"> his protection claims were being assessed or review</w:t>
      </w:r>
      <w:r w:rsidR="00486D56">
        <w:rPr>
          <w:w w:val="103"/>
        </w:rPr>
        <w:t>ed</w:t>
      </w:r>
      <w:r w:rsidRPr="00015B99">
        <w:rPr>
          <w:w w:val="103"/>
        </w:rPr>
        <w:t>. In th</w:t>
      </w:r>
      <w:r w:rsidR="00486D56">
        <w:rPr>
          <w:w w:val="103"/>
        </w:rPr>
        <w:t>at</w:t>
      </w:r>
      <w:r w:rsidRPr="00015B99">
        <w:rPr>
          <w:w w:val="103"/>
        </w:rPr>
        <w:t xml:space="preserve"> regard, the State party maintains that the complainant has not provided sufficient evidence to substantiate </w:t>
      </w:r>
      <w:r w:rsidR="00486D56">
        <w:rPr>
          <w:w w:val="103"/>
        </w:rPr>
        <w:t>his</w:t>
      </w:r>
      <w:r w:rsidRPr="00015B99">
        <w:rPr>
          <w:w w:val="103"/>
        </w:rPr>
        <w:t xml:space="preserve"> claims that he has a profile as a Tamil man and</w:t>
      </w:r>
      <w:r w:rsidR="00486D56">
        <w:rPr>
          <w:w w:val="103"/>
        </w:rPr>
        <w:t xml:space="preserve"> as an</w:t>
      </w:r>
      <w:r w:rsidRPr="00015B99">
        <w:rPr>
          <w:w w:val="103"/>
        </w:rPr>
        <w:t xml:space="preserve"> LTTE sympathi</w:t>
      </w:r>
      <w:r w:rsidR="00486D56">
        <w:rPr>
          <w:w w:val="103"/>
        </w:rPr>
        <w:t>z</w:t>
      </w:r>
      <w:r w:rsidRPr="00015B99">
        <w:rPr>
          <w:w w:val="103"/>
        </w:rPr>
        <w:t xml:space="preserve">er or supporter </w:t>
      </w:r>
      <w:r w:rsidR="00486D56">
        <w:rPr>
          <w:w w:val="103"/>
        </w:rPr>
        <w:t>that</w:t>
      </w:r>
      <w:r w:rsidRPr="00015B99">
        <w:rPr>
          <w:w w:val="103"/>
        </w:rPr>
        <w:t xml:space="preserve"> would attract the attention of the Sri Lankan </w:t>
      </w:r>
      <w:r w:rsidR="00486D56">
        <w:rPr>
          <w:w w:val="103"/>
        </w:rPr>
        <w:t>authorities</w:t>
      </w:r>
      <w:r w:rsidRPr="00015B99">
        <w:rPr>
          <w:w w:val="103"/>
        </w:rPr>
        <w:t xml:space="preserve"> upon return to Sri Lanka</w:t>
      </w:r>
      <w:r w:rsidR="001042AD">
        <w:rPr>
          <w:w w:val="103"/>
        </w:rPr>
        <w:t xml:space="preserve">, </w:t>
      </w:r>
      <w:r w:rsidRPr="00015B99">
        <w:rPr>
          <w:w w:val="103"/>
        </w:rPr>
        <w:t>as to engage the State party’s non-refoulement obligations under article 3 of the Convention.</w:t>
      </w:r>
    </w:p>
    <w:p w14:paraId="50829FB2" w14:textId="77777777" w:rsidR="00DA6DAD" w:rsidRDefault="00DA6DAD" w:rsidP="008D527B">
      <w:pPr>
        <w:pStyle w:val="SingleTxtG"/>
        <w:rPr>
          <w:w w:val="103"/>
        </w:rPr>
      </w:pPr>
      <w:r>
        <w:rPr>
          <w:w w:val="103"/>
        </w:rPr>
        <w:t>8.2</w:t>
      </w:r>
      <w:r w:rsidR="006B58B6">
        <w:rPr>
          <w:w w:val="103"/>
        </w:rPr>
        <w:tab/>
      </w:r>
      <w:r>
        <w:rPr>
          <w:w w:val="103"/>
        </w:rPr>
        <w:t>On 16 October 2015, the complainant explain</w:t>
      </w:r>
      <w:r w:rsidR="007D7756">
        <w:rPr>
          <w:w w:val="103"/>
        </w:rPr>
        <w:t>s</w:t>
      </w:r>
      <w:r>
        <w:rPr>
          <w:w w:val="103"/>
        </w:rPr>
        <w:t xml:space="preserve"> that he did not submit the police report of 17 September 2010 earlier as he did not want </w:t>
      </w:r>
      <w:r w:rsidR="00202A95">
        <w:rPr>
          <w:w w:val="103"/>
        </w:rPr>
        <w:t>the</w:t>
      </w:r>
      <w:r>
        <w:rPr>
          <w:w w:val="103"/>
        </w:rPr>
        <w:t xml:space="preserve"> State party’s authorities</w:t>
      </w:r>
      <w:r w:rsidR="007D7756">
        <w:rPr>
          <w:w w:val="103"/>
        </w:rPr>
        <w:t xml:space="preserve"> to think </w:t>
      </w:r>
      <w:r>
        <w:rPr>
          <w:w w:val="103"/>
        </w:rPr>
        <w:t>that he was involved with the LTTE</w:t>
      </w:r>
      <w:r w:rsidR="007D7756">
        <w:rPr>
          <w:w w:val="103"/>
        </w:rPr>
        <w:t>,</w:t>
      </w:r>
      <w:r>
        <w:rPr>
          <w:w w:val="103"/>
        </w:rPr>
        <w:t xml:space="preserve"> as he had only </w:t>
      </w:r>
      <w:r w:rsidR="00DE19AC">
        <w:rPr>
          <w:w w:val="103"/>
        </w:rPr>
        <w:t>“</w:t>
      </w:r>
      <w:r>
        <w:rPr>
          <w:w w:val="103"/>
        </w:rPr>
        <w:t>helped</w:t>
      </w:r>
      <w:r w:rsidR="00DE19AC">
        <w:rPr>
          <w:w w:val="103"/>
        </w:rPr>
        <w:t>”</w:t>
      </w:r>
      <w:r>
        <w:rPr>
          <w:w w:val="103"/>
        </w:rPr>
        <w:t xml:space="preserve"> </w:t>
      </w:r>
      <w:r w:rsidR="007D7756">
        <w:rPr>
          <w:w w:val="103"/>
        </w:rPr>
        <w:t>some of its members</w:t>
      </w:r>
      <w:r w:rsidR="00202A95">
        <w:rPr>
          <w:w w:val="103"/>
        </w:rPr>
        <w:t xml:space="preserve"> when they came to Colombo. H</w:t>
      </w:r>
      <w:r>
        <w:rPr>
          <w:w w:val="103"/>
        </w:rPr>
        <w:t>e ha</w:t>
      </w:r>
      <w:r w:rsidR="007D7756">
        <w:rPr>
          <w:w w:val="103"/>
        </w:rPr>
        <w:t>s</w:t>
      </w:r>
      <w:r>
        <w:rPr>
          <w:w w:val="103"/>
        </w:rPr>
        <w:t xml:space="preserve"> never taken up arms or been involved in their militant activities. He </w:t>
      </w:r>
      <w:r w:rsidR="001042AD">
        <w:rPr>
          <w:w w:val="103"/>
        </w:rPr>
        <w:t>highlights</w:t>
      </w:r>
      <w:r>
        <w:rPr>
          <w:w w:val="103"/>
        </w:rPr>
        <w:t xml:space="preserve"> that the report is genuine</w:t>
      </w:r>
      <w:r w:rsidR="007D7756">
        <w:rPr>
          <w:w w:val="103"/>
        </w:rPr>
        <w:t xml:space="preserve"> and that </w:t>
      </w:r>
      <w:r>
        <w:rPr>
          <w:w w:val="103"/>
        </w:rPr>
        <w:t xml:space="preserve">it was issued by the Negombo police on the day of his arrest. The complainant </w:t>
      </w:r>
      <w:r w:rsidR="00202A95">
        <w:rPr>
          <w:w w:val="103"/>
        </w:rPr>
        <w:t xml:space="preserve">also </w:t>
      </w:r>
      <w:r>
        <w:rPr>
          <w:w w:val="103"/>
        </w:rPr>
        <w:t>reiterates that his father was killed</w:t>
      </w:r>
      <w:r w:rsidR="00755908">
        <w:rPr>
          <w:w w:val="103"/>
        </w:rPr>
        <w:t xml:space="preserve"> because he refused to disclose </w:t>
      </w:r>
      <w:r w:rsidR="007D7756">
        <w:rPr>
          <w:w w:val="103"/>
        </w:rPr>
        <w:t>his</w:t>
      </w:r>
      <w:r w:rsidR="00755908">
        <w:rPr>
          <w:w w:val="103"/>
        </w:rPr>
        <w:t xml:space="preserve"> whereabouts.</w:t>
      </w:r>
    </w:p>
    <w:p w14:paraId="3E354A8D" w14:textId="77777777" w:rsidR="00755908" w:rsidRDefault="00755908" w:rsidP="008D527B">
      <w:pPr>
        <w:pStyle w:val="SingleTxtG"/>
        <w:rPr>
          <w:w w:val="103"/>
        </w:rPr>
      </w:pPr>
      <w:r>
        <w:rPr>
          <w:w w:val="103"/>
        </w:rPr>
        <w:t>8.3</w:t>
      </w:r>
      <w:r w:rsidR="006B58B6">
        <w:rPr>
          <w:w w:val="103"/>
        </w:rPr>
        <w:tab/>
      </w:r>
      <w:r>
        <w:rPr>
          <w:w w:val="103"/>
        </w:rPr>
        <w:t>On 8 November 2015, the complainant submit</w:t>
      </w:r>
      <w:r w:rsidR="001042AD">
        <w:rPr>
          <w:w w:val="103"/>
        </w:rPr>
        <w:t>s</w:t>
      </w:r>
      <w:r>
        <w:rPr>
          <w:w w:val="103"/>
        </w:rPr>
        <w:t xml:space="preserve"> that</w:t>
      </w:r>
      <w:r w:rsidR="007D7756">
        <w:rPr>
          <w:w w:val="103"/>
        </w:rPr>
        <w:t>, inter alia,</w:t>
      </w:r>
      <w:r>
        <w:rPr>
          <w:w w:val="103"/>
        </w:rPr>
        <w:t xml:space="preserve"> </w:t>
      </w:r>
      <w:r w:rsidR="00754994">
        <w:rPr>
          <w:w w:val="103"/>
        </w:rPr>
        <w:t xml:space="preserve">upon arrival </w:t>
      </w:r>
      <w:r w:rsidR="007D7756">
        <w:rPr>
          <w:w w:val="103"/>
        </w:rPr>
        <w:t>in</w:t>
      </w:r>
      <w:r w:rsidR="00754994">
        <w:rPr>
          <w:w w:val="103"/>
        </w:rPr>
        <w:t xml:space="preserve"> </w:t>
      </w:r>
      <w:r>
        <w:rPr>
          <w:w w:val="103"/>
        </w:rPr>
        <w:t xml:space="preserve">Australia, he was advised “not to talk about </w:t>
      </w:r>
      <w:r w:rsidR="001042AD">
        <w:rPr>
          <w:w w:val="103"/>
        </w:rPr>
        <w:t xml:space="preserve">any </w:t>
      </w:r>
      <w:r>
        <w:rPr>
          <w:w w:val="103"/>
        </w:rPr>
        <w:t xml:space="preserve">LTTE connections” as the authorities would detain him indefinitely in detention centres. </w:t>
      </w:r>
      <w:r w:rsidR="00754994">
        <w:rPr>
          <w:w w:val="103"/>
        </w:rPr>
        <w:t>He</w:t>
      </w:r>
      <w:r>
        <w:rPr>
          <w:w w:val="103"/>
        </w:rPr>
        <w:t xml:space="preserve"> further states that he did not have the police report of 17 September 2010 when he arrived in Australia and</w:t>
      </w:r>
      <w:r w:rsidR="007D7756">
        <w:rPr>
          <w:w w:val="103"/>
        </w:rPr>
        <w:t>,</w:t>
      </w:r>
      <w:r>
        <w:rPr>
          <w:w w:val="103"/>
        </w:rPr>
        <w:t xml:space="preserve"> later</w:t>
      </w:r>
      <w:r w:rsidR="007D7756">
        <w:rPr>
          <w:w w:val="103"/>
        </w:rPr>
        <w:t>, when he received it,</w:t>
      </w:r>
      <w:r>
        <w:rPr>
          <w:w w:val="103"/>
        </w:rPr>
        <w:t xml:space="preserve"> he did not want to disclose it as proof of his arrest to the State party’s authorities. In th</w:t>
      </w:r>
      <w:r w:rsidR="007D7756">
        <w:rPr>
          <w:w w:val="103"/>
        </w:rPr>
        <w:t>at</w:t>
      </w:r>
      <w:r>
        <w:rPr>
          <w:w w:val="103"/>
        </w:rPr>
        <w:t xml:space="preserve"> regard, he notes that</w:t>
      </w:r>
      <w:r w:rsidR="007D7756">
        <w:rPr>
          <w:w w:val="103"/>
        </w:rPr>
        <w:t>, at</w:t>
      </w:r>
      <w:r w:rsidR="00BC1A04">
        <w:rPr>
          <w:w w:val="103"/>
        </w:rPr>
        <w:t xml:space="preserve"> his request</w:t>
      </w:r>
      <w:r w:rsidR="00B93822">
        <w:rPr>
          <w:w w:val="103"/>
        </w:rPr>
        <w:t>, a lawyer</w:t>
      </w:r>
      <w:r w:rsidR="007D7756">
        <w:rPr>
          <w:w w:val="103"/>
        </w:rPr>
        <w:t xml:space="preserve"> in Sri Lanka, a</w:t>
      </w:r>
      <w:r w:rsidR="00B93822">
        <w:rPr>
          <w:w w:val="103"/>
        </w:rPr>
        <w:t xml:space="preserve"> Mr</w:t>
      </w:r>
      <w:r w:rsidR="007D7756">
        <w:rPr>
          <w:w w:val="103"/>
        </w:rPr>
        <w:t>.</w:t>
      </w:r>
      <w:r w:rsidR="00B93822">
        <w:rPr>
          <w:w w:val="103"/>
        </w:rPr>
        <w:t xml:space="preserve"> L.D.</w:t>
      </w:r>
      <w:r w:rsidR="007D7756">
        <w:rPr>
          <w:w w:val="103"/>
        </w:rPr>
        <w:t>,</w:t>
      </w:r>
      <w:r>
        <w:rPr>
          <w:w w:val="103"/>
        </w:rPr>
        <w:t xml:space="preserve"> went to the police station </w:t>
      </w:r>
      <w:r w:rsidR="00BC1A04">
        <w:rPr>
          <w:w w:val="103"/>
        </w:rPr>
        <w:t>in Negombo and compared the police records without revealing the complainant’s name.</w:t>
      </w:r>
      <w:r w:rsidR="00B93822">
        <w:rPr>
          <w:w w:val="103"/>
        </w:rPr>
        <w:t xml:space="preserve"> </w:t>
      </w:r>
    </w:p>
    <w:p w14:paraId="1D79E9BA" w14:textId="77777777" w:rsidR="00015B99" w:rsidRPr="00015B99" w:rsidRDefault="006B58B6" w:rsidP="00B23A14">
      <w:pPr>
        <w:pStyle w:val="H23G"/>
        <w:rPr>
          <w:w w:val="103"/>
        </w:rPr>
      </w:pPr>
      <w:r>
        <w:rPr>
          <w:rFonts w:eastAsia="SimSun"/>
          <w:w w:val="103"/>
        </w:rPr>
        <w:tab/>
      </w:r>
      <w:r>
        <w:rPr>
          <w:rFonts w:eastAsia="SimSun"/>
          <w:w w:val="103"/>
        </w:rPr>
        <w:tab/>
      </w:r>
      <w:r w:rsidR="00015B99" w:rsidRPr="00B23A14">
        <w:rPr>
          <w:rFonts w:eastAsia="SimSun"/>
          <w:w w:val="103"/>
        </w:rPr>
        <w:t>Issues and proceedings before the Committee</w:t>
      </w:r>
    </w:p>
    <w:p w14:paraId="69084AA0" w14:textId="77777777" w:rsidR="00015B99" w:rsidRPr="00015B99" w:rsidRDefault="00015B99" w:rsidP="00B23A14">
      <w:pPr>
        <w:pStyle w:val="H4G"/>
        <w:rPr>
          <w:rFonts w:eastAsia="SimSun"/>
          <w:w w:val="103"/>
          <w:lang w:eastAsia="zh-CN"/>
        </w:rPr>
      </w:pPr>
      <w:r w:rsidRPr="00015B99">
        <w:rPr>
          <w:rFonts w:eastAsia="SimSun"/>
          <w:w w:val="103"/>
          <w:lang w:eastAsia="zh-CN"/>
        </w:rPr>
        <w:tab/>
      </w:r>
      <w:r w:rsidRPr="00015B99">
        <w:rPr>
          <w:rFonts w:eastAsia="SimSun"/>
          <w:w w:val="103"/>
          <w:lang w:eastAsia="zh-CN"/>
        </w:rPr>
        <w:tab/>
      </w:r>
      <w:r w:rsidRPr="00FD17B4">
        <w:rPr>
          <w:rFonts w:eastAsia="SimSun"/>
          <w:w w:val="103"/>
          <w:lang w:eastAsia="zh-CN"/>
        </w:rPr>
        <w:t>Consideration of admissibility</w:t>
      </w:r>
    </w:p>
    <w:p w14:paraId="7E23D5F4" w14:textId="77777777" w:rsidR="00015B99" w:rsidRPr="00015B99" w:rsidRDefault="00015B99" w:rsidP="000E3DBE">
      <w:pPr>
        <w:pStyle w:val="SingleTxtG"/>
      </w:pPr>
      <w:r w:rsidRPr="00015B99">
        <w:t>9.1</w:t>
      </w:r>
      <w:r w:rsidRPr="00015B99">
        <w:tab/>
        <w:t>Before considering any complaint submitted in a communication, the Committee against Torture must decide whether it is admissible under article 22 of the Convention. The Committee has ascertained, as it is required to do under article 22</w:t>
      </w:r>
      <w:r w:rsidR="000E3DBE">
        <w:t xml:space="preserve"> (</w:t>
      </w:r>
      <w:r w:rsidRPr="00015B99">
        <w:t>5</w:t>
      </w:r>
      <w:r w:rsidR="000E3DBE">
        <w:t>)</w:t>
      </w:r>
      <w:r w:rsidRPr="00015B99">
        <w:t xml:space="preserve"> (a) of the Convention, that the same matter has not been and is not being examined under another procedure of international investigation or settlement. </w:t>
      </w:r>
    </w:p>
    <w:p w14:paraId="3FD3FF2E" w14:textId="77777777" w:rsidR="00015B99" w:rsidRDefault="00015B99" w:rsidP="00FD17B4">
      <w:pPr>
        <w:pStyle w:val="SingleTxtG"/>
        <w:rPr>
          <w:w w:val="103"/>
        </w:rPr>
      </w:pPr>
      <w:r w:rsidRPr="00015B99">
        <w:rPr>
          <w:w w:val="103"/>
        </w:rPr>
        <w:t>9.2</w:t>
      </w:r>
      <w:r w:rsidRPr="00015B99">
        <w:rPr>
          <w:w w:val="103"/>
        </w:rPr>
        <w:tab/>
        <w:t>The Committee recalls that, in accordance with article 22</w:t>
      </w:r>
      <w:r w:rsidR="000E3DBE">
        <w:rPr>
          <w:w w:val="103"/>
        </w:rPr>
        <w:t xml:space="preserve"> (</w:t>
      </w:r>
      <w:r w:rsidRPr="00015B99">
        <w:rPr>
          <w:w w:val="103"/>
        </w:rPr>
        <w:t>5</w:t>
      </w:r>
      <w:r w:rsidR="000E3DBE">
        <w:rPr>
          <w:w w:val="103"/>
        </w:rPr>
        <w:t>)</w:t>
      </w:r>
      <w:r w:rsidRPr="00015B99">
        <w:rPr>
          <w:w w:val="103"/>
        </w:rPr>
        <w:t xml:space="preserve"> (b) of the Convention, it shall not consider any communication from an individual unless it has ascertained that the individual has exhausted all available domestic remedies. The Committee notes that in the </w:t>
      </w:r>
      <w:r w:rsidR="000E3DBE">
        <w:rPr>
          <w:w w:val="103"/>
        </w:rPr>
        <w:t>present</w:t>
      </w:r>
      <w:r w:rsidRPr="00015B99">
        <w:rPr>
          <w:w w:val="103"/>
        </w:rPr>
        <w:t xml:space="preserve"> case, the State party has not contested that the complainant has not exhausted all available domestic remedies</w:t>
      </w:r>
      <w:r w:rsidR="000E3DBE">
        <w:rPr>
          <w:w w:val="103"/>
        </w:rPr>
        <w:t>.</w:t>
      </w:r>
      <w:r w:rsidR="00673352">
        <w:rPr>
          <w:rStyle w:val="FootnoteReference"/>
          <w:w w:val="103"/>
        </w:rPr>
        <w:footnoteReference w:id="14"/>
      </w:r>
      <w:r w:rsidRPr="00015B99">
        <w:rPr>
          <w:w w:val="103"/>
        </w:rPr>
        <w:t xml:space="preserve"> The Committee therefore finds that it is not precluded from considering the communication under article 22</w:t>
      </w:r>
      <w:r w:rsidR="00FD17B4">
        <w:rPr>
          <w:w w:val="103"/>
        </w:rPr>
        <w:t xml:space="preserve"> (</w:t>
      </w:r>
      <w:r w:rsidRPr="00015B99">
        <w:rPr>
          <w:w w:val="103"/>
        </w:rPr>
        <w:t>5</w:t>
      </w:r>
      <w:r w:rsidR="00FD17B4">
        <w:rPr>
          <w:w w:val="103"/>
        </w:rPr>
        <w:t>)</w:t>
      </w:r>
      <w:r w:rsidRPr="00015B99">
        <w:rPr>
          <w:w w:val="103"/>
        </w:rPr>
        <w:t xml:space="preserve"> (b) of the Convention.</w:t>
      </w:r>
    </w:p>
    <w:p w14:paraId="42F16632" w14:textId="77777777" w:rsidR="00015B99" w:rsidRPr="00015B99" w:rsidRDefault="00015B99" w:rsidP="00FD17B4">
      <w:pPr>
        <w:pStyle w:val="SingleTxtG"/>
        <w:rPr>
          <w:w w:val="103"/>
        </w:rPr>
      </w:pPr>
      <w:r w:rsidRPr="00015B99">
        <w:rPr>
          <w:w w:val="103"/>
        </w:rPr>
        <w:t>9.3</w:t>
      </w:r>
      <w:r w:rsidRPr="00015B99">
        <w:rPr>
          <w:w w:val="103"/>
        </w:rPr>
        <w:tab/>
        <w:t>The Committee notes that the State party has contested the admissibility of the complaint on the grounds that the complainant’s claims are manifestly unfounded. In</w:t>
      </w:r>
      <w:r w:rsidR="00FD17B4">
        <w:rPr>
          <w:w w:val="103"/>
        </w:rPr>
        <w:t xml:space="preserve"> the</w:t>
      </w:r>
      <w:r w:rsidRPr="00015B99">
        <w:rPr>
          <w:w w:val="103"/>
        </w:rPr>
        <w:t xml:space="preserve"> light of the information on file and </w:t>
      </w:r>
      <w:r w:rsidR="00FD17B4">
        <w:rPr>
          <w:w w:val="103"/>
        </w:rPr>
        <w:t xml:space="preserve">the </w:t>
      </w:r>
      <w:r w:rsidRPr="00015B99">
        <w:rPr>
          <w:w w:val="103"/>
        </w:rPr>
        <w:t>arguments presented by the parties, however, the Committee considers that</w:t>
      </w:r>
      <w:r w:rsidR="00FD17B4">
        <w:rPr>
          <w:w w:val="103"/>
        </w:rPr>
        <w:t>,</w:t>
      </w:r>
      <w:r w:rsidRPr="00015B99">
        <w:rPr>
          <w:w w:val="103"/>
        </w:rPr>
        <w:t xml:space="preserve"> </w:t>
      </w:r>
      <w:r w:rsidR="00FD17B4" w:rsidRPr="00015B99">
        <w:rPr>
          <w:w w:val="103"/>
        </w:rPr>
        <w:t>for purpose of admissibility,</w:t>
      </w:r>
      <w:r w:rsidR="00FD17B4">
        <w:rPr>
          <w:w w:val="103"/>
        </w:rPr>
        <w:t xml:space="preserve"> </w:t>
      </w:r>
      <w:r w:rsidRPr="00015B99">
        <w:rPr>
          <w:w w:val="103"/>
        </w:rPr>
        <w:t>the complainant has sufficiently substantiated his claims that there is a foreseeable, real and personal risk he would be subjected to torture if he is deported to Sri Lanka</w:t>
      </w:r>
      <w:r w:rsidR="00FD17B4">
        <w:rPr>
          <w:w w:val="103"/>
        </w:rPr>
        <w:t>,</w:t>
      </w:r>
      <w:r w:rsidRPr="00015B99">
        <w:rPr>
          <w:w w:val="103"/>
        </w:rPr>
        <w:t xml:space="preserve"> as his present claims raise serious issues under the Convention which should be considered by the Committee at the merits stage. Accordingly, the Committee </w:t>
      </w:r>
      <w:r w:rsidR="00FD17B4">
        <w:rPr>
          <w:w w:val="103"/>
        </w:rPr>
        <w:t>finds</w:t>
      </w:r>
      <w:r w:rsidRPr="00015B99">
        <w:rPr>
          <w:w w:val="103"/>
        </w:rPr>
        <w:t xml:space="preserve"> that the communication is admissible. </w:t>
      </w:r>
    </w:p>
    <w:p w14:paraId="41EA67E0" w14:textId="77777777" w:rsidR="00015B99" w:rsidRDefault="00015B99" w:rsidP="00FD17B4">
      <w:pPr>
        <w:pStyle w:val="SingleTxtG"/>
        <w:rPr>
          <w:w w:val="103"/>
        </w:rPr>
      </w:pPr>
      <w:r w:rsidRPr="00015B99">
        <w:rPr>
          <w:w w:val="103"/>
        </w:rPr>
        <w:t>9.4</w:t>
      </w:r>
      <w:r w:rsidRPr="00015B99">
        <w:rPr>
          <w:w w:val="103"/>
        </w:rPr>
        <w:tab/>
      </w:r>
      <w:r w:rsidR="00FD17B4">
        <w:rPr>
          <w:w w:val="103"/>
        </w:rPr>
        <w:t>As t</w:t>
      </w:r>
      <w:r w:rsidRPr="00015B99">
        <w:rPr>
          <w:w w:val="103"/>
        </w:rPr>
        <w:t xml:space="preserve">he Committee finds no further obstacles to admissibility, </w:t>
      </w:r>
      <w:r w:rsidR="00FD17B4">
        <w:rPr>
          <w:w w:val="103"/>
        </w:rPr>
        <w:t>it declares</w:t>
      </w:r>
      <w:r w:rsidRPr="00015B99">
        <w:rPr>
          <w:w w:val="103"/>
        </w:rPr>
        <w:t xml:space="preserve"> the com</w:t>
      </w:r>
      <w:r w:rsidR="00FD17B4">
        <w:rPr>
          <w:w w:val="103"/>
        </w:rPr>
        <w:t>munication</w:t>
      </w:r>
      <w:r w:rsidR="001A02CA">
        <w:rPr>
          <w:w w:val="103"/>
        </w:rPr>
        <w:t xml:space="preserve"> </w:t>
      </w:r>
      <w:r w:rsidR="00FD17B4">
        <w:rPr>
          <w:w w:val="103"/>
        </w:rPr>
        <w:t>submitted under article 3 of the Convention</w:t>
      </w:r>
      <w:r w:rsidRPr="00015B99">
        <w:rPr>
          <w:w w:val="103"/>
        </w:rPr>
        <w:t xml:space="preserve"> admissible </w:t>
      </w:r>
      <w:r w:rsidR="00FD17B4">
        <w:rPr>
          <w:w w:val="103"/>
        </w:rPr>
        <w:t>a</w:t>
      </w:r>
      <w:r w:rsidRPr="00015B99">
        <w:rPr>
          <w:w w:val="103"/>
        </w:rPr>
        <w:t>nd proceeds with its consideration of the merits.</w:t>
      </w:r>
    </w:p>
    <w:p w14:paraId="589FE2CD" w14:textId="77777777" w:rsidR="00015B99" w:rsidRPr="00015B99" w:rsidRDefault="006B58B6" w:rsidP="00B23A14">
      <w:pPr>
        <w:pStyle w:val="H4G"/>
        <w:rPr>
          <w:w w:val="103"/>
        </w:rPr>
      </w:pPr>
      <w:r>
        <w:rPr>
          <w:rFonts w:eastAsia="SimSun"/>
          <w:w w:val="103"/>
        </w:rPr>
        <w:tab/>
      </w:r>
      <w:r>
        <w:rPr>
          <w:rFonts w:eastAsia="SimSun"/>
          <w:w w:val="103"/>
        </w:rPr>
        <w:tab/>
      </w:r>
      <w:r w:rsidR="00015B99" w:rsidRPr="00015B99">
        <w:rPr>
          <w:rFonts w:eastAsia="SimSun"/>
          <w:w w:val="103"/>
        </w:rPr>
        <w:t>Consideration of the merits</w:t>
      </w:r>
    </w:p>
    <w:p w14:paraId="08CCB7EE" w14:textId="77777777" w:rsidR="00015B99" w:rsidRPr="00015B99" w:rsidRDefault="00015B99" w:rsidP="00FD17B4">
      <w:pPr>
        <w:pStyle w:val="SingleTxtG"/>
      </w:pPr>
      <w:r w:rsidRPr="00015B99">
        <w:t>10.1</w:t>
      </w:r>
      <w:r w:rsidRPr="00015B99">
        <w:tab/>
        <w:t>In accordance with article 22</w:t>
      </w:r>
      <w:r w:rsidR="00FD17B4">
        <w:t xml:space="preserve"> (</w:t>
      </w:r>
      <w:r w:rsidRPr="00015B99">
        <w:t>4</w:t>
      </w:r>
      <w:r w:rsidR="00FD17B4">
        <w:t>)</w:t>
      </w:r>
      <w:r w:rsidRPr="00015B99">
        <w:t xml:space="preserve"> of the Convention, the Committee has considered the present communication in the light of all information made available to it by the parties concerned.</w:t>
      </w:r>
    </w:p>
    <w:p w14:paraId="30B8D6B1" w14:textId="77777777" w:rsidR="00015B99" w:rsidRPr="00015B99" w:rsidRDefault="00015B99" w:rsidP="007F4384">
      <w:pPr>
        <w:pStyle w:val="SingleTxtG"/>
      </w:pPr>
      <w:r w:rsidRPr="00015B99">
        <w:t>10.2</w:t>
      </w:r>
      <w:r w:rsidRPr="00015B99">
        <w:tab/>
        <w:t xml:space="preserve">In the present case, the issue before the Committee is whether the </w:t>
      </w:r>
      <w:r w:rsidR="007F4384">
        <w:t>return</w:t>
      </w:r>
      <w:r w:rsidR="007F4384" w:rsidRPr="00015B99">
        <w:t xml:space="preserve"> </w:t>
      </w:r>
      <w:r w:rsidRPr="00015B99">
        <w:t>of the complainant to Sri Lanka would constitute a violation</w:t>
      </w:r>
      <w:r w:rsidR="007F4384">
        <w:t xml:space="preserve"> of </w:t>
      </w:r>
      <w:r w:rsidRPr="00015B99">
        <w:t>the State party</w:t>
      </w:r>
      <w:r w:rsidR="007F4384">
        <w:t>’s</w:t>
      </w:r>
      <w:r w:rsidRPr="00015B99">
        <w:t xml:space="preserve"> obligation under article 3 of the Convention not to expel or to return (</w:t>
      </w:r>
      <w:r w:rsidR="007F4384">
        <w:t>“</w:t>
      </w:r>
      <w:r w:rsidRPr="00015B99">
        <w:t>refouler</w:t>
      </w:r>
      <w:r w:rsidR="007F4384">
        <w:t>”</w:t>
      </w:r>
      <w:r w:rsidRPr="00015B99">
        <w:t xml:space="preserve">) a person to another State where there are substantial grounds for believing that he or she would be in danger of being subjected to torture. </w:t>
      </w:r>
    </w:p>
    <w:p w14:paraId="3E1104BD" w14:textId="77777777" w:rsidR="00015B99" w:rsidRPr="00015B99" w:rsidRDefault="00015B99" w:rsidP="007F4384">
      <w:pPr>
        <w:pStyle w:val="SingleTxtG"/>
      </w:pPr>
      <w:r w:rsidRPr="00015B99">
        <w:t>10.3</w:t>
      </w:r>
      <w:r w:rsidRPr="00015B99">
        <w:tab/>
        <w:t xml:space="preserve">The Committee must evaluate whether there are substantial grounds for believing that the complainant would be personally in danger of being subjected to torture upon return to </w:t>
      </w:r>
      <w:r w:rsidR="007F4384">
        <w:t>Sri Lanka</w:t>
      </w:r>
      <w:r w:rsidRPr="00015B99">
        <w:t>. In assessing that risk, the Committee must take into account all relevant considerations, pursuant to article 3</w:t>
      </w:r>
      <w:r w:rsidR="007F4384">
        <w:t xml:space="preserve"> (</w:t>
      </w:r>
      <w:r w:rsidRPr="00015B99">
        <w:t>2</w:t>
      </w:r>
      <w:r w:rsidR="007F4384">
        <w:t>)</w:t>
      </w:r>
      <w:r w:rsidRPr="00015B99">
        <w:t xml:space="preserve"> of the Convention, including the existence of a consistent pattern of gross, flagrant or mass violations of human rights. However, </w:t>
      </w:r>
      <w:r w:rsidR="007F4384">
        <w:t xml:space="preserve">the Committee recalls that </w:t>
      </w:r>
      <w:r w:rsidRPr="00015B99">
        <w:t>the aim of the evaluation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00884139">
        <w:t>.</w:t>
      </w:r>
      <w:r w:rsidR="00022F1F">
        <w:rPr>
          <w:rStyle w:val="FootnoteReference"/>
        </w:rPr>
        <w:footnoteReference w:id="15"/>
      </w:r>
    </w:p>
    <w:p w14:paraId="2DEFA898" w14:textId="77777777" w:rsidR="009C28F9" w:rsidRDefault="00015B99" w:rsidP="00345CC7">
      <w:pPr>
        <w:pStyle w:val="SingleTxtG"/>
        <w:rPr>
          <w:spacing w:val="4"/>
          <w:w w:val="103"/>
          <w:kern w:val="14"/>
        </w:rPr>
      </w:pPr>
      <w:r w:rsidRPr="00015B99">
        <w:rPr>
          <w:w w:val="103"/>
        </w:rPr>
        <w:t>10.4</w:t>
      </w:r>
      <w:r w:rsidRPr="00015B99">
        <w:rPr>
          <w:w w:val="103"/>
        </w:rPr>
        <w:tab/>
        <w:t>The Committee recalls its general comment No. 1 (1997) on the implementation of article 3</w:t>
      </w:r>
      <w:r w:rsidR="007F4384">
        <w:rPr>
          <w:w w:val="103"/>
        </w:rPr>
        <w:t xml:space="preserve"> of the Convention</w:t>
      </w:r>
      <w:r w:rsidRPr="007F4384">
        <w:rPr>
          <w:w w:val="103"/>
        </w:rPr>
        <w:t>, according to</w:t>
      </w:r>
      <w:r w:rsidRPr="00015B99">
        <w:rPr>
          <w:w w:val="103"/>
        </w:rPr>
        <w:t xml:space="preserve"> which the risk of torture must be assessed on grounds that go beyond mere theory or suspicion. While the risk does not have to meet the test of being highly probable</w:t>
      </w:r>
      <w:r w:rsidR="007F4384">
        <w:rPr>
          <w:w w:val="103"/>
        </w:rPr>
        <w:t xml:space="preserve"> (para. 6)</w:t>
      </w:r>
      <w:r w:rsidR="009175E0">
        <w:rPr>
          <w:w w:val="103"/>
        </w:rPr>
        <w:t>,</w:t>
      </w:r>
      <w:r w:rsidR="00345CC7" w:rsidDel="00345CC7">
        <w:rPr>
          <w:rStyle w:val="FootnoteReference"/>
          <w:w w:val="103"/>
        </w:rPr>
        <w:t xml:space="preserve"> </w:t>
      </w:r>
      <w:r w:rsidRPr="00015B99">
        <w:rPr>
          <w:w w:val="103"/>
        </w:rPr>
        <w:t xml:space="preserve"> the Committee recalls that the burden of proof generally falls on the complainant, who must present an arguable case that he or she faces a foreseeable, real and personal risk</w:t>
      </w:r>
      <w:r w:rsidR="00884139">
        <w:rPr>
          <w:w w:val="103"/>
        </w:rPr>
        <w:t>.</w:t>
      </w:r>
      <w:r w:rsidR="00D94142">
        <w:rPr>
          <w:rStyle w:val="FootnoteReference"/>
          <w:w w:val="103"/>
        </w:rPr>
        <w:footnoteReference w:id="16"/>
      </w:r>
      <w:r w:rsidRPr="00015B99">
        <w:rPr>
          <w:w w:val="103"/>
        </w:rPr>
        <w:t xml:space="preserve"> </w:t>
      </w:r>
      <w:r w:rsidR="007F4384">
        <w:rPr>
          <w:w w:val="103"/>
        </w:rPr>
        <w:t>Although,</w:t>
      </w:r>
      <w:r w:rsidRPr="00015B99">
        <w:rPr>
          <w:w w:val="103"/>
        </w:rPr>
        <w:t xml:space="preserve"> under the terms of its general comment</w:t>
      </w:r>
      <w:r w:rsidR="007F4384">
        <w:rPr>
          <w:w w:val="103"/>
        </w:rPr>
        <w:t xml:space="preserve"> No. 1,</w:t>
      </w:r>
      <w:r w:rsidRPr="00015B99">
        <w:rPr>
          <w:w w:val="103"/>
        </w:rPr>
        <w:t xml:space="preserve"> the Committee is free to assess the facts on the basis of the full set of circumstances in every case, </w:t>
      </w:r>
      <w:r w:rsidR="00FA2CC3" w:rsidRPr="00FA2CC3">
        <w:rPr>
          <w:spacing w:val="4"/>
          <w:w w:val="103"/>
          <w:kern w:val="14"/>
        </w:rPr>
        <w:t xml:space="preserve">considerable weight </w:t>
      </w:r>
      <w:r w:rsidR="007F4384">
        <w:rPr>
          <w:spacing w:val="4"/>
          <w:w w:val="103"/>
          <w:kern w:val="14"/>
        </w:rPr>
        <w:t xml:space="preserve">is given </w:t>
      </w:r>
      <w:r w:rsidR="00FA2CC3" w:rsidRPr="00FA2CC3">
        <w:rPr>
          <w:spacing w:val="4"/>
          <w:w w:val="103"/>
          <w:kern w:val="14"/>
        </w:rPr>
        <w:t xml:space="preserve">to </w:t>
      </w:r>
      <w:r w:rsidR="007F4384">
        <w:rPr>
          <w:spacing w:val="4"/>
          <w:w w:val="103"/>
          <w:kern w:val="14"/>
        </w:rPr>
        <w:t xml:space="preserve">the </w:t>
      </w:r>
      <w:r w:rsidR="00FA2CC3" w:rsidRPr="00FA2CC3">
        <w:rPr>
          <w:spacing w:val="4"/>
          <w:w w:val="103"/>
          <w:kern w:val="14"/>
        </w:rPr>
        <w:t>findings of fact that are made by organs of the State party concerned</w:t>
      </w:r>
      <w:r w:rsidR="007F4384">
        <w:rPr>
          <w:spacing w:val="4"/>
          <w:w w:val="103"/>
          <w:kern w:val="14"/>
        </w:rPr>
        <w:t xml:space="preserve"> (para. 9)</w:t>
      </w:r>
      <w:r w:rsidR="00884139">
        <w:rPr>
          <w:spacing w:val="4"/>
          <w:w w:val="103"/>
          <w:kern w:val="14"/>
        </w:rPr>
        <w:t>.</w:t>
      </w:r>
      <w:r w:rsidR="00FA2CC3">
        <w:rPr>
          <w:rStyle w:val="FootnoteReference"/>
          <w:spacing w:val="4"/>
          <w:w w:val="103"/>
          <w:kern w:val="14"/>
        </w:rPr>
        <w:footnoteReference w:id="17"/>
      </w:r>
    </w:p>
    <w:p w14:paraId="5E239234" w14:textId="77777777" w:rsidR="00FA2CC3" w:rsidRPr="00FA2CC3" w:rsidRDefault="00FA2CC3" w:rsidP="001509D6">
      <w:pPr>
        <w:pStyle w:val="SingleTxtG"/>
        <w:rPr>
          <w:bCs/>
          <w:lang w:val="x-none"/>
        </w:rPr>
      </w:pPr>
      <w:r w:rsidRPr="00FA2CC3">
        <w:t>10.5</w:t>
      </w:r>
      <w:r w:rsidRPr="00FA2CC3">
        <w:tab/>
        <w:t>In th</w:t>
      </w:r>
      <w:r w:rsidR="007F4384">
        <w:t>e present</w:t>
      </w:r>
      <w:r w:rsidRPr="00FA2CC3">
        <w:t xml:space="preserve"> case, the complainant claims that he will be detained and tortured if he is returned to Sri Lanka as he is a young man of Tamil ethnicity and is wanted by the Sri Lankan authorities </w:t>
      </w:r>
      <w:r w:rsidR="00BC479F">
        <w:t>owing</w:t>
      </w:r>
      <w:r w:rsidRPr="00FA2CC3">
        <w:t xml:space="preserve"> to his history of association with the </w:t>
      </w:r>
      <w:r w:rsidR="007F4384" w:rsidRPr="00B22288">
        <w:t>Liberation Tigers of Tamil Eelam</w:t>
      </w:r>
      <w:r w:rsidR="007F4384" w:rsidRPr="00FA2CC3">
        <w:t xml:space="preserve"> </w:t>
      </w:r>
      <w:r w:rsidR="007F4384">
        <w:t>(</w:t>
      </w:r>
      <w:r w:rsidRPr="00FA2CC3">
        <w:t>LTTE</w:t>
      </w:r>
      <w:r w:rsidR="007F4384">
        <w:t>)</w:t>
      </w:r>
      <w:r w:rsidRPr="00FA2CC3">
        <w:t>. In th</w:t>
      </w:r>
      <w:r w:rsidR="007F4384">
        <w:t>at</w:t>
      </w:r>
      <w:r w:rsidRPr="00FA2CC3">
        <w:t xml:space="preserve"> connection, he claims that he was subjected to ill-treatment while he was detained in Sri Lanka by the C</w:t>
      </w:r>
      <w:r w:rsidR="007F4384">
        <w:t xml:space="preserve">riminal </w:t>
      </w:r>
      <w:r w:rsidRPr="00FA2CC3">
        <w:t>I</w:t>
      </w:r>
      <w:r w:rsidR="007F4384">
        <w:t xml:space="preserve">nvestigation </w:t>
      </w:r>
      <w:r w:rsidRPr="00FA2CC3">
        <w:t>D</w:t>
      </w:r>
      <w:r w:rsidR="007F4384">
        <w:t>epartment</w:t>
      </w:r>
      <w:r w:rsidRPr="00FA2CC3">
        <w:t xml:space="preserve"> from 17 to 20 September 2010</w:t>
      </w:r>
      <w:r w:rsidR="007F4384">
        <w:t>,</w:t>
      </w:r>
      <w:r w:rsidRPr="00FA2CC3">
        <w:t xml:space="preserve"> as the </w:t>
      </w:r>
      <w:r w:rsidR="007F4384">
        <w:t>Department</w:t>
      </w:r>
      <w:r w:rsidRPr="00FA2CC3">
        <w:t xml:space="preserve"> had found a number of items belonging to LTTE members</w:t>
      </w:r>
      <w:r w:rsidR="007F4384">
        <w:t xml:space="preserve"> in his house</w:t>
      </w:r>
      <w:r w:rsidRPr="00FA2CC3">
        <w:t xml:space="preserve">. The complainant also claims that he will risk being subjected to torture given his status as a failed asylum seeker. </w:t>
      </w:r>
      <w:r w:rsidRPr="00FA2CC3">
        <w:rPr>
          <w:bCs/>
        </w:rPr>
        <w:t>The Committee takes note of the State party’s submission that, in the present case, the complainant ha</w:t>
      </w:r>
      <w:r w:rsidR="001042AD">
        <w:rPr>
          <w:bCs/>
        </w:rPr>
        <w:t>s</w:t>
      </w:r>
      <w:r w:rsidRPr="00FA2CC3">
        <w:rPr>
          <w:bCs/>
        </w:rPr>
        <w:t xml:space="preserve"> not provided credible evidence and ha</w:t>
      </w:r>
      <w:r w:rsidR="001042AD">
        <w:rPr>
          <w:bCs/>
        </w:rPr>
        <w:t>s</w:t>
      </w:r>
      <w:r w:rsidRPr="00FA2CC3">
        <w:rPr>
          <w:bCs/>
        </w:rPr>
        <w:t xml:space="preserve"> failed to substantiate that there was a foreseeable, real and personal risk that he would be subjected to torture by the authorities if he </w:t>
      </w:r>
      <w:r w:rsidR="001042AD">
        <w:rPr>
          <w:bCs/>
        </w:rPr>
        <w:t xml:space="preserve">is </w:t>
      </w:r>
      <w:r w:rsidRPr="00FA2CC3">
        <w:rPr>
          <w:bCs/>
        </w:rPr>
        <w:t>returned to Sri Lanka; that his claims ha</w:t>
      </w:r>
      <w:r w:rsidR="001042AD">
        <w:rPr>
          <w:bCs/>
        </w:rPr>
        <w:t>ve</w:t>
      </w:r>
      <w:r w:rsidRPr="00FA2CC3">
        <w:rPr>
          <w:bCs/>
        </w:rPr>
        <w:t xml:space="preserve"> been reviewed by the competent domestic authorities</w:t>
      </w:r>
      <w:r w:rsidR="00BC479F">
        <w:rPr>
          <w:bCs/>
        </w:rPr>
        <w:t>,</w:t>
      </w:r>
      <w:r w:rsidRPr="00FA2CC3">
        <w:rPr>
          <w:bCs/>
        </w:rPr>
        <w:t xml:space="preserve"> in accordance with domestic legislation and taking into account </w:t>
      </w:r>
      <w:r w:rsidR="00BC479F">
        <w:rPr>
          <w:bCs/>
        </w:rPr>
        <w:t xml:space="preserve">the </w:t>
      </w:r>
      <w:r w:rsidRPr="00FA2CC3">
        <w:rPr>
          <w:bCs/>
        </w:rPr>
        <w:t xml:space="preserve">current human rights situation in Sri Lanka; and that the </w:t>
      </w:r>
      <w:r w:rsidR="00BC479F">
        <w:rPr>
          <w:bCs/>
        </w:rPr>
        <w:t>domestic authorities</w:t>
      </w:r>
      <w:r w:rsidRPr="00FA2CC3">
        <w:rPr>
          <w:bCs/>
        </w:rPr>
        <w:t xml:space="preserve"> were not </w:t>
      </w:r>
      <w:r w:rsidR="00BC479F">
        <w:rPr>
          <w:bCs/>
        </w:rPr>
        <w:t>convinced</w:t>
      </w:r>
      <w:r w:rsidRPr="00FA2CC3">
        <w:rPr>
          <w:bCs/>
        </w:rPr>
        <w:t xml:space="preserve"> that the complainant fell within the categor</w:t>
      </w:r>
      <w:r w:rsidR="00BC479F">
        <w:rPr>
          <w:bCs/>
        </w:rPr>
        <w:t>y</w:t>
      </w:r>
      <w:r w:rsidRPr="00FA2CC3">
        <w:rPr>
          <w:bCs/>
        </w:rPr>
        <w:t xml:space="preserve"> of persons entitled to protection under the </w:t>
      </w:r>
      <w:r w:rsidR="00BC479F">
        <w:rPr>
          <w:bCs/>
        </w:rPr>
        <w:t xml:space="preserve">1951 Convention relating to the Status of </w:t>
      </w:r>
      <w:r w:rsidRPr="00FA2CC3">
        <w:rPr>
          <w:bCs/>
        </w:rPr>
        <w:t>Refugee</w:t>
      </w:r>
      <w:r w:rsidR="00BC479F">
        <w:rPr>
          <w:bCs/>
        </w:rPr>
        <w:t>s</w:t>
      </w:r>
      <w:r w:rsidRPr="00FA2CC3">
        <w:rPr>
          <w:bCs/>
        </w:rPr>
        <w:t xml:space="preserve">. </w:t>
      </w:r>
    </w:p>
    <w:p w14:paraId="15ACBD91" w14:textId="77777777" w:rsidR="00FA2CC3" w:rsidRPr="00FA2CC3" w:rsidRDefault="00FA2CC3" w:rsidP="008D527B">
      <w:pPr>
        <w:pStyle w:val="SingleTxtG"/>
      </w:pPr>
      <w:r w:rsidRPr="00FA2CC3">
        <w:t>10.6</w:t>
      </w:r>
      <w:r w:rsidRPr="00FA2CC3">
        <w:tab/>
        <w:t xml:space="preserve">In </w:t>
      </w:r>
      <w:r w:rsidR="00BC479F">
        <w:t xml:space="preserve">the </w:t>
      </w:r>
      <w:r w:rsidRPr="00FA2CC3">
        <w:t xml:space="preserve">light of the above and taking into account the information provided by the parties, the Committee is of the view that there are inconsistencies in the complainant’s story </w:t>
      </w:r>
      <w:r w:rsidR="00BC479F">
        <w:t xml:space="preserve">that </w:t>
      </w:r>
      <w:r w:rsidRPr="00FA2CC3">
        <w:t>undermin</w:t>
      </w:r>
      <w:r w:rsidR="00BC479F">
        <w:t>e</w:t>
      </w:r>
      <w:r w:rsidRPr="00FA2CC3">
        <w:t xml:space="preserve"> the credibility of his claim</w:t>
      </w:r>
      <w:r w:rsidR="00BC479F">
        <w:t>s</w:t>
      </w:r>
      <w:r w:rsidRPr="00FA2CC3">
        <w:t xml:space="preserve"> that he would be at risk of being subjected to torture by the authorities upon return to Sri Lanka given that he is a young man of Tamil ethnicity and </w:t>
      </w:r>
      <w:r w:rsidR="001042AD">
        <w:t xml:space="preserve">that he </w:t>
      </w:r>
      <w:r w:rsidRPr="00FA2CC3">
        <w:t xml:space="preserve">is wanted by the Sri Lankan authorities </w:t>
      </w:r>
      <w:r w:rsidR="00BC479F">
        <w:t xml:space="preserve">owing </w:t>
      </w:r>
      <w:r w:rsidRPr="00FA2CC3">
        <w:t>to his association with the LTTE. The Committee is also of the view that the complainant has not submitted any objective evidence to substantiate his claim. In particular, the Committee notes that the complainant claims that he was tortured by the C</w:t>
      </w:r>
      <w:r w:rsidR="00BC479F">
        <w:t xml:space="preserve">riminal </w:t>
      </w:r>
      <w:r w:rsidRPr="00FA2CC3">
        <w:t>I</w:t>
      </w:r>
      <w:r w:rsidR="00BC479F">
        <w:t xml:space="preserve">nvestigation </w:t>
      </w:r>
      <w:r w:rsidRPr="00FA2CC3">
        <w:t>D</w:t>
      </w:r>
      <w:r w:rsidR="00BC479F">
        <w:t>epartment</w:t>
      </w:r>
      <w:r w:rsidRPr="00FA2CC3">
        <w:t xml:space="preserve"> while in detention in Sri Lanka in September 2010. In th</w:t>
      </w:r>
      <w:r w:rsidR="00BC479F">
        <w:t>at</w:t>
      </w:r>
      <w:r w:rsidRPr="00FA2CC3">
        <w:t xml:space="preserve"> regard, the Committee notes that in his initial complaint to the Committee, the complainant claimed that he had been detained by the C</w:t>
      </w:r>
      <w:r w:rsidR="00BC479F">
        <w:t xml:space="preserve">riminal </w:t>
      </w:r>
      <w:r w:rsidRPr="00FA2CC3">
        <w:t>I</w:t>
      </w:r>
      <w:r w:rsidR="00BC479F">
        <w:t xml:space="preserve">nvestigation </w:t>
      </w:r>
      <w:r w:rsidRPr="00FA2CC3">
        <w:t>D</w:t>
      </w:r>
      <w:r w:rsidR="00BC479F">
        <w:t>epartment</w:t>
      </w:r>
      <w:r w:rsidRPr="00FA2CC3">
        <w:t xml:space="preserve"> in Thelwatte Junction</w:t>
      </w:r>
      <w:r w:rsidR="001A02CA">
        <w:t xml:space="preserve"> for one week </w:t>
      </w:r>
      <w:r w:rsidRPr="00FA2CC3">
        <w:t>in September 2010</w:t>
      </w:r>
      <w:r w:rsidR="00884139">
        <w:t>,</w:t>
      </w:r>
      <w:r w:rsidRPr="00FA2CC3">
        <w:t xml:space="preserve"> </w:t>
      </w:r>
      <w:r w:rsidR="001042AD">
        <w:t>but</w:t>
      </w:r>
      <w:r w:rsidRPr="00FA2CC3">
        <w:t xml:space="preserve"> </w:t>
      </w:r>
      <w:r w:rsidR="001A02CA">
        <w:t>he told the State party’s authorities</w:t>
      </w:r>
      <w:r w:rsidRPr="00FA2CC3">
        <w:t xml:space="preserve"> and </w:t>
      </w:r>
      <w:r w:rsidR="001A02CA">
        <w:t xml:space="preserve">claimed </w:t>
      </w:r>
      <w:r w:rsidRPr="00FA2CC3">
        <w:t>in his subsequent submissions to the Committee that he was detained by the police in Negombo Police Station</w:t>
      </w:r>
      <w:r w:rsidRPr="00FA2CC3">
        <w:rPr>
          <w:rFonts w:ascii="Tms Rmn" w:hAnsi="Tms Rmn" w:cs="Tms Rmn"/>
          <w:color w:val="000000"/>
          <w:sz w:val="24"/>
          <w:szCs w:val="24"/>
          <w:lang w:eastAsia="en-GB"/>
        </w:rPr>
        <w:t xml:space="preserve"> </w:t>
      </w:r>
      <w:r w:rsidRPr="00FA2CC3">
        <w:t>for three days. Further</w:t>
      </w:r>
      <w:r w:rsidR="001A02CA">
        <w:t>more</w:t>
      </w:r>
      <w:r w:rsidRPr="00FA2CC3">
        <w:t xml:space="preserve">, the complainant has not provided any details whatsoever, neither </w:t>
      </w:r>
      <w:r w:rsidR="001A02CA">
        <w:t xml:space="preserve">to the State party’s </w:t>
      </w:r>
      <w:r w:rsidRPr="00FA2CC3">
        <w:t xml:space="preserve">authorities nor to the Committee, </w:t>
      </w:r>
      <w:r w:rsidR="001A02CA">
        <w:t>about</w:t>
      </w:r>
      <w:r w:rsidRPr="00FA2CC3">
        <w:t xml:space="preserve"> the ill-treatment </w:t>
      </w:r>
      <w:r w:rsidR="001A02CA">
        <w:t xml:space="preserve">he allegedly </w:t>
      </w:r>
      <w:r w:rsidRPr="00FA2CC3">
        <w:t xml:space="preserve">suffered during his detention, </w:t>
      </w:r>
      <w:r w:rsidR="001A02CA">
        <w:t>that is,</w:t>
      </w:r>
      <w:r w:rsidRPr="00FA2CC3">
        <w:t xml:space="preserve"> information regarding the method of torture, details about the context, the alleged perpetrators (such as names, number of perpetrators, etc</w:t>
      </w:r>
      <w:r w:rsidR="00DA6DAD">
        <w:t>.)</w:t>
      </w:r>
      <w:r w:rsidR="001A02CA">
        <w:t>,</w:t>
      </w:r>
      <w:r w:rsidRPr="00FA2CC3">
        <w:t xml:space="preserve"> whether he had sought medical assistance in Sri Lanka after the alleged incident and whether he is in pos</w:t>
      </w:r>
      <w:r w:rsidR="001A02CA">
        <w:t>session</w:t>
      </w:r>
      <w:r w:rsidRPr="00FA2CC3">
        <w:t xml:space="preserve"> of any medical documentation in that regard. The Committee observes that</w:t>
      </w:r>
      <w:r w:rsidR="001A02CA">
        <w:t>,</w:t>
      </w:r>
      <w:r w:rsidRPr="00FA2CC3">
        <w:t xml:space="preserve"> </w:t>
      </w:r>
      <w:r w:rsidR="001A02CA">
        <w:t>although</w:t>
      </w:r>
      <w:r w:rsidRPr="00FA2CC3">
        <w:t xml:space="preserve"> the complainant has attached a copy of a medical certificate concerning his mental health</w:t>
      </w:r>
      <w:r w:rsidR="001A02CA">
        <w:t>,</w:t>
      </w:r>
      <w:r w:rsidRPr="00FA2CC3">
        <w:t xml:space="preserve"> the document in question was issued on 13 March 2015 and contains no details whatsoever a</w:t>
      </w:r>
      <w:r w:rsidR="001A02CA">
        <w:t>bout</w:t>
      </w:r>
      <w:r w:rsidRPr="00FA2CC3">
        <w:t xml:space="preserve"> the ill-treatment </w:t>
      </w:r>
      <w:r w:rsidR="001A02CA">
        <w:t xml:space="preserve">that he </w:t>
      </w:r>
      <w:r w:rsidRPr="00FA2CC3">
        <w:t xml:space="preserve">allegedly suffered in Sri Lanka. </w:t>
      </w:r>
    </w:p>
    <w:p w14:paraId="1EF13400" w14:textId="77777777" w:rsidR="008D7CAB" w:rsidRDefault="00FA2CC3" w:rsidP="008D527B">
      <w:pPr>
        <w:pStyle w:val="SingleTxtG"/>
      </w:pPr>
      <w:r w:rsidRPr="00FA2CC3">
        <w:rPr>
          <w:w w:val="103"/>
        </w:rPr>
        <w:t>10.7</w:t>
      </w:r>
      <w:r w:rsidR="009829A1">
        <w:rPr>
          <w:w w:val="103"/>
        </w:rPr>
        <w:tab/>
      </w:r>
      <w:r w:rsidRPr="00FA2CC3">
        <w:rPr>
          <w:w w:val="103"/>
        </w:rPr>
        <w:t xml:space="preserve">The Committee observes that the complainant left Sri Lanka on 23 September 2010 and travelled to Kenya and later </w:t>
      </w:r>
      <w:r w:rsidRPr="001A02CA">
        <w:rPr>
          <w:w w:val="103"/>
        </w:rPr>
        <w:t xml:space="preserve">to </w:t>
      </w:r>
      <w:r w:rsidR="001A02CA" w:rsidRPr="001A02CA">
        <w:rPr>
          <w:w w:val="103"/>
        </w:rPr>
        <w:t>Côte d’Ivoire</w:t>
      </w:r>
      <w:r w:rsidR="001042AD">
        <w:rPr>
          <w:w w:val="103"/>
        </w:rPr>
        <w:t>, before</w:t>
      </w:r>
      <w:r w:rsidRPr="00FA2CC3">
        <w:rPr>
          <w:w w:val="103"/>
        </w:rPr>
        <w:t xml:space="preserve"> return</w:t>
      </w:r>
      <w:r w:rsidR="001042AD">
        <w:rPr>
          <w:w w:val="103"/>
        </w:rPr>
        <w:t>ing</w:t>
      </w:r>
      <w:r w:rsidRPr="00FA2CC3">
        <w:rPr>
          <w:w w:val="103"/>
        </w:rPr>
        <w:t xml:space="preserve"> to Sri Lanka on 30 May 2011, after his visa</w:t>
      </w:r>
      <w:r w:rsidR="001042AD">
        <w:rPr>
          <w:w w:val="103"/>
        </w:rPr>
        <w:t>s</w:t>
      </w:r>
      <w:r w:rsidRPr="00FA2CC3">
        <w:rPr>
          <w:w w:val="103"/>
        </w:rPr>
        <w:t xml:space="preserve"> </w:t>
      </w:r>
      <w:r w:rsidR="001042AD">
        <w:rPr>
          <w:w w:val="103"/>
        </w:rPr>
        <w:t xml:space="preserve">had </w:t>
      </w:r>
      <w:r w:rsidRPr="00FA2CC3">
        <w:rPr>
          <w:w w:val="103"/>
        </w:rPr>
        <w:t>expired and he was refused entry to Dubai. In th</w:t>
      </w:r>
      <w:r w:rsidR="001A02CA">
        <w:rPr>
          <w:w w:val="103"/>
        </w:rPr>
        <w:t>at</w:t>
      </w:r>
      <w:r w:rsidRPr="00FA2CC3">
        <w:rPr>
          <w:w w:val="103"/>
        </w:rPr>
        <w:t xml:space="preserve"> regard, the Committee notes the State party’s argument that </w:t>
      </w:r>
      <w:r w:rsidR="001A02CA">
        <w:rPr>
          <w:w w:val="103"/>
        </w:rPr>
        <w:t>its</w:t>
      </w:r>
      <w:r w:rsidRPr="00FA2CC3">
        <w:rPr>
          <w:w w:val="103"/>
        </w:rPr>
        <w:t xml:space="preserve"> authorities did not accept as credible the complainant’s claims that he left Sri Lanka in 2010 and </w:t>
      </w:r>
      <w:r w:rsidR="001A02CA">
        <w:rPr>
          <w:w w:val="103"/>
        </w:rPr>
        <w:t>again</w:t>
      </w:r>
      <w:r w:rsidRPr="00FA2CC3">
        <w:rPr>
          <w:w w:val="103"/>
        </w:rPr>
        <w:t xml:space="preserve"> in 2012 because he feared harm from the Sri Lankan authorities</w:t>
      </w:r>
      <w:r w:rsidR="001042AD">
        <w:rPr>
          <w:w w:val="103"/>
        </w:rPr>
        <w:t xml:space="preserve">. In </w:t>
      </w:r>
      <w:r w:rsidR="001509D6">
        <w:rPr>
          <w:w w:val="103"/>
        </w:rPr>
        <w:t xml:space="preserve">the State party’s </w:t>
      </w:r>
      <w:r w:rsidR="00C614B5">
        <w:rPr>
          <w:w w:val="103"/>
        </w:rPr>
        <w:t>view,</w:t>
      </w:r>
      <w:r w:rsidRPr="00FA2CC3">
        <w:rPr>
          <w:w w:val="103"/>
        </w:rPr>
        <w:t xml:space="preserve"> if the complainant was of such interest to the C</w:t>
      </w:r>
      <w:r w:rsidR="00C614B5">
        <w:rPr>
          <w:w w:val="103"/>
        </w:rPr>
        <w:t xml:space="preserve">riminal </w:t>
      </w:r>
      <w:r w:rsidRPr="00FA2CC3">
        <w:rPr>
          <w:w w:val="103"/>
        </w:rPr>
        <w:t>I</w:t>
      </w:r>
      <w:r w:rsidR="00C614B5">
        <w:rPr>
          <w:w w:val="103"/>
        </w:rPr>
        <w:t xml:space="preserve">nvestigation </w:t>
      </w:r>
      <w:r w:rsidRPr="00FA2CC3">
        <w:rPr>
          <w:w w:val="103"/>
        </w:rPr>
        <w:t>D</w:t>
      </w:r>
      <w:r w:rsidR="00C614B5">
        <w:rPr>
          <w:w w:val="103"/>
        </w:rPr>
        <w:t>epartment</w:t>
      </w:r>
      <w:r w:rsidRPr="00FA2CC3">
        <w:rPr>
          <w:w w:val="103"/>
        </w:rPr>
        <w:t xml:space="preserve"> as claimed, he would not have been able to re-enter Sri Lanka following his travels in Africa in 2011</w:t>
      </w:r>
      <w:r w:rsidR="001509D6">
        <w:rPr>
          <w:w w:val="103"/>
        </w:rPr>
        <w:t>,</w:t>
      </w:r>
      <w:r w:rsidRPr="00FA2CC3">
        <w:rPr>
          <w:w w:val="103"/>
        </w:rPr>
        <w:t xml:space="preserve"> without coming to the attention to the authorities. In addition, the Committee notes that</w:t>
      </w:r>
      <w:r w:rsidR="00C614B5">
        <w:rPr>
          <w:w w:val="103"/>
        </w:rPr>
        <w:t>,</w:t>
      </w:r>
      <w:r w:rsidRPr="00FA2CC3">
        <w:rPr>
          <w:w w:val="103"/>
        </w:rPr>
        <w:t xml:space="preserve"> in his communication, the complainant </w:t>
      </w:r>
      <w:r w:rsidR="00C614B5">
        <w:rPr>
          <w:w w:val="103"/>
        </w:rPr>
        <w:t>states</w:t>
      </w:r>
      <w:r w:rsidRPr="00FA2CC3">
        <w:rPr>
          <w:w w:val="103"/>
        </w:rPr>
        <w:t xml:space="preserve"> that upon </w:t>
      </w:r>
      <w:r w:rsidR="00C614B5">
        <w:rPr>
          <w:w w:val="103"/>
        </w:rPr>
        <w:t xml:space="preserve">his </w:t>
      </w:r>
      <w:r w:rsidRPr="00FA2CC3">
        <w:rPr>
          <w:w w:val="103"/>
        </w:rPr>
        <w:t>return to Sri Lanka on 30 May 2011, he was detained at the airport</w:t>
      </w:r>
      <w:r w:rsidR="00C614B5">
        <w:rPr>
          <w:w w:val="103"/>
        </w:rPr>
        <w:t>, then</w:t>
      </w:r>
      <w:r w:rsidRPr="00FA2CC3">
        <w:rPr>
          <w:w w:val="103"/>
        </w:rPr>
        <w:t xml:space="preserve"> released with the help of his uncle who had paid a bribe</w:t>
      </w:r>
      <w:r w:rsidR="00884139">
        <w:rPr>
          <w:w w:val="103"/>
        </w:rPr>
        <w:t>.</w:t>
      </w:r>
      <w:r w:rsidRPr="00FA2CC3">
        <w:rPr>
          <w:w w:val="103"/>
        </w:rPr>
        <w:t xml:space="preserve"> However, the Committee observes that </w:t>
      </w:r>
      <w:r w:rsidR="00C614B5">
        <w:rPr>
          <w:w w:val="103"/>
        </w:rPr>
        <w:t xml:space="preserve">the complainant </w:t>
      </w:r>
      <w:r w:rsidR="001509D6">
        <w:rPr>
          <w:w w:val="103"/>
        </w:rPr>
        <w:t>told</w:t>
      </w:r>
      <w:r w:rsidRPr="00FA2CC3">
        <w:rPr>
          <w:w w:val="103"/>
        </w:rPr>
        <w:t xml:space="preserve"> the</w:t>
      </w:r>
      <w:r w:rsidR="008D7CAB">
        <w:rPr>
          <w:w w:val="103"/>
        </w:rPr>
        <w:t xml:space="preserve"> </w:t>
      </w:r>
      <w:r w:rsidR="008D7CAB" w:rsidRPr="008D7CAB">
        <w:t xml:space="preserve">Refugee Review Tribunal that he had not been detained upon arrival </w:t>
      </w:r>
      <w:r w:rsidR="00C614B5">
        <w:t>in</w:t>
      </w:r>
      <w:r w:rsidR="008D7CAB" w:rsidRPr="008D7CAB">
        <w:t xml:space="preserve"> Sri Lanka </w:t>
      </w:r>
      <w:r w:rsidR="00C614B5">
        <w:t xml:space="preserve">in 2011 </w:t>
      </w:r>
      <w:r w:rsidR="008D7CAB" w:rsidRPr="008D7CAB">
        <w:t xml:space="preserve">and </w:t>
      </w:r>
      <w:r w:rsidR="00C614B5">
        <w:t xml:space="preserve">that he had </w:t>
      </w:r>
      <w:r w:rsidR="008D7CAB" w:rsidRPr="008D7CAB">
        <w:t>entered the country without any problems</w:t>
      </w:r>
      <w:r w:rsidR="00884139">
        <w:t>.</w:t>
      </w:r>
    </w:p>
    <w:p w14:paraId="2664B30D" w14:textId="77777777" w:rsidR="00B47EBB" w:rsidRPr="00B47EBB" w:rsidRDefault="00B47EBB" w:rsidP="008D527B">
      <w:pPr>
        <w:pStyle w:val="SingleTxtG"/>
      </w:pPr>
      <w:r w:rsidRPr="00B47EBB">
        <w:t xml:space="preserve">10.8 </w:t>
      </w:r>
      <w:r>
        <w:tab/>
      </w:r>
      <w:r w:rsidRPr="00B47EBB">
        <w:t>The Committee notes the complainant’s claim that</w:t>
      </w:r>
      <w:r w:rsidR="00C614B5">
        <w:t>,</w:t>
      </w:r>
      <w:r w:rsidRPr="00B47EBB">
        <w:t xml:space="preserve"> after he returned to Sri Lanka on 30 May 2011, he went into hiding in St</w:t>
      </w:r>
      <w:r w:rsidR="00C614B5">
        <w:t>.</w:t>
      </w:r>
      <w:r w:rsidRPr="00B47EBB">
        <w:t xml:space="preserve"> John’s Church and stayed there until 30 January 2012</w:t>
      </w:r>
      <w:r w:rsidR="00C614B5">
        <w:t>, because</w:t>
      </w:r>
      <w:r w:rsidR="00C614B5" w:rsidRPr="00B47EBB">
        <w:t xml:space="preserve"> the C</w:t>
      </w:r>
      <w:r w:rsidR="00C614B5">
        <w:t xml:space="preserve">riminal </w:t>
      </w:r>
      <w:r w:rsidR="00C614B5" w:rsidRPr="00B47EBB">
        <w:t>I</w:t>
      </w:r>
      <w:r w:rsidR="00C614B5">
        <w:t xml:space="preserve">nvestigation </w:t>
      </w:r>
      <w:r w:rsidR="00C614B5" w:rsidRPr="00B47EBB">
        <w:t>D</w:t>
      </w:r>
      <w:r w:rsidR="00C614B5">
        <w:t>epartment</w:t>
      </w:r>
      <w:r w:rsidR="00C614B5" w:rsidRPr="00B47EBB">
        <w:t xml:space="preserve"> was still looking for him</w:t>
      </w:r>
      <w:r w:rsidRPr="00B47EBB">
        <w:t>. In th</w:t>
      </w:r>
      <w:r w:rsidR="00C614B5">
        <w:t>at</w:t>
      </w:r>
      <w:r w:rsidRPr="00B47EBB">
        <w:t xml:space="preserve"> connection and notwithstanding the </w:t>
      </w:r>
      <w:r w:rsidR="001509D6">
        <w:t>matter</w:t>
      </w:r>
      <w:r w:rsidR="00C614B5">
        <w:t xml:space="preserve"> of</w:t>
      </w:r>
      <w:r w:rsidRPr="00B47EBB">
        <w:t xml:space="preserve"> the name of the church </w:t>
      </w:r>
      <w:r w:rsidR="00C614B5">
        <w:t>in which he</w:t>
      </w:r>
      <w:r w:rsidRPr="00B47EBB">
        <w:t xml:space="preserve"> found </w:t>
      </w:r>
      <w:r w:rsidR="00C614B5">
        <w:t>refuge</w:t>
      </w:r>
      <w:r w:rsidRPr="00B47EBB">
        <w:t xml:space="preserve">, the Committee notes that the complainant stayed in Sri Lanka </w:t>
      </w:r>
      <w:r w:rsidR="00C614B5">
        <w:t xml:space="preserve">for a considerable period of time (at least eight months) </w:t>
      </w:r>
      <w:r w:rsidRPr="00B47EBB">
        <w:t>following his return on 30 May 2011</w:t>
      </w:r>
      <w:r w:rsidR="00C614B5">
        <w:t>,</w:t>
      </w:r>
      <w:r w:rsidRPr="00B47EBB">
        <w:t xml:space="preserve"> without experiencing any problems</w:t>
      </w:r>
      <w:r w:rsidR="00C614B5">
        <w:t>,</w:t>
      </w:r>
      <w:r w:rsidRPr="00B47EBB">
        <w:t xml:space="preserve"> before travelling to Australia on 2 February 2012. The Committee further notes that the complainant does not claim that he participated in any political activities or movements opposing the Government of Sri Lanka, nor does he claim to have a significant profile that would draw additional attention </w:t>
      </w:r>
      <w:r w:rsidR="001509D6">
        <w:t>of</w:t>
      </w:r>
      <w:r w:rsidRPr="00B47EBB">
        <w:t xml:space="preserve"> the Sri Lankan authorities. In addition, according to the information provided by the complainant, his mother and three sisters with their families live in Sri Lanka unharmed. </w:t>
      </w:r>
    </w:p>
    <w:p w14:paraId="0035C568" w14:textId="77777777" w:rsidR="00856B2C" w:rsidRDefault="00B47EBB" w:rsidP="008D527B">
      <w:pPr>
        <w:pStyle w:val="SingleTxtG"/>
      </w:pPr>
      <w:r w:rsidRPr="00B47EBB">
        <w:t xml:space="preserve">10.9 </w:t>
      </w:r>
      <w:r>
        <w:tab/>
      </w:r>
      <w:r w:rsidRPr="00B47EBB">
        <w:t>The Committee notes that</w:t>
      </w:r>
      <w:r w:rsidR="00C614B5">
        <w:t>,</w:t>
      </w:r>
      <w:r w:rsidRPr="00B47EBB">
        <w:t xml:space="preserve"> </w:t>
      </w:r>
      <w:r w:rsidR="00FE2919">
        <w:t>attached to the complainant’s additional submission of</w:t>
      </w:r>
      <w:r w:rsidRPr="00B47EBB">
        <w:t xml:space="preserve"> 6 August 2015</w:t>
      </w:r>
      <w:r w:rsidR="00C614B5">
        <w:t>,</w:t>
      </w:r>
      <w:r w:rsidRPr="00B47EBB">
        <w:t xml:space="preserve"> </w:t>
      </w:r>
      <w:r w:rsidR="00FE2919">
        <w:t>was</w:t>
      </w:r>
      <w:r w:rsidRPr="00B47EBB">
        <w:t xml:space="preserve"> a copy of his request for </w:t>
      </w:r>
      <w:r w:rsidR="00D84D5C">
        <w:t>m</w:t>
      </w:r>
      <w:r w:rsidRPr="00B47EBB">
        <w:t xml:space="preserve">inisterial </w:t>
      </w:r>
      <w:r w:rsidR="00D84D5C">
        <w:t>i</w:t>
      </w:r>
      <w:r w:rsidRPr="00B47EBB">
        <w:t>ntervention</w:t>
      </w:r>
      <w:r w:rsidR="00C614B5">
        <w:t xml:space="preserve"> to the Australian authorities</w:t>
      </w:r>
      <w:r w:rsidRPr="00B47EBB">
        <w:t xml:space="preserve"> dated 15 June 2015</w:t>
      </w:r>
      <w:r w:rsidR="00FE2919">
        <w:t xml:space="preserve"> </w:t>
      </w:r>
      <w:r w:rsidR="001509D6">
        <w:t>and</w:t>
      </w:r>
      <w:r w:rsidR="00FE2919">
        <w:t xml:space="preserve"> </w:t>
      </w:r>
      <w:r w:rsidRPr="00B47EBB">
        <w:t>a copy of a police report from the Information Book of Negombo Police Station. According to the English translation</w:t>
      </w:r>
      <w:r w:rsidR="00FE2919">
        <w:t xml:space="preserve"> of the police report, which was</w:t>
      </w:r>
      <w:r w:rsidRPr="00B47EBB">
        <w:t xml:space="preserve"> provided by the complainant, he was arrested on</w:t>
      </w:r>
      <w:r w:rsidRPr="00B47EBB">
        <w:rPr>
          <w:lang w:eastAsia="en-GB"/>
        </w:rPr>
        <w:t xml:space="preserve"> </w:t>
      </w:r>
      <w:r w:rsidRPr="00B47EBB">
        <w:rPr>
          <w:bCs/>
          <w:lang w:eastAsia="en-GB"/>
        </w:rPr>
        <w:t xml:space="preserve">17 September 2010 </w:t>
      </w:r>
      <w:r w:rsidR="003923B8">
        <w:rPr>
          <w:bCs/>
          <w:lang w:eastAsia="en-GB"/>
        </w:rPr>
        <w:t xml:space="preserve">for </w:t>
      </w:r>
      <w:r w:rsidR="00C04E0B">
        <w:rPr>
          <w:bCs/>
          <w:lang w:eastAsia="en-GB"/>
        </w:rPr>
        <w:t>suspected</w:t>
      </w:r>
      <w:r w:rsidRPr="00B47EBB">
        <w:rPr>
          <w:lang w:eastAsia="en-GB"/>
        </w:rPr>
        <w:t xml:space="preserve"> affiliat</w:t>
      </w:r>
      <w:r w:rsidR="00C04E0B">
        <w:rPr>
          <w:lang w:eastAsia="en-GB"/>
        </w:rPr>
        <w:t xml:space="preserve">ion to </w:t>
      </w:r>
      <w:r w:rsidRPr="00B47EBB">
        <w:rPr>
          <w:lang w:eastAsia="en-GB"/>
        </w:rPr>
        <w:t xml:space="preserve">the LTTE and he was released on or before </w:t>
      </w:r>
      <w:r w:rsidRPr="00B47EBB">
        <w:rPr>
          <w:bCs/>
          <w:lang w:eastAsia="en-GB"/>
        </w:rPr>
        <w:t>20 September 2010. The complainant was</w:t>
      </w:r>
      <w:r w:rsidRPr="00B47EBB">
        <w:rPr>
          <w:lang w:eastAsia="en-GB"/>
        </w:rPr>
        <w:t xml:space="preserve"> instructed to report </w:t>
      </w:r>
      <w:r w:rsidR="005F656B">
        <w:rPr>
          <w:lang w:eastAsia="en-GB"/>
        </w:rPr>
        <w:t xml:space="preserve">to the station </w:t>
      </w:r>
      <w:r w:rsidRPr="00B47EBB">
        <w:rPr>
          <w:lang w:eastAsia="en-GB"/>
        </w:rPr>
        <w:t>and sign the police book every Sunday.</w:t>
      </w:r>
      <w:r w:rsidRPr="00B47EBB">
        <w:t xml:space="preserve"> </w:t>
      </w:r>
      <w:r w:rsidR="005F656B">
        <w:t>Since</w:t>
      </w:r>
      <w:r w:rsidRPr="00B47EBB">
        <w:t xml:space="preserve"> he had failed to report</w:t>
      </w:r>
      <w:r w:rsidR="005F656B">
        <w:t xml:space="preserve"> to the station</w:t>
      </w:r>
      <w:r w:rsidRPr="00B47EBB">
        <w:t xml:space="preserve">, </w:t>
      </w:r>
      <w:r w:rsidR="00C04E0B">
        <w:t xml:space="preserve">a police </w:t>
      </w:r>
      <w:r w:rsidR="00C04E0B">
        <w:rPr>
          <w:lang w:eastAsia="en-GB"/>
        </w:rPr>
        <w:t>inspector</w:t>
      </w:r>
      <w:r w:rsidRPr="00B47EBB">
        <w:rPr>
          <w:lang w:eastAsia="en-GB"/>
        </w:rPr>
        <w:t xml:space="preserve"> ordered his arrest to </w:t>
      </w:r>
      <w:r w:rsidR="00C04E0B">
        <w:rPr>
          <w:lang w:eastAsia="en-GB"/>
        </w:rPr>
        <w:t xml:space="preserve">ensure that he </w:t>
      </w:r>
      <w:r w:rsidRPr="00B47EBB">
        <w:rPr>
          <w:lang w:eastAsia="en-GB"/>
        </w:rPr>
        <w:t>report</w:t>
      </w:r>
      <w:r w:rsidR="005F656B">
        <w:rPr>
          <w:lang w:eastAsia="en-GB"/>
        </w:rPr>
        <w:t>ed</w:t>
      </w:r>
      <w:r w:rsidRPr="00B47EBB">
        <w:rPr>
          <w:lang w:eastAsia="en-GB"/>
        </w:rPr>
        <w:t xml:space="preserve"> to the police. </w:t>
      </w:r>
      <w:r w:rsidR="00856B2C">
        <w:rPr>
          <w:lang w:eastAsia="en-GB"/>
        </w:rPr>
        <w:t>T</w:t>
      </w:r>
      <w:r w:rsidRPr="00B47EBB">
        <w:rPr>
          <w:lang w:eastAsia="en-GB"/>
        </w:rPr>
        <w:t>he Committee notes that th</w:t>
      </w:r>
      <w:r w:rsidR="005F656B">
        <w:rPr>
          <w:lang w:eastAsia="en-GB"/>
        </w:rPr>
        <w:t>e</w:t>
      </w:r>
      <w:r w:rsidR="00D07474">
        <w:rPr>
          <w:lang w:eastAsia="en-GB"/>
        </w:rPr>
        <w:t xml:space="preserve"> </w:t>
      </w:r>
      <w:r w:rsidRPr="00B47EBB">
        <w:rPr>
          <w:lang w:eastAsia="en-GB"/>
        </w:rPr>
        <w:t xml:space="preserve">document does not contain a date of issue. It </w:t>
      </w:r>
      <w:r w:rsidR="005F656B">
        <w:rPr>
          <w:lang w:eastAsia="en-GB"/>
        </w:rPr>
        <w:t>also</w:t>
      </w:r>
      <w:r w:rsidRPr="00B47EBB">
        <w:rPr>
          <w:lang w:eastAsia="en-GB"/>
        </w:rPr>
        <w:t xml:space="preserve"> notes the complainant’s explanation in his request for </w:t>
      </w:r>
      <w:r w:rsidR="00D84D5C">
        <w:rPr>
          <w:lang w:eastAsia="en-GB"/>
        </w:rPr>
        <w:t>m</w:t>
      </w:r>
      <w:r w:rsidRPr="00B47EBB">
        <w:rPr>
          <w:lang w:eastAsia="en-GB"/>
        </w:rPr>
        <w:t xml:space="preserve">inisterial </w:t>
      </w:r>
      <w:r w:rsidR="00D84D5C">
        <w:rPr>
          <w:lang w:eastAsia="en-GB"/>
        </w:rPr>
        <w:t>i</w:t>
      </w:r>
      <w:r w:rsidRPr="00B47EBB">
        <w:rPr>
          <w:lang w:eastAsia="en-GB"/>
        </w:rPr>
        <w:t>ntervention of 15 June 2015 that he was served with a copy of th</w:t>
      </w:r>
      <w:r w:rsidR="005F656B">
        <w:rPr>
          <w:lang w:eastAsia="en-GB"/>
        </w:rPr>
        <w:t>e</w:t>
      </w:r>
      <w:r w:rsidRPr="00B47EBB">
        <w:rPr>
          <w:lang w:eastAsia="en-GB"/>
        </w:rPr>
        <w:t xml:space="preserve"> report upon release from detention in September 2010; however, according to </w:t>
      </w:r>
      <w:r w:rsidR="00C04E0B">
        <w:rPr>
          <w:lang w:eastAsia="en-GB"/>
        </w:rPr>
        <w:t>his</w:t>
      </w:r>
      <w:r w:rsidR="00E649D1">
        <w:rPr>
          <w:lang w:eastAsia="en-GB"/>
        </w:rPr>
        <w:t xml:space="preserve"> </w:t>
      </w:r>
      <w:r w:rsidR="005F656B">
        <w:rPr>
          <w:lang w:eastAsia="en-GB"/>
        </w:rPr>
        <w:t xml:space="preserve">additional </w:t>
      </w:r>
      <w:r w:rsidR="00E649D1">
        <w:rPr>
          <w:lang w:eastAsia="en-GB"/>
        </w:rPr>
        <w:t xml:space="preserve">comments </w:t>
      </w:r>
      <w:r w:rsidR="00C04E0B">
        <w:rPr>
          <w:lang w:eastAsia="en-GB"/>
        </w:rPr>
        <w:t>of</w:t>
      </w:r>
      <w:r w:rsidR="00E649D1">
        <w:rPr>
          <w:lang w:eastAsia="en-GB"/>
        </w:rPr>
        <w:t xml:space="preserve"> 16 October 2015, th</w:t>
      </w:r>
      <w:r w:rsidR="005F656B">
        <w:rPr>
          <w:lang w:eastAsia="en-GB"/>
        </w:rPr>
        <w:t>e</w:t>
      </w:r>
      <w:r w:rsidR="00E649D1">
        <w:rPr>
          <w:lang w:eastAsia="en-GB"/>
        </w:rPr>
        <w:t xml:space="preserve"> report was issued on the day of his arrest. Moreover, according to the</w:t>
      </w:r>
      <w:r w:rsidRPr="00B47EBB">
        <w:rPr>
          <w:lang w:eastAsia="en-GB"/>
        </w:rPr>
        <w:t xml:space="preserve"> English translation of th</w:t>
      </w:r>
      <w:r w:rsidR="005F656B">
        <w:rPr>
          <w:lang w:eastAsia="en-GB"/>
        </w:rPr>
        <w:t>e</w:t>
      </w:r>
      <w:r w:rsidRPr="00B47EBB">
        <w:rPr>
          <w:lang w:eastAsia="en-GB"/>
        </w:rPr>
        <w:t xml:space="preserve"> report</w:t>
      </w:r>
      <w:r w:rsidR="005F656B">
        <w:rPr>
          <w:lang w:eastAsia="en-GB"/>
        </w:rPr>
        <w:t xml:space="preserve"> that the complainant</w:t>
      </w:r>
      <w:r w:rsidRPr="00B47EBB">
        <w:rPr>
          <w:lang w:eastAsia="en-GB"/>
        </w:rPr>
        <w:t xml:space="preserve"> provided, the Inspector of Police </w:t>
      </w:r>
      <w:r w:rsidR="005F656B">
        <w:rPr>
          <w:lang w:eastAsia="en-GB"/>
        </w:rPr>
        <w:t xml:space="preserve">gave instructions </w:t>
      </w:r>
      <w:r w:rsidRPr="00B47EBB">
        <w:rPr>
          <w:lang w:eastAsia="en-GB"/>
        </w:rPr>
        <w:t xml:space="preserve">to arrest the complainant </w:t>
      </w:r>
      <w:r w:rsidR="005F656B">
        <w:rPr>
          <w:lang w:eastAsia="en-GB"/>
        </w:rPr>
        <w:t>because</w:t>
      </w:r>
      <w:r w:rsidRPr="00B47EBB">
        <w:rPr>
          <w:lang w:eastAsia="en-GB"/>
        </w:rPr>
        <w:t xml:space="preserve"> he ha</w:t>
      </w:r>
      <w:r w:rsidR="005F656B">
        <w:rPr>
          <w:lang w:eastAsia="en-GB"/>
        </w:rPr>
        <w:t>d</w:t>
      </w:r>
      <w:r w:rsidRPr="00B47EBB">
        <w:rPr>
          <w:lang w:eastAsia="en-GB"/>
        </w:rPr>
        <w:t xml:space="preserve"> failed</w:t>
      </w:r>
      <w:r w:rsidR="00C260DA">
        <w:rPr>
          <w:lang w:eastAsia="en-GB"/>
        </w:rPr>
        <w:t xml:space="preserve"> </w:t>
      </w:r>
      <w:r w:rsidRPr="00B47EBB">
        <w:rPr>
          <w:lang w:eastAsia="en-GB"/>
        </w:rPr>
        <w:t>to report</w:t>
      </w:r>
      <w:r w:rsidR="005F656B">
        <w:rPr>
          <w:lang w:eastAsia="en-GB"/>
        </w:rPr>
        <w:t xml:space="preserve"> to the police</w:t>
      </w:r>
      <w:r w:rsidRPr="00B47EBB">
        <w:rPr>
          <w:lang w:eastAsia="en-GB"/>
        </w:rPr>
        <w:t xml:space="preserve"> as ordered after his release.</w:t>
      </w:r>
      <w:r w:rsidR="00C260DA">
        <w:rPr>
          <w:lang w:eastAsia="en-GB"/>
        </w:rPr>
        <w:t xml:space="preserve"> </w:t>
      </w:r>
      <w:r w:rsidRPr="00B47EBB">
        <w:rPr>
          <w:lang w:eastAsia="en-GB"/>
        </w:rPr>
        <w:t>Furthermore, in his comments of 16 March 2015, the complainant maintained that he was not provided with any documents concerning his detention</w:t>
      </w:r>
      <w:r w:rsidR="005F656B">
        <w:rPr>
          <w:lang w:eastAsia="en-GB"/>
        </w:rPr>
        <w:t>,</w:t>
      </w:r>
      <w:r w:rsidRPr="00B47EBB">
        <w:rPr>
          <w:lang w:eastAsia="en-GB"/>
        </w:rPr>
        <w:t xml:space="preserve"> as the police did not “file the case” and that he</w:t>
      </w:r>
      <w:r w:rsidRPr="00B47EBB">
        <w:t xml:space="preserve"> has provided all the information concerning his persecution and all available documents in support of his claims</w:t>
      </w:r>
      <w:r w:rsidR="005F656B">
        <w:t xml:space="preserve">. However, </w:t>
      </w:r>
      <w:r w:rsidRPr="00B47EBB">
        <w:t xml:space="preserve">in his request </w:t>
      </w:r>
      <w:r w:rsidRPr="00B47EBB">
        <w:rPr>
          <w:lang w:eastAsia="en-GB"/>
        </w:rPr>
        <w:t xml:space="preserve">for </w:t>
      </w:r>
      <w:r w:rsidR="00D84D5C">
        <w:rPr>
          <w:lang w:eastAsia="en-GB"/>
        </w:rPr>
        <w:t>m</w:t>
      </w:r>
      <w:r w:rsidRPr="00B47EBB">
        <w:rPr>
          <w:lang w:eastAsia="en-GB"/>
        </w:rPr>
        <w:t xml:space="preserve">inisterial </w:t>
      </w:r>
      <w:r w:rsidR="00D84D5C">
        <w:rPr>
          <w:lang w:eastAsia="en-GB"/>
        </w:rPr>
        <w:t>i</w:t>
      </w:r>
      <w:r w:rsidRPr="00B47EBB">
        <w:rPr>
          <w:lang w:eastAsia="en-GB"/>
        </w:rPr>
        <w:t>ntervention of 15 June 2015, he submitted that he ha</w:t>
      </w:r>
      <w:r w:rsidR="001509D6">
        <w:rPr>
          <w:lang w:eastAsia="en-GB"/>
        </w:rPr>
        <w:t>d</w:t>
      </w:r>
      <w:r w:rsidRPr="00B47EBB">
        <w:rPr>
          <w:lang w:eastAsia="en-GB"/>
        </w:rPr>
        <w:t xml:space="preserve"> been in possession of a copy of th</w:t>
      </w:r>
      <w:r w:rsidR="005F656B">
        <w:rPr>
          <w:lang w:eastAsia="en-GB"/>
        </w:rPr>
        <w:t>e</w:t>
      </w:r>
      <w:r w:rsidRPr="00B47EBB">
        <w:rPr>
          <w:lang w:eastAsia="en-GB"/>
        </w:rPr>
        <w:t xml:space="preserve"> report since his release in September 2010.</w:t>
      </w:r>
      <w:r w:rsidRPr="00B47EBB">
        <w:t xml:space="preserve"> </w:t>
      </w:r>
    </w:p>
    <w:p w14:paraId="29E2C56E" w14:textId="77777777" w:rsidR="00B47EBB" w:rsidRPr="00B47EBB" w:rsidRDefault="00856B2C" w:rsidP="008D527B">
      <w:pPr>
        <w:pStyle w:val="SingleTxtG"/>
      </w:pPr>
      <w:r>
        <w:t>10.10</w:t>
      </w:r>
      <w:r w:rsidR="00C37671">
        <w:tab/>
      </w:r>
      <w:r w:rsidR="00B47EBB" w:rsidRPr="00B47EBB">
        <w:rPr>
          <w:lang w:eastAsia="en-GB"/>
        </w:rPr>
        <w:t>In th</w:t>
      </w:r>
      <w:r w:rsidR="005F656B">
        <w:rPr>
          <w:lang w:eastAsia="en-GB"/>
        </w:rPr>
        <w:t>at</w:t>
      </w:r>
      <w:r w:rsidR="00B47EBB" w:rsidRPr="00B47EBB">
        <w:rPr>
          <w:lang w:eastAsia="en-GB"/>
        </w:rPr>
        <w:t xml:space="preserve"> connection, the Committee notes the State party’s submission that its domestic authorities ha</w:t>
      </w:r>
      <w:r w:rsidR="005F656B">
        <w:rPr>
          <w:lang w:eastAsia="en-GB"/>
        </w:rPr>
        <w:t>d</w:t>
      </w:r>
      <w:r w:rsidR="00B47EBB" w:rsidRPr="00B47EBB">
        <w:rPr>
          <w:lang w:eastAsia="en-GB"/>
        </w:rPr>
        <w:t xml:space="preserve"> also assessed the said report and </w:t>
      </w:r>
      <w:r w:rsidR="00B47EBB" w:rsidRPr="00B47EBB">
        <w:t>did not accept it as genuine</w:t>
      </w:r>
      <w:r w:rsidR="005F656B">
        <w:t>,</w:t>
      </w:r>
      <w:r w:rsidR="00B47EBB" w:rsidRPr="00B47EBB">
        <w:t xml:space="preserve"> and concluded that it was not credible that the complainant </w:t>
      </w:r>
      <w:r w:rsidR="001509D6">
        <w:t>had</w:t>
      </w:r>
      <w:r w:rsidR="00B47EBB" w:rsidRPr="00B47EBB">
        <w:t xml:space="preserve"> not </w:t>
      </w:r>
      <w:r w:rsidR="005F656B">
        <w:t>submit</w:t>
      </w:r>
      <w:r w:rsidR="001509D6">
        <w:t>ted</w:t>
      </w:r>
      <w:r w:rsidR="00B47EBB" w:rsidRPr="00B47EBB">
        <w:t xml:space="preserve"> the document at an earlier stage whil</w:t>
      </w:r>
      <w:r w:rsidR="005F656B">
        <w:t>e</w:t>
      </w:r>
      <w:r w:rsidR="00B47EBB" w:rsidRPr="00B47EBB">
        <w:t xml:space="preserve"> his protection claims were being assessed or review</w:t>
      </w:r>
      <w:r w:rsidR="005F656B">
        <w:t>ed</w:t>
      </w:r>
      <w:r w:rsidR="00B47EBB" w:rsidRPr="00B47EBB">
        <w:t>.</w:t>
      </w:r>
      <w:r>
        <w:t xml:space="preserve"> T</w:t>
      </w:r>
      <w:r w:rsidR="00E649D1">
        <w:t xml:space="preserve">he Committee </w:t>
      </w:r>
      <w:r>
        <w:t xml:space="preserve">also </w:t>
      </w:r>
      <w:r w:rsidR="00E649D1">
        <w:t>observes that</w:t>
      </w:r>
      <w:r w:rsidR="005F656B">
        <w:t>,</w:t>
      </w:r>
      <w:r w:rsidR="00E649D1">
        <w:t xml:space="preserve"> in his comments of 8 November 2015, the complainant </w:t>
      </w:r>
      <w:r w:rsidR="00CC2FE5">
        <w:t>submitted</w:t>
      </w:r>
      <w:r w:rsidR="007A7693">
        <w:t xml:space="preserve"> that a lawyer </w:t>
      </w:r>
      <w:r w:rsidR="00E649D1">
        <w:t xml:space="preserve">had visited the </w:t>
      </w:r>
      <w:r w:rsidR="00C04E0B">
        <w:t xml:space="preserve">Negombo </w:t>
      </w:r>
      <w:r w:rsidR="00D71915">
        <w:t>P</w:t>
      </w:r>
      <w:r w:rsidR="00E649D1">
        <w:t xml:space="preserve">olice </w:t>
      </w:r>
      <w:r w:rsidR="00D71915">
        <w:t>S</w:t>
      </w:r>
      <w:r w:rsidR="00E649D1">
        <w:t>tation and verified the authenticity of the police report</w:t>
      </w:r>
      <w:r w:rsidR="005F656B">
        <w:t>. H</w:t>
      </w:r>
      <w:r w:rsidR="00E649D1">
        <w:t xml:space="preserve">owever, the </w:t>
      </w:r>
      <w:r w:rsidR="007A7693">
        <w:t>C</w:t>
      </w:r>
      <w:r w:rsidR="00E649D1">
        <w:t>ommittee notes that</w:t>
      </w:r>
      <w:r w:rsidR="005F656B">
        <w:t>,</w:t>
      </w:r>
      <w:r w:rsidR="00E649D1">
        <w:t xml:space="preserve"> according to the copy of the lawyer’s letter</w:t>
      </w:r>
      <w:r w:rsidR="007A7693">
        <w:t xml:space="preserve"> dated 9 October 2015</w:t>
      </w:r>
      <w:r w:rsidR="00E649D1">
        <w:t>, the lawyer ha</w:t>
      </w:r>
      <w:r w:rsidR="005F656B">
        <w:t>d</w:t>
      </w:r>
      <w:r w:rsidR="00E649D1">
        <w:t xml:space="preserve"> not seen the original police report and ha</w:t>
      </w:r>
      <w:r w:rsidR="005F656B">
        <w:t>d</w:t>
      </w:r>
      <w:r w:rsidR="00CC2FE5">
        <w:t xml:space="preserve"> </w:t>
      </w:r>
      <w:r w:rsidR="00E649D1">
        <w:t xml:space="preserve">merely assessed the copy of the report </w:t>
      </w:r>
      <w:r w:rsidR="005F656B">
        <w:t xml:space="preserve">that was </w:t>
      </w:r>
      <w:r w:rsidR="00E649D1">
        <w:t xml:space="preserve">sent </w:t>
      </w:r>
      <w:r w:rsidR="005F656B">
        <w:t xml:space="preserve">to him </w:t>
      </w:r>
      <w:r w:rsidR="00E649D1">
        <w:t xml:space="preserve">by the complainant and </w:t>
      </w:r>
      <w:r w:rsidR="007A7693">
        <w:t xml:space="preserve">concluded that it could have been issued by the Sri Lankan authorities. In any event, notwithstanding the issues regarding the authenticity of the police report, the Committee is of the view that the lawyer’s letter in question does not </w:t>
      </w:r>
      <w:r w:rsidR="00C04E0B">
        <w:t xml:space="preserve">bring any additional information regarding </w:t>
      </w:r>
      <w:r w:rsidR="007A7693">
        <w:t>the above</w:t>
      </w:r>
      <w:r w:rsidR="005F656B">
        <w:t>-</w:t>
      </w:r>
      <w:r w:rsidR="007A7693">
        <w:t>mentioned inconsistencies surrounding the report.</w:t>
      </w:r>
    </w:p>
    <w:p w14:paraId="7BBCCB99" w14:textId="77777777" w:rsidR="00B47EBB" w:rsidRPr="00B47EBB" w:rsidRDefault="00B47EBB" w:rsidP="008A036E">
      <w:pPr>
        <w:pStyle w:val="SingleTxtG"/>
        <w:rPr>
          <w:bCs/>
        </w:rPr>
      </w:pPr>
      <w:r w:rsidRPr="00B47EBB">
        <w:t>10.1</w:t>
      </w:r>
      <w:r w:rsidR="00856B2C">
        <w:t>1</w:t>
      </w:r>
      <w:r w:rsidR="00C37671">
        <w:tab/>
      </w:r>
      <w:r w:rsidR="005F656B">
        <w:t>Regarding</w:t>
      </w:r>
      <w:r w:rsidRPr="00B47EBB">
        <w:t xml:space="preserve"> the complainant’s general claim that he risks be</w:t>
      </w:r>
      <w:r w:rsidR="005F656B">
        <w:t>ing</w:t>
      </w:r>
      <w:r w:rsidRPr="00B47EBB">
        <w:t xml:space="preserve"> subjected to torture upon return to Sri Lanka </w:t>
      </w:r>
      <w:r w:rsidR="005F656B">
        <w:t>owing</w:t>
      </w:r>
      <w:r w:rsidRPr="00B47EBB">
        <w:t xml:space="preserve"> to his status as a failed asylum seeker, the Committee, w</w:t>
      </w:r>
      <w:r w:rsidRPr="00B47EBB">
        <w:rPr>
          <w:lang w:val="x-none"/>
        </w:rPr>
        <w:t xml:space="preserve">hile not </w:t>
      </w:r>
      <w:r w:rsidRPr="00B47EBB">
        <w:rPr>
          <w:bCs/>
          <w:lang w:val="x-none"/>
        </w:rPr>
        <w:t>underestimating the concerns that may legitimately be expressed with respect to the current human rights situation</w:t>
      </w:r>
      <w:r w:rsidRPr="00B47EBB">
        <w:rPr>
          <w:bCs/>
        </w:rPr>
        <w:t xml:space="preserve"> in Sri Lanka </w:t>
      </w:r>
      <w:r w:rsidR="005F656B">
        <w:rPr>
          <w:bCs/>
        </w:rPr>
        <w:t xml:space="preserve">and </w:t>
      </w:r>
      <w:r w:rsidRPr="00B47EBB">
        <w:rPr>
          <w:bCs/>
        </w:rPr>
        <w:t>treatment of, inter alia, failed asylum seekers from oversees</w:t>
      </w:r>
      <w:r w:rsidRPr="00B47EBB">
        <w:t>, recalls that the occurrence of human rights violations in his</w:t>
      </w:r>
      <w:r w:rsidR="005F656B">
        <w:t xml:space="preserve"> or </w:t>
      </w:r>
      <w:r w:rsidRPr="00B47EBB">
        <w:t>her country of origin is not sufficient in itself to concluded that a complainant runs a personal risk of torture</w:t>
      </w:r>
      <w:r w:rsidR="00884139">
        <w:t>.</w:t>
      </w:r>
      <w:r>
        <w:rPr>
          <w:rStyle w:val="FootnoteReference"/>
        </w:rPr>
        <w:footnoteReference w:id="18"/>
      </w:r>
      <w:r w:rsidRPr="00B47EBB">
        <w:t xml:space="preserve"> In addition, the Committee notes that</w:t>
      </w:r>
      <w:r w:rsidR="00D71915">
        <w:t>, in</w:t>
      </w:r>
      <w:r w:rsidR="00D71915" w:rsidRPr="00D71915">
        <w:t xml:space="preserve"> </w:t>
      </w:r>
      <w:r w:rsidR="00D71915">
        <w:t>its</w:t>
      </w:r>
      <w:r w:rsidR="00D71915" w:rsidRPr="00B47EBB">
        <w:t xml:space="preserve"> assessment of the complainant’s asylum application</w:t>
      </w:r>
      <w:r w:rsidR="00D71915">
        <w:t xml:space="preserve">, </w:t>
      </w:r>
      <w:r w:rsidRPr="00B47EBB">
        <w:t xml:space="preserve">the State party’s authorities also </w:t>
      </w:r>
      <w:r w:rsidR="00D71915">
        <w:t>considered</w:t>
      </w:r>
      <w:r w:rsidRPr="00B47EBB">
        <w:t xml:space="preserve"> the possible risk of ill-treatment of failed asylum seekers upon return</w:t>
      </w:r>
      <w:r w:rsidR="00D71915">
        <w:t xml:space="preserve"> to Sri Lanka</w:t>
      </w:r>
      <w:r w:rsidRPr="00B47EBB">
        <w:t xml:space="preserve"> and is of the view that</w:t>
      </w:r>
      <w:r w:rsidR="008A036E">
        <w:t>,</w:t>
      </w:r>
      <w:r w:rsidRPr="00B47EBB">
        <w:t xml:space="preserve"> in the present case</w:t>
      </w:r>
      <w:r w:rsidR="008A036E">
        <w:t>,</w:t>
      </w:r>
      <w:r w:rsidRPr="00B47EBB">
        <w:t xml:space="preserve"> the </w:t>
      </w:r>
      <w:r w:rsidR="008A036E">
        <w:t>State party’s</w:t>
      </w:r>
      <w:r w:rsidRPr="00B47EBB">
        <w:t xml:space="preserve"> authorities g</w:t>
      </w:r>
      <w:r w:rsidR="008A036E">
        <w:t>a</w:t>
      </w:r>
      <w:r w:rsidRPr="00B47EBB">
        <w:t>ve appropriate consideration to the complainant’s present claim.</w:t>
      </w:r>
    </w:p>
    <w:p w14:paraId="14DBB57B" w14:textId="77777777" w:rsidR="00B47EBB" w:rsidRPr="00B47EBB" w:rsidRDefault="00B47EBB" w:rsidP="001509D6">
      <w:pPr>
        <w:spacing w:after="120"/>
        <w:ind w:left="1134" w:right="1134"/>
        <w:jc w:val="both"/>
        <w:rPr>
          <w:color w:val="000000"/>
          <w:lang w:eastAsia="en-GB"/>
        </w:rPr>
      </w:pPr>
      <w:r w:rsidRPr="00B47EBB">
        <w:t>10.1</w:t>
      </w:r>
      <w:r w:rsidR="00856B2C">
        <w:t>2</w:t>
      </w:r>
      <w:r w:rsidRPr="00B47EBB">
        <w:tab/>
        <w:t xml:space="preserve">In </w:t>
      </w:r>
      <w:r w:rsidR="008A036E">
        <w:t xml:space="preserve">the </w:t>
      </w:r>
      <w:r w:rsidRPr="00B47EBB">
        <w:t xml:space="preserve">light of the above, the Committee recalls that according to </w:t>
      </w:r>
      <w:r w:rsidR="008A036E">
        <w:t xml:space="preserve">its </w:t>
      </w:r>
      <w:r w:rsidRPr="00B47EBB">
        <w:t>general comment No. 1, the burden of presenting an arguable case lies with the author of a communication</w:t>
      </w:r>
      <w:r w:rsidR="008A036E">
        <w:t xml:space="preserve"> (para. 5)</w:t>
      </w:r>
      <w:r w:rsidRPr="00B47EBB">
        <w:t>. In the Committee’s opinion, in the present case, the complainant has not discharged this burden of proof</w:t>
      </w:r>
      <w:r w:rsidR="00884139">
        <w:t>.</w:t>
      </w:r>
      <w:r w:rsidR="00C6327A">
        <w:rPr>
          <w:rStyle w:val="FootnoteReference"/>
        </w:rPr>
        <w:footnoteReference w:id="19"/>
      </w:r>
      <w:r w:rsidRPr="00B47EBB">
        <w:t xml:space="preserve"> </w:t>
      </w:r>
      <w:r w:rsidRPr="00B47EBB">
        <w:rPr>
          <w:color w:val="000000"/>
          <w:lang w:eastAsia="en-GB"/>
        </w:rPr>
        <w:t>Further</w:t>
      </w:r>
      <w:r w:rsidR="008A036E">
        <w:rPr>
          <w:color w:val="000000"/>
          <w:lang w:eastAsia="en-GB"/>
        </w:rPr>
        <w:t>more</w:t>
      </w:r>
      <w:r w:rsidRPr="00B47EBB">
        <w:rPr>
          <w:color w:val="000000"/>
          <w:lang w:eastAsia="en-GB"/>
        </w:rPr>
        <w:t>, the complainant has not demonstrated that the State party</w:t>
      </w:r>
      <w:r w:rsidR="001509D6">
        <w:rPr>
          <w:color w:val="000000"/>
          <w:lang w:eastAsia="en-GB"/>
        </w:rPr>
        <w:t>’s</w:t>
      </w:r>
      <w:r w:rsidR="008A036E">
        <w:rPr>
          <w:color w:val="000000"/>
          <w:lang w:eastAsia="en-GB"/>
        </w:rPr>
        <w:t xml:space="preserve"> authorities</w:t>
      </w:r>
      <w:r w:rsidR="001509D6">
        <w:rPr>
          <w:color w:val="000000"/>
          <w:lang w:eastAsia="en-GB"/>
        </w:rPr>
        <w:t xml:space="preserve"> that</w:t>
      </w:r>
      <w:r w:rsidRPr="00B47EBB">
        <w:rPr>
          <w:color w:val="000000"/>
          <w:lang w:eastAsia="en-GB"/>
        </w:rPr>
        <w:t xml:space="preserve"> considered the case failed to conduct a proper investigation into his allegations</w:t>
      </w:r>
      <w:r w:rsidR="00884139">
        <w:rPr>
          <w:color w:val="000000"/>
          <w:lang w:eastAsia="en-GB"/>
        </w:rPr>
        <w:t>.</w:t>
      </w:r>
      <w:r w:rsidR="00C6327A">
        <w:rPr>
          <w:rStyle w:val="FootnoteReference"/>
          <w:color w:val="000000"/>
          <w:lang w:eastAsia="en-GB"/>
        </w:rPr>
        <w:footnoteReference w:id="20"/>
      </w:r>
    </w:p>
    <w:p w14:paraId="4BCDDDC4" w14:textId="77777777" w:rsidR="00B47EBB" w:rsidRPr="00B47EBB" w:rsidRDefault="00B47EBB" w:rsidP="008A036E">
      <w:pPr>
        <w:spacing w:after="120"/>
        <w:ind w:left="1134" w:right="1134"/>
        <w:jc w:val="both"/>
        <w:rPr>
          <w:lang w:val="en-US"/>
        </w:rPr>
      </w:pPr>
      <w:r w:rsidRPr="00B47EBB">
        <w:t>11.</w:t>
      </w:r>
      <w:r w:rsidRPr="00B47EBB">
        <w:tab/>
        <w:t xml:space="preserve">In </w:t>
      </w:r>
      <w:r w:rsidR="008A036E">
        <w:t xml:space="preserve">the </w:t>
      </w:r>
      <w:r w:rsidRPr="00B47EBB">
        <w:t>light of th</w:t>
      </w:r>
      <w:r w:rsidR="008A036E">
        <w:t>o</w:t>
      </w:r>
      <w:r w:rsidRPr="00B47EBB">
        <w:t xml:space="preserve">se considerations, </w:t>
      </w:r>
      <w:r w:rsidRPr="00B47EBB">
        <w:rPr>
          <w:lang w:val="en-US"/>
        </w:rPr>
        <w:t>the Committee concludes that the complainant has not adduced sufficient grounds for</w:t>
      </w:r>
      <w:r w:rsidR="008A036E">
        <w:rPr>
          <w:lang w:val="en-US"/>
        </w:rPr>
        <w:t xml:space="preserve"> it to</w:t>
      </w:r>
      <w:r w:rsidRPr="00B47EBB">
        <w:rPr>
          <w:lang w:val="en-US"/>
        </w:rPr>
        <w:t xml:space="preserve"> believ</w:t>
      </w:r>
      <w:r w:rsidR="008A036E">
        <w:rPr>
          <w:lang w:val="en-US"/>
        </w:rPr>
        <w:t>e</w:t>
      </w:r>
      <w:r w:rsidRPr="00B47EBB">
        <w:rPr>
          <w:lang w:val="en-US"/>
        </w:rPr>
        <w:t xml:space="preserve"> that he would run a real, foreseeable, personal and present risk of being subjected to torture upon return to Sri Lanka</w:t>
      </w:r>
      <w:r w:rsidR="00884139">
        <w:rPr>
          <w:lang w:val="en-US"/>
        </w:rPr>
        <w:t>.</w:t>
      </w:r>
      <w:r w:rsidR="00C6327A">
        <w:rPr>
          <w:rStyle w:val="FootnoteReference"/>
          <w:lang w:val="en-US"/>
        </w:rPr>
        <w:footnoteReference w:id="21"/>
      </w:r>
      <w:r w:rsidRPr="00B47EBB">
        <w:rPr>
          <w:lang w:val="en-US"/>
        </w:rPr>
        <w:t xml:space="preserve"> </w:t>
      </w:r>
    </w:p>
    <w:p w14:paraId="33C176E1" w14:textId="77777777" w:rsidR="00B47EBB" w:rsidRDefault="00B47EBB" w:rsidP="008A036E">
      <w:pPr>
        <w:spacing w:after="120"/>
        <w:ind w:left="1134" w:right="1134"/>
        <w:jc w:val="both"/>
      </w:pPr>
      <w:r w:rsidRPr="00B47EBB">
        <w:t>12.</w:t>
      </w:r>
      <w:r w:rsidRPr="00B47EBB">
        <w:tab/>
        <w:t>The Committee, acting under article 22</w:t>
      </w:r>
      <w:r w:rsidR="008A036E">
        <w:t xml:space="preserve"> (</w:t>
      </w:r>
      <w:r w:rsidRPr="00B47EBB">
        <w:t>7</w:t>
      </w:r>
      <w:r w:rsidR="008A036E">
        <w:t>)</w:t>
      </w:r>
      <w:r w:rsidRPr="00B47EBB">
        <w:t xml:space="preserve"> of the Convention, concludes that the complainant’s removal to Sri Lanka by the State party would not constitute a breach of article 3 of the Convention. </w:t>
      </w:r>
    </w:p>
    <w:p w14:paraId="1FFA64F1" w14:textId="77777777" w:rsidR="00C6327A" w:rsidRPr="00C6327A" w:rsidRDefault="00C6327A" w:rsidP="00C6327A">
      <w:pPr>
        <w:spacing w:before="240"/>
        <w:ind w:left="1134" w:right="1134"/>
        <w:jc w:val="center"/>
        <w:rPr>
          <w:u w:val="single"/>
          <w:lang w:eastAsia="zh-CN"/>
        </w:rPr>
      </w:pPr>
      <w:r>
        <w:rPr>
          <w:u w:val="single"/>
        </w:rPr>
        <w:tab/>
      </w:r>
      <w:r>
        <w:rPr>
          <w:u w:val="single"/>
        </w:rPr>
        <w:tab/>
      </w:r>
      <w:r>
        <w:rPr>
          <w:u w:val="single"/>
        </w:rPr>
        <w:tab/>
      </w:r>
    </w:p>
    <w:p w14:paraId="63FF24CD" w14:textId="77777777" w:rsidR="00FA2CC3" w:rsidRPr="005B51FA" w:rsidRDefault="00FA2CC3" w:rsidP="00FA2CC3">
      <w:pPr>
        <w:pStyle w:val="SingleTxtG"/>
      </w:pPr>
    </w:p>
    <w:sectPr w:rsidR="00FA2CC3" w:rsidRPr="005B51FA" w:rsidSect="004C0E7F">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rt" w:date="2016-02-17T13:27:00Z" w:initials="Start">
    <w:p w14:paraId="6DF67C20" w14:textId="77777777" w:rsidR="004C0E7F" w:rsidRDefault="004C0E7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NO&gt;&gt;N1602825E&lt;&lt;ODS JOB NO&gt;&gt;</w:t>
      </w:r>
    </w:p>
    <w:p w14:paraId="2404D44F" w14:textId="77777777" w:rsidR="004C0E7F" w:rsidRDefault="004C0E7F">
      <w:pPr>
        <w:pStyle w:val="CommentText"/>
      </w:pPr>
      <w:r>
        <w:t>&lt;&lt;ODS DOC SYMBOL1&gt;&gt;CAT/C/56/D/591/2014&lt;&lt;ODS DOC SYMBOL1&gt;&gt;</w:t>
      </w:r>
    </w:p>
    <w:p w14:paraId="685197C3" w14:textId="77777777" w:rsidR="004C0E7F" w:rsidRDefault="004C0E7F">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5197C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221EC" w14:textId="77777777" w:rsidR="005B4CC0" w:rsidRDefault="005B4CC0"/>
  </w:endnote>
  <w:endnote w:type="continuationSeparator" w:id="0">
    <w:p w14:paraId="2BCC4614" w14:textId="77777777" w:rsidR="005B4CC0" w:rsidRDefault="005B4CC0"/>
  </w:endnote>
  <w:endnote w:type="continuationNotice" w:id="1">
    <w:p w14:paraId="3211E26B" w14:textId="77777777" w:rsidR="005B4CC0" w:rsidRDefault="005B4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0393" w14:textId="1D81992C" w:rsidR="00B23A14" w:rsidRPr="005B51FA" w:rsidRDefault="00B23A14" w:rsidP="005B51FA">
    <w:pPr>
      <w:pStyle w:val="Footer"/>
      <w:tabs>
        <w:tab w:val="right" w:pos="9638"/>
      </w:tabs>
    </w:pPr>
    <w:r w:rsidRPr="005B51FA">
      <w:rPr>
        <w:b/>
        <w:sz w:val="18"/>
      </w:rPr>
      <w:fldChar w:fldCharType="begin"/>
    </w:r>
    <w:r w:rsidRPr="005B51FA">
      <w:rPr>
        <w:b/>
        <w:sz w:val="18"/>
      </w:rPr>
      <w:instrText xml:space="preserve"> PAGE  \* MERGEFORMAT </w:instrText>
    </w:r>
    <w:r w:rsidRPr="005B51FA">
      <w:rPr>
        <w:b/>
        <w:sz w:val="18"/>
      </w:rPr>
      <w:fldChar w:fldCharType="separate"/>
    </w:r>
    <w:r w:rsidR="00DF1894">
      <w:rPr>
        <w:b/>
        <w:noProof/>
        <w:sz w:val="18"/>
      </w:rPr>
      <w:t>2</w:t>
    </w:r>
    <w:r w:rsidRPr="005B51F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CC229" w14:textId="77777777" w:rsidR="00B23A14" w:rsidRPr="005B51FA" w:rsidRDefault="00B23A14" w:rsidP="005B51FA">
    <w:pPr>
      <w:pStyle w:val="Footer"/>
      <w:tabs>
        <w:tab w:val="right" w:pos="9638"/>
      </w:tabs>
      <w:rPr>
        <w:b/>
        <w:sz w:val="18"/>
      </w:rPr>
    </w:pPr>
    <w:r>
      <w:tab/>
    </w:r>
    <w:r w:rsidRPr="005B51FA">
      <w:rPr>
        <w:b/>
        <w:sz w:val="18"/>
      </w:rPr>
      <w:fldChar w:fldCharType="begin"/>
    </w:r>
    <w:r w:rsidRPr="005B51FA">
      <w:rPr>
        <w:b/>
        <w:sz w:val="18"/>
      </w:rPr>
      <w:instrText xml:space="preserve"> PAGE  \* MERGEFORMAT </w:instrText>
    </w:r>
    <w:r w:rsidRPr="005B51FA">
      <w:rPr>
        <w:b/>
        <w:sz w:val="18"/>
      </w:rPr>
      <w:fldChar w:fldCharType="separate"/>
    </w:r>
    <w:r w:rsidR="002D4541">
      <w:rPr>
        <w:b/>
        <w:noProof/>
        <w:sz w:val="18"/>
      </w:rPr>
      <w:t>15</w:t>
    </w:r>
    <w:r w:rsidRPr="005B51F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4C0E7F" w14:paraId="5C59959E" w14:textId="77777777" w:rsidTr="004C0E7F">
      <w:tc>
        <w:tcPr>
          <w:tcW w:w="3758" w:type="dxa"/>
          <w:shd w:val="clear" w:color="auto" w:fill="auto"/>
        </w:tcPr>
        <w:p w14:paraId="62E5AEE9" w14:textId="77777777" w:rsidR="004C0E7F" w:rsidRDefault="004C0E7F" w:rsidP="004C0E7F">
          <w:pPr>
            <w:pStyle w:val="Footer"/>
            <w:rPr>
              <w:sz w:val="20"/>
            </w:rPr>
          </w:pPr>
          <w:r>
            <w:rPr>
              <w:noProof/>
              <w:sz w:val="20"/>
              <w:lang w:val="en-US"/>
            </w:rPr>
            <w:drawing>
              <wp:anchor distT="0" distB="0" distL="114300" distR="114300" simplePos="0" relativeHeight="251658240" behindDoc="0" locked="0" layoutInCell="1" allowOverlap="1" wp14:anchorId="23CC497A" wp14:editId="6F2B89F0">
                <wp:simplePos x="0" y="0"/>
                <wp:positionH relativeFrom="column">
                  <wp:posOffset>5605145</wp:posOffset>
                </wp:positionH>
                <wp:positionV relativeFrom="paragraph">
                  <wp:posOffset>-365760</wp:posOffset>
                </wp:positionV>
                <wp:extent cx="694690" cy="694690"/>
                <wp:effectExtent l="0" t="0" r="0" b="0"/>
                <wp:wrapNone/>
                <wp:docPr id="2" name="Picture 2" descr="http://undocs.org/m2/QRCode2.ashx?DS=CAT/C/56/D/591/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6/D/591/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GE.16-02288(E)</w:t>
          </w:r>
        </w:p>
        <w:p w14:paraId="20740F77" w14:textId="77777777" w:rsidR="004C0E7F" w:rsidRPr="004C0E7F" w:rsidRDefault="004C0E7F" w:rsidP="004C0E7F">
          <w:pPr>
            <w:pStyle w:val="Footer"/>
            <w:rPr>
              <w:rFonts w:ascii="Barcode 3 of 9 by request" w:hAnsi="Barcode 3 of 9 by request"/>
              <w:sz w:val="24"/>
            </w:rPr>
          </w:pPr>
          <w:r>
            <w:rPr>
              <w:rFonts w:ascii="Barcode 3 of 9 by request" w:hAnsi="Barcode 3 of 9 by request"/>
              <w:sz w:val="24"/>
            </w:rPr>
            <w:t>*1602288*</w:t>
          </w:r>
        </w:p>
      </w:tc>
      <w:tc>
        <w:tcPr>
          <w:tcW w:w="4928" w:type="dxa"/>
          <w:shd w:val="clear" w:color="auto" w:fill="auto"/>
        </w:tcPr>
        <w:p w14:paraId="1F821483" w14:textId="77777777" w:rsidR="004C0E7F" w:rsidRDefault="004C0E7F" w:rsidP="004C0E7F">
          <w:pPr>
            <w:pStyle w:val="Footer"/>
            <w:spacing w:line="240" w:lineRule="atLeast"/>
            <w:jc w:val="right"/>
            <w:rPr>
              <w:sz w:val="20"/>
            </w:rPr>
          </w:pPr>
          <w:r>
            <w:rPr>
              <w:noProof/>
              <w:sz w:val="20"/>
              <w:lang w:val="en-US"/>
            </w:rPr>
            <w:drawing>
              <wp:inline distT="0" distB="0" distL="0" distR="0" wp14:anchorId="74579F81" wp14:editId="608EFBE4">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3CDB8CB" w14:textId="77777777" w:rsidR="004C0E7F" w:rsidRPr="004C0E7F" w:rsidRDefault="004C0E7F" w:rsidP="004C0E7F">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6E337" w14:textId="77777777" w:rsidR="005B4CC0" w:rsidRPr="000B175B" w:rsidRDefault="005B4CC0" w:rsidP="000B175B">
      <w:pPr>
        <w:tabs>
          <w:tab w:val="right" w:pos="2155"/>
        </w:tabs>
        <w:spacing w:after="80"/>
        <w:ind w:left="680"/>
        <w:rPr>
          <w:u w:val="single"/>
        </w:rPr>
      </w:pPr>
      <w:r>
        <w:rPr>
          <w:u w:val="single"/>
        </w:rPr>
        <w:tab/>
      </w:r>
    </w:p>
  </w:footnote>
  <w:footnote w:type="continuationSeparator" w:id="0">
    <w:p w14:paraId="7548426A" w14:textId="77777777" w:rsidR="005B4CC0" w:rsidRPr="00FC68B7" w:rsidRDefault="005B4CC0" w:rsidP="00FC68B7">
      <w:pPr>
        <w:tabs>
          <w:tab w:val="left" w:pos="2155"/>
        </w:tabs>
        <w:spacing w:after="80"/>
        <w:ind w:left="680"/>
        <w:rPr>
          <w:u w:val="single"/>
        </w:rPr>
      </w:pPr>
      <w:r>
        <w:rPr>
          <w:u w:val="single"/>
        </w:rPr>
        <w:tab/>
      </w:r>
    </w:p>
  </w:footnote>
  <w:footnote w:type="continuationNotice" w:id="1">
    <w:p w14:paraId="6AD321FF" w14:textId="77777777" w:rsidR="005B4CC0" w:rsidRDefault="005B4CC0"/>
  </w:footnote>
  <w:footnote w:id="2">
    <w:p w14:paraId="6862468C" w14:textId="77777777" w:rsidR="00B23A14" w:rsidRDefault="00B23A14" w:rsidP="00D9531B">
      <w:pPr>
        <w:pStyle w:val="FootnoteText"/>
      </w:pPr>
      <w:r>
        <w:rPr>
          <w:rStyle w:val="FootnoteReference"/>
          <w:sz w:val="20"/>
        </w:rPr>
        <w:tab/>
      </w:r>
      <w:r w:rsidRPr="00030F7F">
        <w:rPr>
          <w:rStyle w:val="FootnoteReference"/>
          <w:sz w:val="20"/>
          <w:vertAlign w:val="baseline"/>
        </w:rPr>
        <w:t>*</w:t>
      </w:r>
      <w:bookmarkStart w:id="2" w:name="OLE_LINK2"/>
      <w:bookmarkStart w:id="3" w:name="OLE_LINK1"/>
      <w:r w:rsidRPr="00030F7F">
        <w:rPr>
          <w:rStyle w:val="FootnoteReference"/>
          <w:sz w:val="20"/>
          <w:vertAlign w:val="baseline"/>
        </w:rPr>
        <w:tab/>
      </w:r>
      <w:r>
        <w:t>The following members of the Committee participated in the consideration of the present communication:</w:t>
      </w:r>
      <w:bookmarkEnd w:id="2"/>
      <w:bookmarkEnd w:id="3"/>
      <w:r>
        <w:t xml:space="preserve"> Essadia Belmir, Alessio Bruni, Satyabhoosun Gupt Domah, Abdoulaye Gaye, Sapana Pradhan-Malla, </w:t>
      </w:r>
      <w:r>
        <w:rPr>
          <w:bCs/>
        </w:rPr>
        <w:t xml:space="preserve">Jens Modvig, George Tugushi and </w:t>
      </w:r>
      <w:r>
        <w:t>Kening Zhang.</w:t>
      </w:r>
    </w:p>
  </w:footnote>
  <w:footnote w:id="3">
    <w:p w14:paraId="1D395835" w14:textId="77777777" w:rsidR="00B23A14" w:rsidRPr="00467C18" w:rsidRDefault="00B23A14">
      <w:pPr>
        <w:pStyle w:val="FootnoteText"/>
        <w:widowControl w:val="0"/>
        <w:tabs>
          <w:tab w:val="clear" w:pos="1021"/>
          <w:tab w:val="right" w:pos="1020"/>
        </w:tabs>
      </w:pPr>
      <w:r>
        <w:tab/>
      </w:r>
      <w:r>
        <w:rPr>
          <w:rStyle w:val="FootnoteReference"/>
        </w:rPr>
        <w:footnoteRef/>
      </w:r>
      <w:r>
        <w:tab/>
        <w:t xml:space="preserve">See, for example, </w:t>
      </w:r>
      <w:r w:rsidRPr="00510162">
        <w:rPr>
          <w:szCs w:val="18"/>
        </w:rPr>
        <w:t>communication No. 39/1996</w:t>
      </w:r>
      <w:r>
        <w:rPr>
          <w:szCs w:val="18"/>
        </w:rPr>
        <w:t>,</w:t>
      </w:r>
      <w:r w:rsidRPr="00510162">
        <w:rPr>
          <w:szCs w:val="18"/>
        </w:rPr>
        <w:t xml:space="preserve"> </w:t>
      </w:r>
      <w:r w:rsidRPr="00510162">
        <w:rPr>
          <w:i/>
          <w:szCs w:val="18"/>
        </w:rPr>
        <w:t>Paez v</w:t>
      </w:r>
      <w:r>
        <w:rPr>
          <w:i/>
          <w:szCs w:val="18"/>
        </w:rPr>
        <w:t>.</w:t>
      </w:r>
      <w:r w:rsidRPr="00510162">
        <w:rPr>
          <w:i/>
          <w:szCs w:val="18"/>
        </w:rPr>
        <w:t xml:space="preserve"> Sweden</w:t>
      </w:r>
      <w:r w:rsidRPr="00510162">
        <w:rPr>
          <w:szCs w:val="18"/>
        </w:rPr>
        <w:t xml:space="preserve">, </w:t>
      </w:r>
      <w:r>
        <w:rPr>
          <w:szCs w:val="18"/>
        </w:rPr>
        <w:t xml:space="preserve">Views adopted on </w:t>
      </w:r>
      <w:r w:rsidRPr="00510162">
        <w:rPr>
          <w:szCs w:val="18"/>
        </w:rPr>
        <w:t>28 April 1997, para</w:t>
      </w:r>
      <w:r>
        <w:rPr>
          <w:szCs w:val="18"/>
        </w:rPr>
        <w:t>.</w:t>
      </w:r>
      <w:r w:rsidRPr="00510162">
        <w:rPr>
          <w:szCs w:val="18"/>
        </w:rPr>
        <w:t xml:space="preserve"> 14.5.</w:t>
      </w:r>
      <w:r>
        <w:t xml:space="preserve"> </w:t>
      </w:r>
    </w:p>
  </w:footnote>
  <w:footnote w:id="4">
    <w:p w14:paraId="3BF99995" w14:textId="77777777" w:rsidR="00B23A14" w:rsidRPr="00467C18" w:rsidRDefault="00B23A14">
      <w:pPr>
        <w:pStyle w:val="FootnoteText"/>
        <w:widowControl w:val="0"/>
        <w:tabs>
          <w:tab w:val="clear" w:pos="1021"/>
          <w:tab w:val="right" w:pos="1020"/>
        </w:tabs>
      </w:pPr>
      <w:r>
        <w:tab/>
      </w:r>
      <w:r>
        <w:rPr>
          <w:rStyle w:val="FootnoteReference"/>
        </w:rPr>
        <w:footnoteRef/>
      </w:r>
      <w:r>
        <w:tab/>
        <w:t xml:space="preserve">See </w:t>
      </w:r>
      <w:r w:rsidRPr="00510162">
        <w:rPr>
          <w:szCs w:val="18"/>
        </w:rPr>
        <w:t>communication No. 83/1997</w:t>
      </w:r>
      <w:r>
        <w:rPr>
          <w:szCs w:val="18"/>
        </w:rPr>
        <w:t>,</w:t>
      </w:r>
      <w:r w:rsidRPr="00510162">
        <w:rPr>
          <w:szCs w:val="18"/>
        </w:rPr>
        <w:t xml:space="preserve"> </w:t>
      </w:r>
      <w:r w:rsidRPr="00510162">
        <w:rPr>
          <w:i/>
          <w:szCs w:val="18"/>
        </w:rPr>
        <w:t>G.R.B. v</w:t>
      </w:r>
      <w:r>
        <w:rPr>
          <w:i/>
          <w:szCs w:val="18"/>
        </w:rPr>
        <w:t>.</w:t>
      </w:r>
      <w:r w:rsidRPr="00510162">
        <w:rPr>
          <w:i/>
          <w:szCs w:val="18"/>
        </w:rPr>
        <w:t xml:space="preserve"> Sweden</w:t>
      </w:r>
      <w:r w:rsidRPr="00510162">
        <w:rPr>
          <w:szCs w:val="18"/>
        </w:rPr>
        <w:t xml:space="preserve">, </w:t>
      </w:r>
      <w:r>
        <w:rPr>
          <w:szCs w:val="18"/>
        </w:rPr>
        <w:t xml:space="preserve">Views adopted on </w:t>
      </w:r>
      <w:r w:rsidRPr="00510162">
        <w:rPr>
          <w:szCs w:val="18"/>
        </w:rPr>
        <w:t>15 May 1998, para</w:t>
      </w:r>
      <w:r>
        <w:rPr>
          <w:szCs w:val="18"/>
        </w:rPr>
        <w:t>.</w:t>
      </w:r>
      <w:r w:rsidRPr="00510162">
        <w:rPr>
          <w:szCs w:val="18"/>
        </w:rPr>
        <w:t xml:space="preserve"> 6.5</w:t>
      </w:r>
      <w:r>
        <w:rPr>
          <w:szCs w:val="18"/>
        </w:rPr>
        <w:t>; also the Committee’s general comment No. 1 (1997) on the implementation of article 3 of the Convention in the context of article 22, para. 1</w:t>
      </w:r>
      <w:r w:rsidRPr="00510162">
        <w:rPr>
          <w:szCs w:val="18"/>
        </w:rPr>
        <w:t>.</w:t>
      </w:r>
      <w:r>
        <w:t xml:space="preserve"> </w:t>
      </w:r>
    </w:p>
  </w:footnote>
  <w:footnote w:id="5">
    <w:p w14:paraId="7185C909" w14:textId="77777777" w:rsidR="00B23A14" w:rsidRPr="00B34B7A" w:rsidRDefault="00B23A14">
      <w:pPr>
        <w:pStyle w:val="FootnoteText"/>
        <w:widowControl w:val="0"/>
        <w:tabs>
          <w:tab w:val="clear" w:pos="1021"/>
          <w:tab w:val="right" w:pos="1020"/>
        </w:tabs>
        <w:rPr>
          <w:szCs w:val="18"/>
        </w:rPr>
      </w:pPr>
      <w:r>
        <w:tab/>
      </w:r>
      <w:r w:rsidRPr="00856B2C">
        <w:rPr>
          <w:rStyle w:val="FootnoteReference"/>
          <w:szCs w:val="18"/>
        </w:rPr>
        <w:footnoteRef/>
      </w:r>
      <w:r w:rsidRPr="00B34B7A">
        <w:rPr>
          <w:szCs w:val="18"/>
        </w:rPr>
        <w:tab/>
      </w:r>
      <w:r>
        <w:rPr>
          <w:rStyle w:val="FooterChar"/>
          <w:sz w:val="18"/>
          <w:szCs w:val="18"/>
        </w:rPr>
        <w:t xml:space="preserve">See </w:t>
      </w:r>
      <w:r w:rsidRPr="00510162">
        <w:rPr>
          <w:i/>
          <w:szCs w:val="18"/>
        </w:rPr>
        <w:t>G.R.B. v</w:t>
      </w:r>
      <w:r>
        <w:rPr>
          <w:i/>
          <w:szCs w:val="18"/>
        </w:rPr>
        <w:t>.</w:t>
      </w:r>
      <w:r w:rsidRPr="00510162">
        <w:rPr>
          <w:i/>
          <w:szCs w:val="18"/>
        </w:rPr>
        <w:t xml:space="preserve"> Sweden</w:t>
      </w:r>
      <w:r w:rsidRPr="00510162">
        <w:rPr>
          <w:szCs w:val="18"/>
        </w:rPr>
        <w:t xml:space="preserve">, </w:t>
      </w:r>
      <w:r>
        <w:rPr>
          <w:szCs w:val="18"/>
        </w:rPr>
        <w:t>para. 6.5.</w:t>
      </w:r>
    </w:p>
  </w:footnote>
  <w:footnote w:id="6">
    <w:p w14:paraId="347E4B4B" w14:textId="77777777" w:rsidR="00B23A14" w:rsidRPr="00467C18" w:rsidRDefault="00B23A14" w:rsidP="00C45A00">
      <w:pPr>
        <w:pStyle w:val="FootnoteText"/>
        <w:widowControl w:val="0"/>
        <w:tabs>
          <w:tab w:val="clear" w:pos="1021"/>
          <w:tab w:val="right" w:pos="1020"/>
        </w:tabs>
      </w:pPr>
      <w:r>
        <w:tab/>
      </w:r>
      <w:r>
        <w:rPr>
          <w:rStyle w:val="FootnoteReference"/>
        </w:rPr>
        <w:footnoteRef/>
      </w:r>
      <w:r>
        <w:tab/>
        <w:t xml:space="preserve">See </w:t>
      </w:r>
      <w:r>
        <w:rPr>
          <w:szCs w:val="18"/>
        </w:rPr>
        <w:t>the Committee’s general comment No. 1</w:t>
      </w:r>
      <w:r w:rsidRPr="00510162">
        <w:rPr>
          <w:szCs w:val="18"/>
        </w:rPr>
        <w:t>, para</w:t>
      </w:r>
      <w:r>
        <w:rPr>
          <w:szCs w:val="18"/>
        </w:rPr>
        <w:t>.</w:t>
      </w:r>
      <w:r w:rsidRPr="00510162">
        <w:rPr>
          <w:szCs w:val="18"/>
        </w:rPr>
        <w:t xml:space="preserve"> 1.</w:t>
      </w:r>
      <w:r>
        <w:t xml:space="preserve"> </w:t>
      </w:r>
    </w:p>
  </w:footnote>
  <w:footnote w:id="7">
    <w:p w14:paraId="6C1B3ACF" w14:textId="77777777" w:rsidR="00B23A14" w:rsidRPr="00467C18" w:rsidRDefault="00B23A14" w:rsidP="009617AE">
      <w:pPr>
        <w:pStyle w:val="FootnoteText"/>
        <w:widowControl w:val="0"/>
        <w:tabs>
          <w:tab w:val="clear" w:pos="1021"/>
          <w:tab w:val="right" w:pos="1020"/>
        </w:tabs>
      </w:pPr>
      <w:r>
        <w:tab/>
      </w:r>
      <w:r>
        <w:rPr>
          <w:rStyle w:val="FootnoteReference"/>
        </w:rPr>
        <w:footnoteRef/>
      </w:r>
      <w:r>
        <w:tab/>
        <w:t xml:space="preserve">See </w:t>
      </w:r>
      <w:r w:rsidRPr="00510162">
        <w:rPr>
          <w:szCs w:val="18"/>
        </w:rPr>
        <w:t>communication No. 203/2002</w:t>
      </w:r>
      <w:r>
        <w:rPr>
          <w:szCs w:val="18"/>
        </w:rPr>
        <w:t>,</w:t>
      </w:r>
      <w:r w:rsidRPr="00510162">
        <w:rPr>
          <w:szCs w:val="18"/>
        </w:rPr>
        <w:t xml:space="preserve"> </w:t>
      </w:r>
      <w:r w:rsidRPr="00510162">
        <w:rPr>
          <w:i/>
          <w:szCs w:val="18"/>
        </w:rPr>
        <w:t>A.R</w:t>
      </w:r>
      <w:r>
        <w:rPr>
          <w:i/>
          <w:szCs w:val="18"/>
        </w:rPr>
        <w:t>.</w:t>
      </w:r>
      <w:r w:rsidRPr="00510162">
        <w:rPr>
          <w:i/>
          <w:szCs w:val="18"/>
        </w:rPr>
        <w:t xml:space="preserve"> v</w:t>
      </w:r>
      <w:r>
        <w:rPr>
          <w:i/>
          <w:szCs w:val="18"/>
        </w:rPr>
        <w:t>.</w:t>
      </w:r>
      <w:r w:rsidRPr="00510162">
        <w:rPr>
          <w:i/>
          <w:szCs w:val="18"/>
        </w:rPr>
        <w:t xml:space="preserve"> </w:t>
      </w:r>
      <w:r>
        <w:rPr>
          <w:i/>
          <w:szCs w:val="18"/>
        </w:rPr>
        <w:t>t</w:t>
      </w:r>
      <w:r w:rsidRPr="00510162">
        <w:rPr>
          <w:i/>
          <w:szCs w:val="18"/>
        </w:rPr>
        <w:t>he Netherlands</w:t>
      </w:r>
      <w:r w:rsidRPr="00510162">
        <w:rPr>
          <w:szCs w:val="18"/>
        </w:rPr>
        <w:t xml:space="preserve">, </w:t>
      </w:r>
      <w:r>
        <w:rPr>
          <w:szCs w:val="18"/>
        </w:rPr>
        <w:t xml:space="preserve">decision adopted on </w:t>
      </w:r>
      <w:r w:rsidRPr="00510162">
        <w:rPr>
          <w:szCs w:val="18"/>
        </w:rPr>
        <w:t>14 November 2003, para</w:t>
      </w:r>
      <w:r>
        <w:rPr>
          <w:szCs w:val="18"/>
        </w:rPr>
        <w:t>.</w:t>
      </w:r>
      <w:r w:rsidRPr="00510162">
        <w:rPr>
          <w:szCs w:val="18"/>
        </w:rPr>
        <w:t xml:space="preserve"> 7.3.</w:t>
      </w:r>
      <w:r>
        <w:t xml:space="preserve"> </w:t>
      </w:r>
    </w:p>
  </w:footnote>
  <w:footnote w:id="8">
    <w:p w14:paraId="6BAC0ABC" w14:textId="77777777" w:rsidR="00B23A14" w:rsidRPr="00467C18" w:rsidRDefault="00B23A14" w:rsidP="001D481D">
      <w:pPr>
        <w:pStyle w:val="FootnoteText"/>
        <w:widowControl w:val="0"/>
        <w:tabs>
          <w:tab w:val="clear" w:pos="1021"/>
          <w:tab w:val="right" w:pos="1020"/>
        </w:tabs>
      </w:pPr>
      <w:r>
        <w:tab/>
      </w:r>
      <w:r>
        <w:rPr>
          <w:rStyle w:val="FootnoteReference"/>
        </w:rPr>
        <w:footnoteRef/>
      </w:r>
      <w:r>
        <w:tab/>
        <w:t xml:space="preserve">Ibid.; see also the </w:t>
      </w:r>
      <w:r w:rsidRPr="00510162">
        <w:rPr>
          <w:szCs w:val="18"/>
        </w:rPr>
        <w:t>Committee</w:t>
      </w:r>
      <w:r>
        <w:rPr>
          <w:szCs w:val="18"/>
        </w:rPr>
        <w:t>’s</w:t>
      </w:r>
      <w:r w:rsidRPr="00510162">
        <w:rPr>
          <w:szCs w:val="18"/>
        </w:rPr>
        <w:t xml:space="preserve"> </w:t>
      </w:r>
      <w:r>
        <w:rPr>
          <w:szCs w:val="18"/>
        </w:rPr>
        <w:t>g</w:t>
      </w:r>
      <w:r w:rsidRPr="00510162">
        <w:rPr>
          <w:szCs w:val="18"/>
        </w:rPr>
        <w:t xml:space="preserve">eneral </w:t>
      </w:r>
      <w:r>
        <w:rPr>
          <w:szCs w:val="18"/>
        </w:rPr>
        <w:t>c</w:t>
      </w:r>
      <w:r w:rsidRPr="00510162">
        <w:rPr>
          <w:szCs w:val="18"/>
        </w:rPr>
        <w:t>omment No</w:t>
      </w:r>
      <w:r>
        <w:rPr>
          <w:szCs w:val="18"/>
        </w:rPr>
        <w:t>.</w:t>
      </w:r>
      <w:r w:rsidRPr="00510162">
        <w:rPr>
          <w:szCs w:val="18"/>
        </w:rPr>
        <w:t xml:space="preserve"> 1, para</w:t>
      </w:r>
      <w:r>
        <w:rPr>
          <w:szCs w:val="18"/>
        </w:rPr>
        <w:t>.</w:t>
      </w:r>
      <w:r w:rsidRPr="00510162">
        <w:rPr>
          <w:szCs w:val="18"/>
        </w:rPr>
        <w:t xml:space="preserve"> 7.</w:t>
      </w:r>
      <w:r>
        <w:t xml:space="preserve"> </w:t>
      </w:r>
    </w:p>
  </w:footnote>
  <w:footnote w:id="9">
    <w:p w14:paraId="4224D219" w14:textId="77777777" w:rsidR="00B23A14" w:rsidRPr="00467C18" w:rsidRDefault="00B23A14" w:rsidP="001D481D">
      <w:pPr>
        <w:pStyle w:val="FootnoteText"/>
        <w:widowControl w:val="0"/>
        <w:tabs>
          <w:tab w:val="clear" w:pos="1021"/>
          <w:tab w:val="right" w:pos="1020"/>
        </w:tabs>
      </w:pPr>
      <w:r>
        <w:tab/>
      </w:r>
      <w:r>
        <w:rPr>
          <w:rStyle w:val="FootnoteReference"/>
        </w:rPr>
        <w:footnoteRef/>
      </w:r>
      <w:r>
        <w:tab/>
        <w:t xml:space="preserve">See the Committee’s general comment No. 1, para. </w:t>
      </w:r>
      <w:r w:rsidR="001042AD" w:rsidRPr="00E82D63">
        <w:rPr>
          <w:lang w:val="en-GB"/>
        </w:rPr>
        <w:t>7</w:t>
      </w:r>
      <w:r>
        <w:rPr>
          <w:szCs w:val="18"/>
        </w:rPr>
        <w:t>.</w:t>
      </w:r>
      <w:r>
        <w:t xml:space="preserve"> </w:t>
      </w:r>
    </w:p>
  </w:footnote>
  <w:footnote w:id="10">
    <w:p w14:paraId="199CD00B" w14:textId="77777777" w:rsidR="00B23A14" w:rsidRPr="00467C18" w:rsidRDefault="00B23A14" w:rsidP="00B03DB4">
      <w:pPr>
        <w:pStyle w:val="FootnoteText"/>
        <w:widowControl w:val="0"/>
        <w:tabs>
          <w:tab w:val="clear" w:pos="1021"/>
          <w:tab w:val="right" w:pos="1020"/>
        </w:tabs>
      </w:pPr>
      <w:r>
        <w:tab/>
      </w:r>
      <w:r>
        <w:rPr>
          <w:rStyle w:val="FootnoteReference"/>
        </w:rPr>
        <w:footnoteRef/>
      </w:r>
      <w:r>
        <w:tab/>
      </w:r>
      <w:r w:rsidRPr="00510162">
        <w:rPr>
          <w:iCs/>
          <w:szCs w:val="18"/>
        </w:rPr>
        <w:t>Ibid.</w:t>
      </w:r>
      <w:r>
        <w:rPr>
          <w:iCs/>
          <w:szCs w:val="18"/>
        </w:rPr>
        <w:t>, para. 6</w:t>
      </w:r>
      <w:r w:rsidR="009B07BD">
        <w:rPr>
          <w:iCs/>
          <w:szCs w:val="18"/>
        </w:rPr>
        <w:t>.</w:t>
      </w:r>
      <w:r>
        <w:t xml:space="preserve"> </w:t>
      </w:r>
    </w:p>
  </w:footnote>
  <w:footnote w:id="11">
    <w:p w14:paraId="2FE5E9FF" w14:textId="77777777" w:rsidR="00B23A14" w:rsidRPr="006B7F8B" w:rsidRDefault="00B23A14" w:rsidP="006B7F8B">
      <w:pPr>
        <w:pStyle w:val="FootnoteText"/>
        <w:widowControl w:val="0"/>
        <w:tabs>
          <w:tab w:val="clear" w:pos="1021"/>
          <w:tab w:val="right" w:pos="1020"/>
        </w:tabs>
      </w:pPr>
      <w:r>
        <w:tab/>
      </w:r>
      <w:r>
        <w:rPr>
          <w:rStyle w:val="FootnoteReference"/>
        </w:rPr>
        <w:footnoteRef/>
      </w:r>
      <w:r>
        <w:tab/>
        <w:t>Ibid., para. 4; also see</w:t>
      </w:r>
      <w:r w:rsidRPr="00644705">
        <w:rPr>
          <w:i/>
          <w:szCs w:val="18"/>
        </w:rPr>
        <w:t xml:space="preserve"> </w:t>
      </w:r>
      <w:r w:rsidRPr="00510162">
        <w:rPr>
          <w:i/>
          <w:szCs w:val="18"/>
        </w:rPr>
        <w:t>G.R.B. v</w:t>
      </w:r>
      <w:r>
        <w:rPr>
          <w:i/>
          <w:szCs w:val="18"/>
        </w:rPr>
        <w:t>.</w:t>
      </w:r>
      <w:r w:rsidRPr="00510162">
        <w:rPr>
          <w:i/>
          <w:szCs w:val="18"/>
        </w:rPr>
        <w:t xml:space="preserve"> Sweden</w:t>
      </w:r>
      <w:r w:rsidRPr="00B23A14">
        <w:rPr>
          <w:i/>
          <w:iCs/>
          <w:szCs w:val="18"/>
        </w:rPr>
        <w:t>.</w:t>
      </w:r>
      <w:r w:rsidRPr="00B23A14">
        <w:rPr>
          <w:i/>
          <w:iCs/>
        </w:rPr>
        <w:t xml:space="preserve"> </w:t>
      </w:r>
    </w:p>
  </w:footnote>
  <w:footnote w:id="12">
    <w:p w14:paraId="224EB7BA" w14:textId="77777777" w:rsidR="00B23A14" w:rsidRPr="00467C18" w:rsidRDefault="00B23A14" w:rsidP="009F71FB">
      <w:pPr>
        <w:pStyle w:val="FootnoteText"/>
        <w:widowControl w:val="0"/>
        <w:tabs>
          <w:tab w:val="clear" w:pos="1021"/>
          <w:tab w:val="right" w:pos="1020"/>
        </w:tabs>
      </w:pPr>
      <w:r>
        <w:tab/>
      </w:r>
      <w:r>
        <w:rPr>
          <w:rStyle w:val="FootnoteReference"/>
        </w:rPr>
        <w:footnoteRef/>
      </w:r>
      <w:r>
        <w:tab/>
        <w:t>See c</w:t>
      </w:r>
      <w:r w:rsidRPr="00510162">
        <w:rPr>
          <w:szCs w:val="18"/>
        </w:rPr>
        <w:t>ommunication No.</w:t>
      </w:r>
      <w:r>
        <w:rPr>
          <w:szCs w:val="18"/>
        </w:rPr>
        <w:t xml:space="preserve"> </w:t>
      </w:r>
      <w:r w:rsidRPr="00510162">
        <w:rPr>
          <w:szCs w:val="18"/>
        </w:rPr>
        <w:t>21/19</w:t>
      </w:r>
      <w:r>
        <w:rPr>
          <w:szCs w:val="18"/>
        </w:rPr>
        <w:t>95</w:t>
      </w:r>
      <w:r w:rsidRPr="00510162">
        <w:rPr>
          <w:szCs w:val="18"/>
        </w:rPr>
        <w:t xml:space="preserve">, </w:t>
      </w:r>
      <w:r w:rsidRPr="00510162">
        <w:rPr>
          <w:i/>
          <w:szCs w:val="18"/>
        </w:rPr>
        <w:t>Alan v. Sweden</w:t>
      </w:r>
      <w:r w:rsidRPr="00510162">
        <w:rPr>
          <w:szCs w:val="18"/>
        </w:rPr>
        <w:t xml:space="preserve">, </w:t>
      </w:r>
      <w:r>
        <w:rPr>
          <w:szCs w:val="18"/>
        </w:rPr>
        <w:t>Views adopted on 8 May 1996, para. 11.3.</w:t>
      </w:r>
      <w:r>
        <w:t xml:space="preserve"> </w:t>
      </w:r>
    </w:p>
  </w:footnote>
  <w:footnote w:id="13">
    <w:p w14:paraId="40EB171D" w14:textId="77777777" w:rsidR="00B23A14" w:rsidRPr="00467C18" w:rsidRDefault="00B23A14">
      <w:pPr>
        <w:pStyle w:val="FootnoteText"/>
        <w:widowControl w:val="0"/>
        <w:tabs>
          <w:tab w:val="clear" w:pos="1021"/>
          <w:tab w:val="right" w:pos="1020"/>
        </w:tabs>
      </w:pPr>
      <w:r>
        <w:tab/>
      </w:r>
      <w:r>
        <w:rPr>
          <w:rStyle w:val="FootnoteReference"/>
        </w:rPr>
        <w:footnoteRef/>
      </w:r>
      <w:r>
        <w:tab/>
        <w:t xml:space="preserve">See </w:t>
      </w:r>
      <w:r w:rsidRPr="00510162">
        <w:rPr>
          <w:i/>
          <w:szCs w:val="18"/>
        </w:rPr>
        <w:t>G.R.B</w:t>
      </w:r>
      <w:r>
        <w:rPr>
          <w:i/>
          <w:szCs w:val="18"/>
        </w:rPr>
        <w:t>.</w:t>
      </w:r>
      <w:r w:rsidRPr="00510162">
        <w:rPr>
          <w:i/>
          <w:szCs w:val="18"/>
        </w:rPr>
        <w:t xml:space="preserve"> v</w:t>
      </w:r>
      <w:r>
        <w:rPr>
          <w:i/>
          <w:szCs w:val="18"/>
        </w:rPr>
        <w:t>.</w:t>
      </w:r>
      <w:r w:rsidRPr="00510162">
        <w:rPr>
          <w:i/>
          <w:szCs w:val="18"/>
        </w:rPr>
        <w:t xml:space="preserve"> Sweden</w:t>
      </w:r>
      <w:r w:rsidRPr="00510162">
        <w:rPr>
          <w:szCs w:val="18"/>
        </w:rPr>
        <w:t>, para</w:t>
      </w:r>
      <w:r>
        <w:rPr>
          <w:szCs w:val="18"/>
        </w:rPr>
        <w:t>.</w:t>
      </w:r>
      <w:r w:rsidRPr="00510162">
        <w:rPr>
          <w:szCs w:val="18"/>
        </w:rPr>
        <w:t xml:space="preserve"> 6.3.</w:t>
      </w:r>
      <w:r>
        <w:t xml:space="preserve"> </w:t>
      </w:r>
    </w:p>
  </w:footnote>
  <w:footnote w:id="14">
    <w:p w14:paraId="15E28463" w14:textId="77777777" w:rsidR="00B23A14" w:rsidRPr="00467C18" w:rsidRDefault="00B23A14" w:rsidP="00345CC7">
      <w:pPr>
        <w:pStyle w:val="FootnoteText"/>
        <w:widowControl w:val="0"/>
        <w:tabs>
          <w:tab w:val="clear" w:pos="1021"/>
          <w:tab w:val="right" w:pos="1020"/>
        </w:tabs>
      </w:pPr>
      <w:r>
        <w:tab/>
      </w:r>
      <w:r>
        <w:rPr>
          <w:rStyle w:val="FootnoteReference"/>
        </w:rPr>
        <w:footnoteRef/>
      </w:r>
      <w:r>
        <w:tab/>
      </w:r>
      <w:r w:rsidRPr="00510162">
        <w:rPr>
          <w:szCs w:val="18"/>
        </w:rPr>
        <w:t>See</w:t>
      </w:r>
      <w:r>
        <w:rPr>
          <w:szCs w:val="18"/>
        </w:rPr>
        <w:t>,</w:t>
      </w:r>
      <w:r w:rsidRPr="00510162">
        <w:rPr>
          <w:szCs w:val="18"/>
        </w:rPr>
        <w:t xml:space="preserve"> for example</w:t>
      </w:r>
      <w:r>
        <w:rPr>
          <w:szCs w:val="18"/>
        </w:rPr>
        <w:t>,</w:t>
      </w:r>
      <w:r w:rsidRPr="00510162">
        <w:rPr>
          <w:szCs w:val="18"/>
        </w:rPr>
        <w:t xml:space="preserve"> communication No.</w:t>
      </w:r>
      <w:r>
        <w:rPr>
          <w:szCs w:val="18"/>
        </w:rPr>
        <w:t xml:space="preserve"> </w:t>
      </w:r>
      <w:r w:rsidRPr="00510162">
        <w:rPr>
          <w:szCs w:val="18"/>
        </w:rPr>
        <w:t xml:space="preserve">455/2011, </w:t>
      </w:r>
      <w:r w:rsidRPr="00510162">
        <w:rPr>
          <w:i/>
          <w:kern w:val="3"/>
          <w:szCs w:val="18"/>
        </w:rPr>
        <w:t>X.Q.L. v. Australia</w:t>
      </w:r>
      <w:r w:rsidRPr="00510162">
        <w:rPr>
          <w:kern w:val="3"/>
          <w:szCs w:val="18"/>
        </w:rPr>
        <w:t xml:space="preserve">, </w:t>
      </w:r>
      <w:r w:rsidRPr="000E3DBE">
        <w:rPr>
          <w:kern w:val="3"/>
          <w:szCs w:val="18"/>
        </w:rPr>
        <w:t xml:space="preserve">decision </w:t>
      </w:r>
      <w:r>
        <w:rPr>
          <w:kern w:val="3"/>
          <w:szCs w:val="18"/>
        </w:rPr>
        <w:t>adopted on</w:t>
      </w:r>
      <w:r w:rsidRPr="00510162">
        <w:rPr>
          <w:kern w:val="3"/>
          <w:szCs w:val="18"/>
        </w:rPr>
        <w:t xml:space="preserve"> 2 May 2014,</w:t>
      </w:r>
      <w:r w:rsidRPr="00510162">
        <w:rPr>
          <w:szCs w:val="18"/>
        </w:rPr>
        <w:t xml:space="preserve"> para.</w:t>
      </w:r>
      <w:r>
        <w:rPr>
          <w:szCs w:val="18"/>
        </w:rPr>
        <w:t xml:space="preserve"> </w:t>
      </w:r>
      <w:r w:rsidRPr="00510162">
        <w:rPr>
          <w:szCs w:val="18"/>
        </w:rPr>
        <w:t>8.2.</w:t>
      </w:r>
      <w:r>
        <w:t xml:space="preserve"> </w:t>
      </w:r>
    </w:p>
  </w:footnote>
  <w:footnote w:id="15">
    <w:p w14:paraId="2DFD7D11" w14:textId="77777777" w:rsidR="00B23A14" w:rsidRPr="00467C18" w:rsidRDefault="00B23A14" w:rsidP="00345CC7">
      <w:pPr>
        <w:pStyle w:val="FootnoteText"/>
        <w:widowControl w:val="0"/>
        <w:tabs>
          <w:tab w:val="clear" w:pos="1021"/>
          <w:tab w:val="right" w:pos="1020"/>
        </w:tabs>
      </w:pPr>
      <w:r>
        <w:tab/>
      </w:r>
      <w:r>
        <w:rPr>
          <w:rStyle w:val="FootnoteReference"/>
        </w:rPr>
        <w:footnoteRef/>
      </w:r>
      <w:r>
        <w:tab/>
      </w:r>
      <w:r w:rsidRPr="00235392">
        <w:rPr>
          <w:szCs w:val="18"/>
        </w:rPr>
        <w:t>See</w:t>
      </w:r>
      <w:r>
        <w:rPr>
          <w:szCs w:val="18"/>
        </w:rPr>
        <w:t>,</w:t>
      </w:r>
      <w:r w:rsidRPr="00235392">
        <w:rPr>
          <w:szCs w:val="18"/>
        </w:rPr>
        <w:t xml:space="preserve"> for example</w:t>
      </w:r>
      <w:r>
        <w:rPr>
          <w:szCs w:val="18"/>
        </w:rPr>
        <w:t>,</w:t>
      </w:r>
      <w:r w:rsidRPr="00235392">
        <w:rPr>
          <w:szCs w:val="18"/>
        </w:rPr>
        <w:t xml:space="preserve"> communication No. </w:t>
      </w:r>
      <w:r w:rsidRPr="002F1613">
        <w:t>550/2013</w:t>
      </w:r>
      <w:r>
        <w:t xml:space="preserve">, </w:t>
      </w:r>
      <w:r w:rsidRPr="00C877AA">
        <w:rPr>
          <w:i/>
          <w:szCs w:val="18"/>
        </w:rPr>
        <w:t>S.K. and others v. Sweden</w:t>
      </w:r>
      <w:r w:rsidRPr="00235392">
        <w:rPr>
          <w:szCs w:val="18"/>
        </w:rPr>
        <w:t xml:space="preserve">, decision </w:t>
      </w:r>
      <w:r>
        <w:rPr>
          <w:szCs w:val="18"/>
        </w:rPr>
        <w:t>adopted on</w:t>
      </w:r>
      <w:r w:rsidRPr="00235392">
        <w:rPr>
          <w:szCs w:val="18"/>
        </w:rPr>
        <w:t xml:space="preserve"> 8 May 2015, para</w:t>
      </w:r>
      <w:r>
        <w:rPr>
          <w:szCs w:val="18"/>
        </w:rPr>
        <w:t xml:space="preserve">. 7.3. </w:t>
      </w:r>
    </w:p>
  </w:footnote>
  <w:footnote w:id="16">
    <w:p w14:paraId="70B3CA5E" w14:textId="77777777" w:rsidR="00B23A14" w:rsidRPr="00467C18" w:rsidRDefault="00B23A14">
      <w:pPr>
        <w:pStyle w:val="FootnoteText"/>
        <w:widowControl w:val="0"/>
        <w:tabs>
          <w:tab w:val="clear" w:pos="1021"/>
          <w:tab w:val="right" w:pos="1020"/>
        </w:tabs>
      </w:pPr>
      <w:r>
        <w:tab/>
      </w:r>
      <w:r>
        <w:rPr>
          <w:rStyle w:val="FootnoteReference"/>
        </w:rPr>
        <w:footnoteRef/>
      </w:r>
      <w:r>
        <w:tab/>
      </w:r>
      <w:r w:rsidRPr="00510162">
        <w:rPr>
          <w:szCs w:val="18"/>
        </w:rPr>
        <w:t xml:space="preserve">See also </w:t>
      </w:r>
      <w:r w:rsidRPr="00510162">
        <w:rPr>
          <w:i/>
          <w:iCs/>
          <w:szCs w:val="18"/>
        </w:rPr>
        <w:t>A.R.</w:t>
      </w:r>
      <w:r w:rsidRPr="009175E0">
        <w:rPr>
          <w:i/>
          <w:iCs/>
          <w:szCs w:val="18"/>
        </w:rPr>
        <w:t xml:space="preserve"> v. </w:t>
      </w:r>
      <w:r>
        <w:rPr>
          <w:i/>
          <w:iCs/>
          <w:szCs w:val="18"/>
        </w:rPr>
        <w:t>t</w:t>
      </w:r>
      <w:r w:rsidRPr="00510162">
        <w:rPr>
          <w:i/>
          <w:iCs/>
          <w:szCs w:val="18"/>
        </w:rPr>
        <w:t>he Netherlands</w:t>
      </w:r>
      <w:r w:rsidRPr="00510162">
        <w:rPr>
          <w:szCs w:val="18"/>
        </w:rPr>
        <w:t>, para. </w:t>
      </w:r>
      <w:r w:rsidRPr="00DA6DAD">
        <w:rPr>
          <w:szCs w:val="18"/>
        </w:rPr>
        <w:t>7.3.</w:t>
      </w:r>
      <w:r>
        <w:rPr>
          <w:szCs w:val="18"/>
        </w:rPr>
        <w:t xml:space="preserve"> </w:t>
      </w:r>
    </w:p>
  </w:footnote>
  <w:footnote w:id="17">
    <w:p w14:paraId="3C676625" w14:textId="77777777" w:rsidR="00B23A14" w:rsidRPr="00467C18" w:rsidRDefault="00B23A14" w:rsidP="00FA2CC3">
      <w:pPr>
        <w:pStyle w:val="FootnoteText"/>
        <w:widowControl w:val="0"/>
        <w:tabs>
          <w:tab w:val="clear" w:pos="1021"/>
          <w:tab w:val="right" w:pos="1020"/>
        </w:tabs>
      </w:pPr>
      <w:r>
        <w:tab/>
      </w:r>
      <w:r>
        <w:rPr>
          <w:rStyle w:val="FootnoteReference"/>
        </w:rPr>
        <w:footnoteRef/>
      </w:r>
      <w:r>
        <w:tab/>
      </w:r>
      <w:r w:rsidRPr="00A14B18">
        <w:rPr>
          <w:szCs w:val="18"/>
        </w:rPr>
        <w:t>See</w:t>
      </w:r>
      <w:r>
        <w:rPr>
          <w:szCs w:val="18"/>
        </w:rPr>
        <w:t xml:space="preserve">, for example, </w:t>
      </w:r>
      <w:r w:rsidRPr="00A14B18">
        <w:rPr>
          <w:szCs w:val="18"/>
        </w:rPr>
        <w:t xml:space="preserve">communication No. 356/2008, </w:t>
      </w:r>
      <w:r w:rsidRPr="00B23A14">
        <w:rPr>
          <w:i/>
          <w:iCs/>
          <w:szCs w:val="18"/>
        </w:rPr>
        <w:t>N.S. v. Switzerland</w:t>
      </w:r>
      <w:r w:rsidRPr="00A14B18">
        <w:rPr>
          <w:szCs w:val="18"/>
        </w:rPr>
        <w:t>, decision adopted on 6 May 2010, para. 7.3</w:t>
      </w:r>
      <w:r>
        <w:rPr>
          <w:szCs w:val="18"/>
        </w:rPr>
        <w:t>.</w:t>
      </w:r>
      <w:r>
        <w:t xml:space="preserve"> </w:t>
      </w:r>
    </w:p>
  </w:footnote>
  <w:footnote w:id="18">
    <w:p w14:paraId="65C665CB" w14:textId="77777777" w:rsidR="00B23A14" w:rsidRPr="00467C18" w:rsidRDefault="00B23A14" w:rsidP="00345CC7">
      <w:pPr>
        <w:pStyle w:val="FootnoteText"/>
        <w:widowControl w:val="0"/>
        <w:tabs>
          <w:tab w:val="clear" w:pos="1021"/>
          <w:tab w:val="right" w:pos="1020"/>
        </w:tabs>
      </w:pPr>
      <w:r>
        <w:tab/>
      </w:r>
      <w:r>
        <w:rPr>
          <w:rStyle w:val="FootnoteReference"/>
        </w:rPr>
        <w:footnoteRef/>
      </w:r>
      <w:r>
        <w:tab/>
      </w:r>
      <w:r w:rsidRPr="00510162">
        <w:rPr>
          <w:szCs w:val="18"/>
        </w:rPr>
        <w:t>See</w:t>
      </w:r>
      <w:r>
        <w:rPr>
          <w:szCs w:val="18"/>
        </w:rPr>
        <w:t>,</w:t>
      </w:r>
      <w:r w:rsidRPr="00510162">
        <w:rPr>
          <w:szCs w:val="18"/>
        </w:rPr>
        <w:t xml:space="preserve"> for example</w:t>
      </w:r>
      <w:r>
        <w:rPr>
          <w:szCs w:val="18"/>
        </w:rPr>
        <w:t>, communication</w:t>
      </w:r>
      <w:r w:rsidRPr="00510162">
        <w:rPr>
          <w:szCs w:val="18"/>
        </w:rPr>
        <w:t xml:space="preserve"> No. 426/2010, </w:t>
      </w:r>
      <w:r w:rsidRPr="00510162">
        <w:rPr>
          <w:i/>
          <w:iCs/>
          <w:szCs w:val="18"/>
        </w:rPr>
        <w:t xml:space="preserve">R.D. </w:t>
      </w:r>
      <w:r w:rsidRPr="00B23A14">
        <w:rPr>
          <w:i/>
          <w:iCs/>
          <w:szCs w:val="18"/>
        </w:rPr>
        <w:t>v.</w:t>
      </w:r>
      <w:r w:rsidRPr="00510162">
        <w:rPr>
          <w:i/>
          <w:iCs/>
          <w:szCs w:val="18"/>
        </w:rPr>
        <w:t xml:space="preserve"> Switzerland</w:t>
      </w:r>
      <w:r w:rsidRPr="00510162">
        <w:rPr>
          <w:szCs w:val="18"/>
        </w:rPr>
        <w:t xml:space="preserve">, decision </w:t>
      </w:r>
      <w:r>
        <w:rPr>
          <w:szCs w:val="18"/>
        </w:rPr>
        <w:t xml:space="preserve">adopted </w:t>
      </w:r>
      <w:r w:rsidRPr="00510162">
        <w:rPr>
          <w:szCs w:val="18"/>
        </w:rPr>
        <w:t>o</w:t>
      </w:r>
      <w:r>
        <w:rPr>
          <w:szCs w:val="18"/>
        </w:rPr>
        <w:t>n</w:t>
      </w:r>
      <w:r w:rsidRPr="00510162">
        <w:rPr>
          <w:szCs w:val="18"/>
        </w:rPr>
        <w:t xml:space="preserve"> 8 November 2013, para. 9.2.</w:t>
      </w:r>
      <w:r>
        <w:t xml:space="preserve"> </w:t>
      </w:r>
    </w:p>
  </w:footnote>
  <w:footnote w:id="19">
    <w:p w14:paraId="073BFA1C" w14:textId="77777777" w:rsidR="00B23A14" w:rsidRPr="00467C18" w:rsidRDefault="00B23A14" w:rsidP="008D527B">
      <w:pPr>
        <w:pStyle w:val="FootnoteText"/>
        <w:widowControl w:val="0"/>
        <w:tabs>
          <w:tab w:val="clear" w:pos="1021"/>
          <w:tab w:val="right" w:pos="1020"/>
        </w:tabs>
      </w:pPr>
      <w:r>
        <w:tab/>
      </w:r>
      <w:r>
        <w:rPr>
          <w:rStyle w:val="FootnoteReference"/>
        </w:rPr>
        <w:footnoteRef/>
      </w:r>
      <w:r>
        <w:tab/>
      </w:r>
      <w:r w:rsidRPr="00315D76">
        <w:rPr>
          <w:szCs w:val="18"/>
        </w:rPr>
        <w:t xml:space="preserve">See communication </w:t>
      </w:r>
      <w:r>
        <w:rPr>
          <w:szCs w:val="18"/>
        </w:rPr>
        <w:t xml:space="preserve">No. </w:t>
      </w:r>
      <w:r w:rsidRPr="00315D76">
        <w:rPr>
          <w:szCs w:val="18"/>
        </w:rPr>
        <w:t xml:space="preserve">429/2010, </w:t>
      </w:r>
      <w:r w:rsidR="004E498D" w:rsidRPr="00E82D63">
        <w:rPr>
          <w:i/>
          <w:iCs/>
          <w:szCs w:val="18"/>
        </w:rPr>
        <w:t>Sivagnanaratnam</w:t>
      </w:r>
      <w:r w:rsidRPr="00315D76">
        <w:rPr>
          <w:i/>
          <w:szCs w:val="18"/>
          <w:lang w:val="en"/>
        </w:rPr>
        <w:t xml:space="preserve"> v. Denmark</w:t>
      </w:r>
      <w:r w:rsidRPr="00315D76">
        <w:rPr>
          <w:szCs w:val="18"/>
          <w:lang w:val="en"/>
        </w:rPr>
        <w:t xml:space="preserve">, </w:t>
      </w:r>
      <w:r>
        <w:rPr>
          <w:szCs w:val="18"/>
          <w:lang w:val="en"/>
        </w:rPr>
        <w:t>d</w:t>
      </w:r>
      <w:r w:rsidRPr="00315D76">
        <w:rPr>
          <w:szCs w:val="18"/>
          <w:lang w:val="en"/>
        </w:rPr>
        <w:t>ecision adopted on 11 November 2013, paras</w:t>
      </w:r>
      <w:r>
        <w:rPr>
          <w:szCs w:val="18"/>
          <w:lang w:val="en"/>
        </w:rPr>
        <w:t>.</w:t>
      </w:r>
      <w:r w:rsidRPr="00315D76">
        <w:rPr>
          <w:szCs w:val="18"/>
          <w:lang w:val="en"/>
        </w:rPr>
        <w:t xml:space="preserve"> 10.5</w:t>
      </w:r>
      <w:r>
        <w:rPr>
          <w:szCs w:val="18"/>
          <w:lang w:val="en"/>
        </w:rPr>
        <w:t xml:space="preserve"> </w:t>
      </w:r>
      <w:r w:rsidRPr="00315D76">
        <w:rPr>
          <w:szCs w:val="18"/>
          <w:lang w:val="en"/>
        </w:rPr>
        <w:t>and 10.6.</w:t>
      </w:r>
      <w:r>
        <w:rPr>
          <w:szCs w:val="18"/>
        </w:rPr>
        <w:t xml:space="preserve"> </w:t>
      </w:r>
    </w:p>
  </w:footnote>
  <w:footnote w:id="20">
    <w:p w14:paraId="22F6C416" w14:textId="77777777" w:rsidR="001042AD" w:rsidRPr="00E82D63" w:rsidRDefault="00B23A14" w:rsidP="009666D4">
      <w:pPr>
        <w:pStyle w:val="FootnoteText"/>
        <w:widowControl w:val="0"/>
        <w:tabs>
          <w:tab w:val="clear" w:pos="1021"/>
          <w:tab w:val="right" w:pos="1020"/>
        </w:tabs>
        <w:rPr>
          <w:lang w:val="en-GB"/>
        </w:rPr>
      </w:pPr>
      <w:r>
        <w:tab/>
      </w:r>
      <w:r>
        <w:rPr>
          <w:rStyle w:val="FootnoteReference"/>
        </w:rPr>
        <w:footnoteRef/>
      </w:r>
      <w:r>
        <w:tab/>
      </w:r>
      <w:r w:rsidRPr="00315D76">
        <w:rPr>
          <w:szCs w:val="18"/>
        </w:rPr>
        <w:t>See</w:t>
      </w:r>
      <w:r w:rsidR="001042AD">
        <w:rPr>
          <w:szCs w:val="18"/>
        </w:rPr>
        <w:t>,</w:t>
      </w:r>
      <w:r w:rsidR="001042AD" w:rsidRPr="00315D76">
        <w:rPr>
          <w:szCs w:val="18"/>
        </w:rPr>
        <w:t xml:space="preserve"> for example, communication No. 571/2013, </w:t>
      </w:r>
      <w:r w:rsidR="001042AD" w:rsidRPr="00315D76">
        <w:rPr>
          <w:i/>
          <w:iCs/>
          <w:szCs w:val="18"/>
        </w:rPr>
        <w:t>M.S. v. Denmark</w:t>
      </w:r>
      <w:r w:rsidR="001042AD" w:rsidRPr="00315D76">
        <w:rPr>
          <w:szCs w:val="18"/>
        </w:rPr>
        <w:t xml:space="preserve">, decision </w:t>
      </w:r>
      <w:r w:rsidR="001042AD">
        <w:rPr>
          <w:szCs w:val="18"/>
        </w:rPr>
        <w:t>adopted on</w:t>
      </w:r>
      <w:r w:rsidR="001042AD" w:rsidRPr="00315D76">
        <w:rPr>
          <w:szCs w:val="18"/>
        </w:rPr>
        <w:t xml:space="preserve"> </w:t>
      </w:r>
      <w:r w:rsidR="001042AD" w:rsidRPr="00315D76">
        <w:rPr>
          <w:kern w:val="3"/>
          <w:szCs w:val="18"/>
        </w:rPr>
        <w:t>10 August 2015</w:t>
      </w:r>
      <w:r w:rsidR="001042AD" w:rsidRPr="00315D76">
        <w:rPr>
          <w:szCs w:val="18"/>
        </w:rPr>
        <w:t>, para. 7.9.</w:t>
      </w:r>
      <w:r w:rsidR="001042AD">
        <w:t xml:space="preserve"> </w:t>
      </w:r>
    </w:p>
  </w:footnote>
  <w:footnote w:id="21">
    <w:p w14:paraId="6FCD5781" w14:textId="77777777" w:rsidR="001042AD" w:rsidRPr="00E82D63" w:rsidRDefault="00B23A14" w:rsidP="00C6327A">
      <w:pPr>
        <w:pStyle w:val="FootnoteText"/>
        <w:widowControl w:val="0"/>
        <w:tabs>
          <w:tab w:val="clear" w:pos="1021"/>
          <w:tab w:val="right" w:pos="1020"/>
        </w:tabs>
        <w:rPr>
          <w:lang w:val="en-GB"/>
        </w:rPr>
      </w:pPr>
      <w:r>
        <w:tab/>
      </w:r>
      <w:r>
        <w:rPr>
          <w:rStyle w:val="FootnoteReference"/>
        </w:rPr>
        <w:footnoteRef/>
      </w:r>
      <w:r>
        <w:tab/>
      </w:r>
      <w:r w:rsidR="001042AD" w:rsidRPr="00E82D63">
        <w:rPr>
          <w:szCs w:val="18"/>
          <w:lang w:val="en-GB"/>
        </w:rPr>
        <w:t>Ibid., para. 8.</w:t>
      </w:r>
      <w:r w:rsidR="001042AD">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D94A" w14:textId="77777777" w:rsidR="00B23A14" w:rsidRPr="005B51FA" w:rsidRDefault="00B23A14">
    <w:pPr>
      <w:pStyle w:val="Header"/>
    </w:pPr>
    <w:r>
      <w:t>CAT/C/56/D/591/2014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A7FB" w14:textId="77777777" w:rsidR="00B23A14" w:rsidRPr="005B51FA" w:rsidRDefault="00B23A14" w:rsidP="005B51FA">
    <w:pPr>
      <w:pStyle w:val="Header"/>
      <w:jc w:val="right"/>
    </w:pPr>
    <w:r>
      <w:t>CAT/C/56/D/591/2014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2"/>
  </w:num>
  <w:num w:numId="13">
    <w:abstractNumId w:val="11"/>
  </w:num>
  <w:num w:numId="14">
    <w:abstractNumId w:val="1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FA"/>
    <w:rsid w:val="00002FEC"/>
    <w:rsid w:val="00003C39"/>
    <w:rsid w:val="00015B99"/>
    <w:rsid w:val="00022F1F"/>
    <w:rsid w:val="00024F80"/>
    <w:rsid w:val="00030F7F"/>
    <w:rsid w:val="00032FF2"/>
    <w:rsid w:val="00050F6B"/>
    <w:rsid w:val="000551DC"/>
    <w:rsid w:val="000572A8"/>
    <w:rsid w:val="00072C8C"/>
    <w:rsid w:val="000733B5"/>
    <w:rsid w:val="00077485"/>
    <w:rsid w:val="000931C0"/>
    <w:rsid w:val="00093A9B"/>
    <w:rsid w:val="0009753D"/>
    <w:rsid w:val="000A5D3B"/>
    <w:rsid w:val="000B175B"/>
    <w:rsid w:val="000B3A0F"/>
    <w:rsid w:val="000B489C"/>
    <w:rsid w:val="000B4EF7"/>
    <w:rsid w:val="000C1462"/>
    <w:rsid w:val="000C2D2E"/>
    <w:rsid w:val="000D3606"/>
    <w:rsid w:val="000E0415"/>
    <w:rsid w:val="000E3DBE"/>
    <w:rsid w:val="000E6FB7"/>
    <w:rsid w:val="001042AD"/>
    <w:rsid w:val="001061AE"/>
    <w:rsid w:val="001103AA"/>
    <w:rsid w:val="00120216"/>
    <w:rsid w:val="00130691"/>
    <w:rsid w:val="001509D6"/>
    <w:rsid w:val="00155467"/>
    <w:rsid w:val="00166042"/>
    <w:rsid w:val="00174FBD"/>
    <w:rsid w:val="001808C3"/>
    <w:rsid w:val="00180D95"/>
    <w:rsid w:val="0018711F"/>
    <w:rsid w:val="001A02CA"/>
    <w:rsid w:val="001B4B04"/>
    <w:rsid w:val="001C6663"/>
    <w:rsid w:val="001C7895"/>
    <w:rsid w:val="001D26DF"/>
    <w:rsid w:val="001D481D"/>
    <w:rsid w:val="001D6D81"/>
    <w:rsid w:val="001E5AA0"/>
    <w:rsid w:val="001F09FF"/>
    <w:rsid w:val="00200846"/>
    <w:rsid w:val="00202A95"/>
    <w:rsid w:val="00202DA8"/>
    <w:rsid w:val="00203018"/>
    <w:rsid w:val="00211E0B"/>
    <w:rsid w:val="002302C4"/>
    <w:rsid w:val="00237398"/>
    <w:rsid w:val="00263419"/>
    <w:rsid w:val="002936EA"/>
    <w:rsid w:val="002B0464"/>
    <w:rsid w:val="002B6071"/>
    <w:rsid w:val="002C6D5C"/>
    <w:rsid w:val="002D3E2B"/>
    <w:rsid w:val="002D4541"/>
    <w:rsid w:val="002D76A1"/>
    <w:rsid w:val="002E1078"/>
    <w:rsid w:val="002F175C"/>
    <w:rsid w:val="002F3938"/>
    <w:rsid w:val="00306DAC"/>
    <w:rsid w:val="00314958"/>
    <w:rsid w:val="00316264"/>
    <w:rsid w:val="003229D8"/>
    <w:rsid w:val="003305AB"/>
    <w:rsid w:val="0033087D"/>
    <w:rsid w:val="0034380D"/>
    <w:rsid w:val="00345CC7"/>
    <w:rsid w:val="0035032E"/>
    <w:rsid w:val="00350B59"/>
    <w:rsid w:val="00352709"/>
    <w:rsid w:val="00371178"/>
    <w:rsid w:val="00372AF7"/>
    <w:rsid w:val="00386DD6"/>
    <w:rsid w:val="00391200"/>
    <w:rsid w:val="003923B8"/>
    <w:rsid w:val="0039247F"/>
    <w:rsid w:val="003A4810"/>
    <w:rsid w:val="003A6810"/>
    <w:rsid w:val="003C2CC4"/>
    <w:rsid w:val="003D4B23"/>
    <w:rsid w:val="003E1682"/>
    <w:rsid w:val="003E3C4A"/>
    <w:rsid w:val="003E5770"/>
    <w:rsid w:val="003E7607"/>
    <w:rsid w:val="00400D7F"/>
    <w:rsid w:val="00403E61"/>
    <w:rsid w:val="00405DDC"/>
    <w:rsid w:val="00410C89"/>
    <w:rsid w:val="00424EDF"/>
    <w:rsid w:val="00425083"/>
    <w:rsid w:val="004325CB"/>
    <w:rsid w:val="00454240"/>
    <w:rsid w:val="0045495B"/>
    <w:rsid w:val="00467C18"/>
    <w:rsid w:val="00486D56"/>
    <w:rsid w:val="004A7EDA"/>
    <w:rsid w:val="004C0E7F"/>
    <w:rsid w:val="004D25E4"/>
    <w:rsid w:val="004D40E8"/>
    <w:rsid w:val="004D4C4A"/>
    <w:rsid w:val="004E498D"/>
    <w:rsid w:val="005133EB"/>
    <w:rsid w:val="00517B36"/>
    <w:rsid w:val="005420F2"/>
    <w:rsid w:val="00560C5E"/>
    <w:rsid w:val="005616CD"/>
    <w:rsid w:val="005630B4"/>
    <w:rsid w:val="00574EB2"/>
    <w:rsid w:val="005A6C28"/>
    <w:rsid w:val="005B3DB3"/>
    <w:rsid w:val="005B4CC0"/>
    <w:rsid w:val="005B51FA"/>
    <w:rsid w:val="005B5E1E"/>
    <w:rsid w:val="005C1F97"/>
    <w:rsid w:val="005C6A79"/>
    <w:rsid w:val="005E2BF6"/>
    <w:rsid w:val="005F656B"/>
    <w:rsid w:val="006001EE"/>
    <w:rsid w:val="00611FC4"/>
    <w:rsid w:val="00612A28"/>
    <w:rsid w:val="006176FB"/>
    <w:rsid w:val="00640B26"/>
    <w:rsid w:val="00644705"/>
    <w:rsid w:val="00673352"/>
    <w:rsid w:val="006946AF"/>
    <w:rsid w:val="006B4BDB"/>
    <w:rsid w:val="006B58B6"/>
    <w:rsid w:val="006B5E3E"/>
    <w:rsid w:val="006B7F8B"/>
    <w:rsid w:val="006C0C3F"/>
    <w:rsid w:val="006E0F28"/>
    <w:rsid w:val="006E564B"/>
    <w:rsid w:val="007019C1"/>
    <w:rsid w:val="0072632A"/>
    <w:rsid w:val="00754994"/>
    <w:rsid w:val="00755908"/>
    <w:rsid w:val="00775699"/>
    <w:rsid w:val="007834DF"/>
    <w:rsid w:val="00783FF1"/>
    <w:rsid w:val="007A7693"/>
    <w:rsid w:val="007B112D"/>
    <w:rsid w:val="007B4BE8"/>
    <w:rsid w:val="007B6BA5"/>
    <w:rsid w:val="007C3390"/>
    <w:rsid w:val="007C4F4B"/>
    <w:rsid w:val="007D7756"/>
    <w:rsid w:val="007E61A6"/>
    <w:rsid w:val="007F4384"/>
    <w:rsid w:val="007F6462"/>
    <w:rsid w:val="007F6611"/>
    <w:rsid w:val="00806182"/>
    <w:rsid w:val="0081713B"/>
    <w:rsid w:val="008242D7"/>
    <w:rsid w:val="00832D01"/>
    <w:rsid w:val="00843F4B"/>
    <w:rsid w:val="00847359"/>
    <w:rsid w:val="00856B2C"/>
    <w:rsid w:val="008744E1"/>
    <w:rsid w:val="00884139"/>
    <w:rsid w:val="00890218"/>
    <w:rsid w:val="008979B1"/>
    <w:rsid w:val="008A036E"/>
    <w:rsid w:val="008A206A"/>
    <w:rsid w:val="008A6B25"/>
    <w:rsid w:val="008A6C4F"/>
    <w:rsid w:val="008A7DCC"/>
    <w:rsid w:val="008B0626"/>
    <w:rsid w:val="008B2335"/>
    <w:rsid w:val="008C0F95"/>
    <w:rsid w:val="008C4EFD"/>
    <w:rsid w:val="008D527B"/>
    <w:rsid w:val="008D7CAB"/>
    <w:rsid w:val="009108FC"/>
    <w:rsid w:val="009175E0"/>
    <w:rsid w:val="009223CA"/>
    <w:rsid w:val="009369F6"/>
    <w:rsid w:val="00940F93"/>
    <w:rsid w:val="009433F5"/>
    <w:rsid w:val="009550FF"/>
    <w:rsid w:val="009603EF"/>
    <w:rsid w:val="009617AE"/>
    <w:rsid w:val="009666D4"/>
    <w:rsid w:val="00966F85"/>
    <w:rsid w:val="00970811"/>
    <w:rsid w:val="009829A1"/>
    <w:rsid w:val="00982BB5"/>
    <w:rsid w:val="00991F57"/>
    <w:rsid w:val="009B07BD"/>
    <w:rsid w:val="009B4A1B"/>
    <w:rsid w:val="009C0EE8"/>
    <w:rsid w:val="009C14AA"/>
    <w:rsid w:val="009C28F9"/>
    <w:rsid w:val="009C4BA1"/>
    <w:rsid w:val="009C586B"/>
    <w:rsid w:val="009F43A6"/>
    <w:rsid w:val="009F71FB"/>
    <w:rsid w:val="00A000E3"/>
    <w:rsid w:val="00A01489"/>
    <w:rsid w:val="00A61CCD"/>
    <w:rsid w:val="00A72F22"/>
    <w:rsid w:val="00A748A6"/>
    <w:rsid w:val="00A776B4"/>
    <w:rsid w:val="00A82B2B"/>
    <w:rsid w:val="00A94361"/>
    <w:rsid w:val="00AB4B4D"/>
    <w:rsid w:val="00AC1552"/>
    <w:rsid w:val="00AE31A1"/>
    <w:rsid w:val="00B036CF"/>
    <w:rsid w:val="00B03DB4"/>
    <w:rsid w:val="00B06775"/>
    <w:rsid w:val="00B22288"/>
    <w:rsid w:val="00B23A14"/>
    <w:rsid w:val="00B30179"/>
    <w:rsid w:val="00B33B2A"/>
    <w:rsid w:val="00B34B7A"/>
    <w:rsid w:val="00B35EDE"/>
    <w:rsid w:val="00B40E6F"/>
    <w:rsid w:val="00B41DA0"/>
    <w:rsid w:val="00B47EBB"/>
    <w:rsid w:val="00B51A66"/>
    <w:rsid w:val="00B56292"/>
    <w:rsid w:val="00B56E9C"/>
    <w:rsid w:val="00B64B1F"/>
    <w:rsid w:val="00B6553F"/>
    <w:rsid w:val="00B70FE7"/>
    <w:rsid w:val="00B73657"/>
    <w:rsid w:val="00B80402"/>
    <w:rsid w:val="00B81E12"/>
    <w:rsid w:val="00B93822"/>
    <w:rsid w:val="00B96CD3"/>
    <w:rsid w:val="00BA6E94"/>
    <w:rsid w:val="00BC0A49"/>
    <w:rsid w:val="00BC1A04"/>
    <w:rsid w:val="00BC479F"/>
    <w:rsid w:val="00BC74E9"/>
    <w:rsid w:val="00BD3062"/>
    <w:rsid w:val="00BD43ED"/>
    <w:rsid w:val="00BE0DE9"/>
    <w:rsid w:val="00BE55FF"/>
    <w:rsid w:val="00BF1BB3"/>
    <w:rsid w:val="00BF68A8"/>
    <w:rsid w:val="00C02092"/>
    <w:rsid w:val="00C04E0B"/>
    <w:rsid w:val="00C066E7"/>
    <w:rsid w:val="00C14ECE"/>
    <w:rsid w:val="00C201E2"/>
    <w:rsid w:val="00C260DA"/>
    <w:rsid w:val="00C3206E"/>
    <w:rsid w:val="00C37671"/>
    <w:rsid w:val="00C45A00"/>
    <w:rsid w:val="00C463DD"/>
    <w:rsid w:val="00C4724C"/>
    <w:rsid w:val="00C475AB"/>
    <w:rsid w:val="00C53A77"/>
    <w:rsid w:val="00C6031E"/>
    <w:rsid w:val="00C614B5"/>
    <w:rsid w:val="00C629A0"/>
    <w:rsid w:val="00C6327A"/>
    <w:rsid w:val="00C745C3"/>
    <w:rsid w:val="00C75FB9"/>
    <w:rsid w:val="00C82C46"/>
    <w:rsid w:val="00CA41CB"/>
    <w:rsid w:val="00CC00AC"/>
    <w:rsid w:val="00CC24D2"/>
    <w:rsid w:val="00CC2FE5"/>
    <w:rsid w:val="00CD61F2"/>
    <w:rsid w:val="00CE2666"/>
    <w:rsid w:val="00CE4A8F"/>
    <w:rsid w:val="00CE7060"/>
    <w:rsid w:val="00CF5A06"/>
    <w:rsid w:val="00D02E16"/>
    <w:rsid w:val="00D07474"/>
    <w:rsid w:val="00D2031B"/>
    <w:rsid w:val="00D218CB"/>
    <w:rsid w:val="00D21CFC"/>
    <w:rsid w:val="00D25FE2"/>
    <w:rsid w:val="00D408D9"/>
    <w:rsid w:val="00D43252"/>
    <w:rsid w:val="00D43416"/>
    <w:rsid w:val="00D51E7F"/>
    <w:rsid w:val="00D53798"/>
    <w:rsid w:val="00D71915"/>
    <w:rsid w:val="00D7767E"/>
    <w:rsid w:val="00D84D5C"/>
    <w:rsid w:val="00D94142"/>
    <w:rsid w:val="00D9531B"/>
    <w:rsid w:val="00D978C6"/>
    <w:rsid w:val="00DA3C1C"/>
    <w:rsid w:val="00DA6DAD"/>
    <w:rsid w:val="00DB56E2"/>
    <w:rsid w:val="00DD1A91"/>
    <w:rsid w:val="00DE0130"/>
    <w:rsid w:val="00DE19AC"/>
    <w:rsid w:val="00DE545D"/>
    <w:rsid w:val="00DE5841"/>
    <w:rsid w:val="00DF1894"/>
    <w:rsid w:val="00E01073"/>
    <w:rsid w:val="00E01C28"/>
    <w:rsid w:val="00E109FB"/>
    <w:rsid w:val="00E15DAE"/>
    <w:rsid w:val="00E20A6E"/>
    <w:rsid w:val="00E24EE5"/>
    <w:rsid w:val="00E61D3D"/>
    <w:rsid w:val="00E63389"/>
    <w:rsid w:val="00E649D1"/>
    <w:rsid w:val="00E71BC8"/>
    <w:rsid w:val="00E7260F"/>
    <w:rsid w:val="00E82D63"/>
    <w:rsid w:val="00E875F3"/>
    <w:rsid w:val="00E926B5"/>
    <w:rsid w:val="00E96630"/>
    <w:rsid w:val="00E96905"/>
    <w:rsid w:val="00EA0DA9"/>
    <w:rsid w:val="00EB5A81"/>
    <w:rsid w:val="00EC20C5"/>
    <w:rsid w:val="00EC43B8"/>
    <w:rsid w:val="00ED32A3"/>
    <w:rsid w:val="00ED616A"/>
    <w:rsid w:val="00ED7A2A"/>
    <w:rsid w:val="00EF1D7F"/>
    <w:rsid w:val="00EF4913"/>
    <w:rsid w:val="00F01473"/>
    <w:rsid w:val="00F32B3C"/>
    <w:rsid w:val="00F34583"/>
    <w:rsid w:val="00F46EB5"/>
    <w:rsid w:val="00F504DF"/>
    <w:rsid w:val="00F701F8"/>
    <w:rsid w:val="00F81D7A"/>
    <w:rsid w:val="00FA271C"/>
    <w:rsid w:val="00FA2CC3"/>
    <w:rsid w:val="00FC68B7"/>
    <w:rsid w:val="00FD17B4"/>
    <w:rsid w:val="00FE2919"/>
    <w:rsid w:val="00FE63B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8E59"/>
  <w15:docId w15:val="{AAE03638-9236-4DCC-BB7D-112CBF98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D3D"/>
    <w:pPr>
      <w:suppressAutoHyphens/>
      <w:spacing w:line="240" w:lineRule="atLeast"/>
    </w:pPr>
    <w:rPr>
      <w:lang w:eastAsia="en-US"/>
    </w:rPr>
  </w:style>
  <w:style w:type="paragraph" w:styleId="Heading1">
    <w:name w:val="heading 1"/>
    <w:aliases w:val="Table_G"/>
    <w:basedOn w:val="SingleTxtG"/>
    <w:next w:val="SingleTxtG"/>
    <w:qFormat/>
    <w:rsid w:val="00E61D3D"/>
    <w:pPr>
      <w:spacing w:after="0" w:line="240" w:lineRule="auto"/>
      <w:ind w:right="0"/>
      <w:jc w:val="left"/>
      <w:outlineLvl w:val="0"/>
    </w:pPr>
  </w:style>
  <w:style w:type="paragraph" w:styleId="Heading2">
    <w:name w:val="heading 2"/>
    <w:basedOn w:val="Normal"/>
    <w:next w:val="Normal"/>
    <w:qFormat/>
    <w:rsid w:val="00E61D3D"/>
    <w:pPr>
      <w:spacing w:line="240" w:lineRule="auto"/>
      <w:outlineLvl w:val="1"/>
    </w:pPr>
  </w:style>
  <w:style w:type="paragraph" w:styleId="Heading3">
    <w:name w:val="heading 3"/>
    <w:basedOn w:val="Normal"/>
    <w:next w:val="Normal"/>
    <w:qFormat/>
    <w:rsid w:val="00E61D3D"/>
    <w:pPr>
      <w:spacing w:line="240" w:lineRule="auto"/>
      <w:outlineLvl w:val="2"/>
    </w:pPr>
  </w:style>
  <w:style w:type="paragraph" w:styleId="Heading4">
    <w:name w:val="heading 4"/>
    <w:basedOn w:val="Normal"/>
    <w:next w:val="Normal"/>
    <w:qFormat/>
    <w:rsid w:val="00E61D3D"/>
    <w:pPr>
      <w:spacing w:line="240" w:lineRule="auto"/>
      <w:outlineLvl w:val="3"/>
    </w:pPr>
  </w:style>
  <w:style w:type="paragraph" w:styleId="Heading5">
    <w:name w:val="heading 5"/>
    <w:basedOn w:val="Normal"/>
    <w:next w:val="Normal"/>
    <w:qFormat/>
    <w:rsid w:val="00E61D3D"/>
    <w:pPr>
      <w:spacing w:line="240" w:lineRule="auto"/>
      <w:outlineLvl w:val="4"/>
    </w:pPr>
  </w:style>
  <w:style w:type="paragraph" w:styleId="Heading6">
    <w:name w:val="heading 6"/>
    <w:basedOn w:val="Normal"/>
    <w:next w:val="Normal"/>
    <w:qFormat/>
    <w:rsid w:val="00E61D3D"/>
    <w:pPr>
      <w:spacing w:line="240" w:lineRule="auto"/>
      <w:outlineLvl w:val="5"/>
    </w:pPr>
  </w:style>
  <w:style w:type="paragraph" w:styleId="Heading7">
    <w:name w:val="heading 7"/>
    <w:basedOn w:val="Normal"/>
    <w:next w:val="Normal"/>
    <w:qFormat/>
    <w:rsid w:val="00E61D3D"/>
    <w:pPr>
      <w:spacing w:line="240" w:lineRule="auto"/>
      <w:outlineLvl w:val="6"/>
    </w:pPr>
  </w:style>
  <w:style w:type="paragraph" w:styleId="Heading8">
    <w:name w:val="heading 8"/>
    <w:basedOn w:val="Normal"/>
    <w:next w:val="Normal"/>
    <w:qFormat/>
    <w:rsid w:val="00E61D3D"/>
    <w:pPr>
      <w:spacing w:line="240" w:lineRule="auto"/>
      <w:outlineLvl w:val="7"/>
    </w:pPr>
  </w:style>
  <w:style w:type="paragraph" w:styleId="Heading9">
    <w:name w:val="heading 9"/>
    <w:basedOn w:val="Normal"/>
    <w:next w:val="Normal"/>
    <w:qFormat/>
    <w:rsid w:val="00E61D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61D3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qFormat/>
    <w:rsid w:val="00D9531B"/>
    <w:pPr>
      <w:kinsoku w:val="0"/>
      <w:overflowPunct w:val="0"/>
      <w:autoSpaceDE w:val="0"/>
      <w:autoSpaceDN w:val="0"/>
      <w:adjustRightInd w:val="0"/>
      <w:snapToGrid w:val="0"/>
      <w:spacing w:after="120"/>
      <w:ind w:left="1134" w:right="1134"/>
      <w:jc w:val="both"/>
    </w:pPr>
    <w:rPr>
      <w:rFonts w:eastAsia="SimSun"/>
      <w:lang w:val="en-US" w:eastAsia="zh-CN"/>
    </w:rPr>
  </w:style>
  <w:style w:type="character" w:styleId="PageNumber">
    <w:name w:val="page number"/>
    <w:aliases w:val="7_G"/>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rsid w:val="00E61D3D"/>
    <w:rPr>
      <w:rFonts w:ascii="Times New Roman" w:hAnsi="Times New Roman"/>
      <w:sz w:val="18"/>
      <w:vertAlign w:val="superscript"/>
    </w:rPr>
  </w:style>
  <w:style w:type="character" w:styleId="FootnoteReference">
    <w:name w:val="footnote reference"/>
    <w:aliases w:val="4_G"/>
    <w:qFormat/>
    <w:rsid w:val="00D9531B"/>
    <w:rPr>
      <w:rFonts w:ascii="Times New Roman" w:hAnsi="Times New Roman"/>
      <w:sz w:val="18"/>
      <w:vertAlign w:val="superscript"/>
    </w:rPr>
  </w:style>
  <w:style w:type="paragraph" w:styleId="FootnoteText">
    <w:name w:val="footnote text"/>
    <w:aliases w:val="5_G"/>
    <w:basedOn w:val="Normal"/>
    <w:link w:val="FootnoteTextChar"/>
    <w:qFormat/>
    <w:rsid w:val="00D9531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rsid w:val="00E61D3D"/>
    <w:pPr>
      <w:numPr>
        <w:numId w:val="14"/>
      </w:numPr>
      <w:spacing w:after="120"/>
      <w:ind w:right="1134"/>
      <w:jc w:val="both"/>
    </w:pPr>
  </w:style>
  <w:style w:type="paragraph" w:styleId="EndnoteText">
    <w:name w:val="endnote text"/>
    <w:aliases w:val="2_G"/>
    <w:basedOn w:val="FootnoteText"/>
    <w:rsid w:val="00E61D3D"/>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E61D3D"/>
    <w:pPr>
      <w:numPr>
        <w:numId w:val="15"/>
      </w:numPr>
      <w:spacing w:after="120"/>
      <w:ind w:right="1134"/>
      <w:jc w:val="both"/>
    </w:pPr>
  </w:style>
  <w:style w:type="paragraph" w:customStyle="1" w:styleId="H1G">
    <w:name w:val="_ H_1_G"/>
    <w:basedOn w:val="Normal"/>
    <w:next w:val="Normal"/>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E61D3D"/>
    <w:pPr>
      <w:spacing w:line="240" w:lineRule="auto"/>
    </w:pPr>
    <w:rPr>
      <w:sz w:val="16"/>
    </w:rPr>
  </w:style>
  <w:style w:type="paragraph" w:styleId="Header">
    <w:name w:val="header"/>
    <w:aliases w:val="6_G"/>
    <w:basedOn w:val="Normal"/>
    <w:rsid w:val="00E61D3D"/>
    <w:pPr>
      <w:pBdr>
        <w:bottom w:val="single" w:sz="4" w:space="4" w:color="auto"/>
      </w:pBdr>
      <w:spacing w:line="240" w:lineRule="auto"/>
    </w:pPr>
    <w:rPr>
      <w:b/>
      <w:sz w:val="18"/>
    </w:rPr>
  </w:style>
  <w:style w:type="character" w:customStyle="1" w:styleId="FooterChar">
    <w:name w:val="Footer Char"/>
    <w:aliases w:val="3_G Char"/>
    <w:link w:val="Footer"/>
    <w:rsid w:val="00E96905"/>
    <w:rPr>
      <w:sz w:val="16"/>
      <w:lang w:eastAsia="en-US"/>
    </w:rPr>
  </w:style>
  <w:style w:type="paragraph" w:customStyle="1" w:styleId="HM">
    <w:name w:val="_ H __M"/>
    <w:basedOn w:val="Normal"/>
    <w:next w:val="Normal"/>
    <w:rsid w:val="003E3C4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60" w:lineRule="exact"/>
      <w:outlineLvl w:val="0"/>
    </w:pPr>
    <w:rPr>
      <w:rFonts w:eastAsia="SimSun"/>
      <w:b/>
      <w:spacing w:val="-3"/>
      <w:w w:val="99"/>
      <w:kern w:val="14"/>
      <w:sz w:val="34"/>
      <w:lang w:eastAsia="zh-CN"/>
    </w:rPr>
  </w:style>
  <w:style w:type="paragraph" w:customStyle="1" w:styleId="Default">
    <w:name w:val="Default"/>
    <w:rsid w:val="0009753D"/>
    <w:pPr>
      <w:autoSpaceDE w:val="0"/>
      <w:autoSpaceDN w:val="0"/>
      <w:adjustRightInd w:val="0"/>
    </w:pPr>
    <w:rPr>
      <w:rFonts w:ascii="Arial" w:eastAsia="SimSun" w:hAnsi="Arial" w:cs="Arial"/>
      <w:color w:val="000000"/>
      <w:sz w:val="24"/>
      <w:szCs w:val="24"/>
    </w:rPr>
  </w:style>
  <w:style w:type="character" w:customStyle="1" w:styleId="SingleTxtGChar">
    <w:name w:val="_ Single Txt_G Char"/>
    <w:link w:val="SingleTxtG"/>
    <w:locked/>
    <w:rsid w:val="008D7CAB"/>
    <w:rPr>
      <w:rFonts w:eastAsia="SimSun"/>
      <w:lang w:val="en-US" w:eastAsia="zh-CN"/>
    </w:rPr>
  </w:style>
  <w:style w:type="paragraph" w:styleId="CommentSubject">
    <w:name w:val="annotation subject"/>
    <w:basedOn w:val="CommentText"/>
    <w:next w:val="CommentText"/>
    <w:link w:val="CommentSubjectChar"/>
    <w:rsid w:val="00174FBD"/>
    <w:rPr>
      <w:b/>
      <w:bCs/>
    </w:rPr>
  </w:style>
  <w:style w:type="character" w:customStyle="1" w:styleId="CommentTextChar">
    <w:name w:val="Comment Text Char"/>
    <w:link w:val="CommentText"/>
    <w:semiHidden/>
    <w:rsid w:val="00174FBD"/>
    <w:rPr>
      <w:lang w:eastAsia="en-US"/>
    </w:rPr>
  </w:style>
  <w:style w:type="character" w:customStyle="1" w:styleId="CommentSubjectChar">
    <w:name w:val="Comment Subject Char"/>
    <w:link w:val="CommentSubject"/>
    <w:rsid w:val="00174FBD"/>
    <w:rPr>
      <w:b/>
      <w:bCs/>
      <w:lang w:eastAsia="en-US"/>
    </w:rPr>
  </w:style>
  <w:style w:type="paragraph" w:styleId="BalloonText">
    <w:name w:val="Balloon Text"/>
    <w:basedOn w:val="Normal"/>
    <w:link w:val="BalloonTextChar"/>
    <w:rsid w:val="00174FBD"/>
    <w:pPr>
      <w:spacing w:line="240" w:lineRule="auto"/>
    </w:pPr>
    <w:rPr>
      <w:rFonts w:ascii="Tahoma" w:hAnsi="Tahoma" w:cs="Tahoma"/>
      <w:sz w:val="16"/>
      <w:szCs w:val="16"/>
    </w:rPr>
  </w:style>
  <w:style w:type="character" w:customStyle="1" w:styleId="BalloonTextChar">
    <w:name w:val="Balloon Text Char"/>
    <w:link w:val="BalloonText"/>
    <w:rsid w:val="00174FBD"/>
    <w:rPr>
      <w:rFonts w:ascii="Tahoma" w:hAnsi="Tahoma" w:cs="Tahoma"/>
      <w:sz w:val="16"/>
      <w:szCs w:val="16"/>
      <w:lang w:eastAsia="en-US"/>
    </w:rPr>
  </w:style>
  <w:style w:type="character" w:customStyle="1" w:styleId="FootnoteTextChar">
    <w:name w:val="Footnote Text Char"/>
    <w:aliases w:val="5_G Char"/>
    <w:link w:val="FootnoteText"/>
    <w:rsid w:val="00424EDF"/>
    <w:rPr>
      <w:rFonts w:eastAsia="SimSun"/>
      <w:sz w:val="18"/>
      <w:lang w:val="en-US" w:eastAsia="zh-CN"/>
    </w:rPr>
  </w:style>
  <w:style w:type="paragraph" w:styleId="Revision">
    <w:name w:val="Revision"/>
    <w:hidden/>
    <w:uiPriority w:val="99"/>
    <w:semiHidden/>
    <w:rsid w:val="002302C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EDAW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C1037-AB35-4844-9E64-0CEB6189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CEDAW_E</Template>
  <TotalTime>1</TotalTime>
  <Pages>3</Pages>
  <Words>7871</Words>
  <Characters>44868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Anne Kawuki</dc:creator>
  <cp:lastModifiedBy>Sarah Willig</cp:lastModifiedBy>
  <cp:revision>2</cp:revision>
  <cp:lastPrinted>2015-12-23T16:13:00Z</cp:lastPrinted>
  <dcterms:created xsi:type="dcterms:W3CDTF">2019-01-03T23:05:00Z</dcterms:created>
  <dcterms:modified xsi:type="dcterms:W3CDTF">2019-01-03T23:05:00Z</dcterms:modified>
</cp:coreProperties>
</file>