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214E11" w14:paraId="5344EE8D" w14:textId="77777777">
        <w:trPr>
          <w:cantSplit/>
          <w:trHeight w:hRule="exact" w:val="851"/>
        </w:trPr>
        <w:tc>
          <w:tcPr>
            <w:tcW w:w="1276" w:type="dxa"/>
            <w:tcBorders>
              <w:bottom w:val="single" w:sz="4" w:space="0" w:color="auto"/>
            </w:tcBorders>
            <w:vAlign w:val="bottom"/>
          </w:tcPr>
          <w:p w14:paraId="4C577FA5" w14:textId="77777777" w:rsidR="00B56E9C" w:rsidRDefault="00B56E9C" w:rsidP="00B6553F">
            <w:pPr>
              <w:spacing w:after="80"/>
            </w:pPr>
          </w:p>
        </w:tc>
        <w:tc>
          <w:tcPr>
            <w:tcW w:w="2268" w:type="dxa"/>
            <w:tcBorders>
              <w:bottom w:val="single" w:sz="4" w:space="0" w:color="auto"/>
            </w:tcBorders>
            <w:vAlign w:val="bottom"/>
          </w:tcPr>
          <w:p w14:paraId="53C8C40B" w14:textId="77777777" w:rsidR="00B56E9C" w:rsidRPr="00214E11" w:rsidRDefault="00B56E9C" w:rsidP="00B6553F">
            <w:pPr>
              <w:spacing w:after="80" w:line="300" w:lineRule="exact"/>
              <w:rPr>
                <w:b/>
                <w:sz w:val="24"/>
                <w:szCs w:val="24"/>
              </w:rPr>
            </w:pPr>
            <w:r w:rsidRPr="00214E11">
              <w:rPr>
                <w:sz w:val="28"/>
                <w:szCs w:val="28"/>
              </w:rPr>
              <w:t>United Nations</w:t>
            </w:r>
          </w:p>
        </w:tc>
        <w:tc>
          <w:tcPr>
            <w:tcW w:w="6095" w:type="dxa"/>
            <w:gridSpan w:val="2"/>
            <w:tcBorders>
              <w:bottom w:val="single" w:sz="4" w:space="0" w:color="auto"/>
            </w:tcBorders>
            <w:vAlign w:val="bottom"/>
          </w:tcPr>
          <w:p w14:paraId="5815B170" w14:textId="15D711F3" w:rsidR="00B56E9C" w:rsidRPr="00214E11" w:rsidRDefault="00FA222B" w:rsidP="00C96685">
            <w:pPr>
              <w:jc w:val="right"/>
            </w:pPr>
            <w:r w:rsidRPr="00214E11">
              <w:rPr>
                <w:sz w:val="40"/>
              </w:rPr>
              <w:t>CCPR</w:t>
            </w:r>
            <w:r w:rsidRPr="00214E11">
              <w:t>/C/</w:t>
            </w:r>
            <w:r w:rsidR="005148E1" w:rsidRPr="00214E11">
              <w:t>11</w:t>
            </w:r>
            <w:r w:rsidR="00272E2E">
              <w:t>7</w:t>
            </w:r>
            <w:r w:rsidR="005148E1" w:rsidRPr="00214E11">
              <w:t>/</w:t>
            </w:r>
            <w:r w:rsidRPr="00214E11">
              <w:t>D/22</w:t>
            </w:r>
            <w:r w:rsidR="00272E2E">
              <w:t>19</w:t>
            </w:r>
            <w:r w:rsidRPr="00214E11">
              <w:t>/2012</w:t>
            </w:r>
          </w:p>
        </w:tc>
      </w:tr>
      <w:tr w:rsidR="00B56E9C" w:rsidRPr="00214E11" w14:paraId="2ED32921" w14:textId="77777777">
        <w:trPr>
          <w:cantSplit/>
          <w:trHeight w:hRule="exact" w:val="2835"/>
        </w:trPr>
        <w:tc>
          <w:tcPr>
            <w:tcW w:w="1276" w:type="dxa"/>
            <w:tcBorders>
              <w:top w:val="single" w:sz="4" w:space="0" w:color="auto"/>
              <w:bottom w:val="single" w:sz="12" w:space="0" w:color="auto"/>
            </w:tcBorders>
          </w:tcPr>
          <w:p w14:paraId="16808166" w14:textId="77777777" w:rsidR="00B56E9C" w:rsidRPr="00214E11" w:rsidRDefault="00891D98" w:rsidP="00B6553F">
            <w:pPr>
              <w:spacing w:before="120"/>
            </w:pPr>
            <w:r>
              <w:rPr>
                <w:noProof/>
                <w:lang w:val="en-US" w:eastAsia="zh-CN"/>
              </w:rPr>
              <w:drawing>
                <wp:inline distT="0" distB="0" distL="0" distR="0" wp14:anchorId="1C38CC61" wp14:editId="4A055C89">
                  <wp:extent cx="713740" cy="588645"/>
                  <wp:effectExtent l="0" t="0" r="0"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70C4E99" w14:textId="76D86068" w:rsidR="007758EE" w:rsidRPr="00214E11" w:rsidRDefault="00B56E9C" w:rsidP="000E473A">
            <w:pPr>
              <w:spacing w:before="120" w:line="380" w:lineRule="exact"/>
              <w:rPr>
                <w:sz w:val="34"/>
              </w:rPr>
            </w:pPr>
            <w:r w:rsidRPr="00214E11">
              <w:rPr>
                <w:b/>
                <w:sz w:val="34"/>
                <w:szCs w:val="40"/>
              </w:rPr>
              <w:t xml:space="preserve">International </w:t>
            </w:r>
            <w:r w:rsidR="00060C3A" w:rsidRPr="00214E11">
              <w:rPr>
                <w:b/>
                <w:sz w:val="34"/>
                <w:szCs w:val="40"/>
              </w:rPr>
              <w:t>Covenant on</w:t>
            </w:r>
            <w:r w:rsidR="00060C3A" w:rsidRPr="00214E11">
              <w:rPr>
                <w:b/>
                <w:sz w:val="34"/>
                <w:szCs w:val="40"/>
              </w:rPr>
              <w:br/>
              <w:t>Civil and Political R</w:t>
            </w:r>
            <w:r w:rsidR="00703577" w:rsidRPr="00214E11">
              <w:rPr>
                <w:b/>
                <w:sz w:val="34"/>
                <w:szCs w:val="40"/>
              </w:rPr>
              <w:t>ights</w:t>
            </w:r>
          </w:p>
        </w:tc>
        <w:tc>
          <w:tcPr>
            <w:tcW w:w="2835" w:type="dxa"/>
            <w:tcBorders>
              <w:top w:val="single" w:sz="4" w:space="0" w:color="auto"/>
              <w:bottom w:val="single" w:sz="12" w:space="0" w:color="auto"/>
            </w:tcBorders>
          </w:tcPr>
          <w:p w14:paraId="5E303D1D" w14:textId="5D5445E2" w:rsidR="00891D98" w:rsidRPr="007F5E52" w:rsidRDefault="00891D98" w:rsidP="007F5E52">
            <w:pPr>
              <w:spacing w:before="240" w:line="240" w:lineRule="exact"/>
              <w:rPr>
                <w:sz w:val="24"/>
                <w:szCs w:val="24"/>
                <w:lang w:eastAsia="en-GB"/>
              </w:rPr>
            </w:pPr>
            <w:r>
              <w:t xml:space="preserve">Distr.: </w:t>
            </w:r>
            <w:r w:rsidR="00AD5C02">
              <w:t>General</w:t>
            </w:r>
          </w:p>
          <w:p w14:paraId="7BA57333" w14:textId="7D87597F" w:rsidR="00891D98" w:rsidRDefault="006F5776" w:rsidP="005A51E5">
            <w:pPr>
              <w:spacing w:line="240" w:lineRule="exact"/>
            </w:pPr>
            <w:r>
              <w:t>2</w:t>
            </w:r>
            <w:r w:rsidR="005B6A73">
              <w:t>6</w:t>
            </w:r>
            <w:r w:rsidR="009B7DAE">
              <w:t xml:space="preserve"> </w:t>
            </w:r>
            <w:r>
              <w:t>September</w:t>
            </w:r>
            <w:r w:rsidR="00B04197">
              <w:t xml:space="preserve"> </w:t>
            </w:r>
            <w:r w:rsidR="00891D98">
              <w:t>201</w:t>
            </w:r>
            <w:r w:rsidR="000C67BE">
              <w:t>6</w:t>
            </w:r>
          </w:p>
          <w:p w14:paraId="15415A6D" w14:textId="77777777" w:rsidR="007F5E52" w:rsidRDefault="007F5E52" w:rsidP="000C67BE">
            <w:pPr>
              <w:spacing w:line="240" w:lineRule="exact"/>
            </w:pPr>
          </w:p>
          <w:p w14:paraId="0736B47C" w14:textId="77777777" w:rsidR="00891D98" w:rsidRDefault="00891D98" w:rsidP="000C67BE">
            <w:pPr>
              <w:spacing w:line="240" w:lineRule="exact"/>
            </w:pPr>
            <w:r>
              <w:t>Original: English</w:t>
            </w:r>
          </w:p>
          <w:p w14:paraId="58B6A4F4" w14:textId="3FFDC152" w:rsidR="000C67BE" w:rsidRDefault="000C67BE" w:rsidP="000C67BE">
            <w:pPr>
              <w:spacing w:line="240" w:lineRule="exact"/>
            </w:pPr>
          </w:p>
          <w:p w14:paraId="71E30F69" w14:textId="77777777" w:rsidR="00FA222B" w:rsidRPr="00214E11" w:rsidRDefault="00FA222B" w:rsidP="00891D98">
            <w:pPr>
              <w:spacing w:line="240" w:lineRule="exact"/>
            </w:pPr>
          </w:p>
        </w:tc>
      </w:tr>
    </w:tbl>
    <w:p w14:paraId="75DDA5BC" w14:textId="77777777" w:rsidR="00821C41" w:rsidRPr="00821C41" w:rsidRDefault="00821C41" w:rsidP="00821C41">
      <w:pPr>
        <w:spacing w:line="20" w:lineRule="exact"/>
        <w:rPr>
          <w:b/>
          <w:sz w:val="2"/>
          <w:szCs w:val="24"/>
        </w:rPr>
      </w:pPr>
    </w:p>
    <w:p w14:paraId="018C24D5" w14:textId="71CA043D" w:rsidR="00D7231A" w:rsidRPr="007F5E52" w:rsidRDefault="00891D98" w:rsidP="005A51E5">
      <w:pPr>
        <w:spacing w:before="120"/>
        <w:rPr>
          <w:b/>
          <w:bCs/>
        </w:rPr>
      </w:pPr>
      <w:r w:rsidRPr="00A36331">
        <w:rPr>
          <w:b/>
          <w:sz w:val="24"/>
          <w:szCs w:val="24"/>
        </w:rPr>
        <w:t>Human Rights Committee</w:t>
      </w:r>
    </w:p>
    <w:p w14:paraId="21D55FDB" w14:textId="4D2F3F39" w:rsidR="00FA222B" w:rsidRPr="00214E11" w:rsidRDefault="00FA222B" w:rsidP="006F5776">
      <w:pPr>
        <w:pStyle w:val="HChG"/>
      </w:pPr>
      <w:r w:rsidRPr="00214E11">
        <w:tab/>
      </w:r>
      <w:r w:rsidRPr="00214E11">
        <w:tab/>
      </w:r>
      <w:r w:rsidR="00DF23AC" w:rsidRPr="00686139">
        <w:t xml:space="preserve">Views adopted by the </w:t>
      </w:r>
      <w:r w:rsidR="00DF23AC" w:rsidRPr="0018753A">
        <w:t>Committee</w:t>
      </w:r>
      <w:r w:rsidR="00DF23AC" w:rsidRPr="00686139">
        <w:t xml:space="preserve"> under article 5</w:t>
      </w:r>
      <w:r w:rsidR="006F5776">
        <w:t xml:space="preserve"> </w:t>
      </w:r>
      <w:r w:rsidR="00DF23AC" w:rsidRPr="00686139">
        <w:t>(4)</w:t>
      </w:r>
      <w:r w:rsidR="005063E7">
        <w:t xml:space="preserve"> </w:t>
      </w:r>
      <w:r w:rsidR="00DF23AC" w:rsidRPr="00686139">
        <w:t>of the Optional Protocol, concerning communication No.</w:t>
      </w:r>
      <w:r w:rsidR="006F5776">
        <w:t> </w:t>
      </w:r>
      <w:r w:rsidR="00DF23AC">
        <w:t>2219/2012</w:t>
      </w:r>
      <w:r w:rsidR="00DF23AC" w:rsidRPr="005A51E5">
        <w:rPr>
          <w:rStyle w:val="FootnoteReference"/>
          <w:b w:val="0"/>
          <w:bCs/>
          <w:sz w:val="20"/>
          <w:vertAlign w:val="baseline"/>
        </w:rPr>
        <w:footnoteReference w:customMarkFollows="1" w:id="2"/>
        <w:t>*</w:t>
      </w:r>
      <w:r w:rsidR="00DF23AC" w:rsidRPr="003F3747">
        <w:rPr>
          <w:b w:val="0"/>
          <w:position w:val="4"/>
          <w:sz w:val="20"/>
        </w:rPr>
        <w:t>,</w:t>
      </w:r>
      <w:r w:rsidR="00DF23AC" w:rsidRPr="003F3747">
        <w:rPr>
          <w:b w:val="0"/>
          <w:sz w:val="20"/>
        </w:rPr>
        <w:t xml:space="preserve"> </w:t>
      </w:r>
      <w:r w:rsidR="00DF23AC" w:rsidRPr="005A51E5">
        <w:rPr>
          <w:rStyle w:val="FootnoteReference"/>
          <w:b w:val="0"/>
          <w:bCs/>
          <w:sz w:val="20"/>
          <w:vertAlign w:val="baseline"/>
        </w:rPr>
        <w:footnoteReference w:customMarkFollows="1" w:id="3"/>
        <w:t>**</w:t>
      </w:r>
      <w:r w:rsidR="004C75FF">
        <w:rPr>
          <w:b w:val="0"/>
          <w:bCs/>
          <w:sz w:val="20"/>
        </w:rPr>
        <w:t xml:space="preserve"> </w:t>
      </w:r>
    </w:p>
    <w:p w14:paraId="11CB251C" w14:textId="124CCB8E" w:rsidR="00FA222B" w:rsidRPr="00214E11" w:rsidRDefault="006F5776" w:rsidP="006F5776">
      <w:pPr>
        <w:pStyle w:val="SingleTxtG"/>
        <w:ind w:left="4536" w:hanging="3402"/>
        <w:jc w:val="left"/>
        <w:rPr>
          <w:i/>
          <w:lang w:val="x-none"/>
        </w:rPr>
      </w:pPr>
      <w:r>
        <w:rPr>
          <w:i/>
        </w:rPr>
        <w:t>Communication s</w:t>
      </w:r>
      <w:proofErr w:type="spellStart"/>
      <w:r w:rsidR="00FA222B" w:rsidRPr="00214E11">
        <w:rPr>
          <w:i/>
          <w:lang w:val="x-none"/>
        </w:rPr>
        <w:t>ubmitted</w:t>
      </w:r>
      <w:proofErr w:type="spellEnd"/>
      <w:r w:rsidR="00FA222B" w:rsidRPr="00214E11">
        <w:rPr>
          <w:i/>
          <w:lang w:val="x-none"/>
        </w:rPr>
        <w:t xml:space="preserve"> by:</w:t>
      </w:r>
      <w:r w:rsidR="00FA222B" w:rsidRPr="00214E11">
        <w:rPr>
          <w:i/>
          <w:lang w:val="x-none"/>
        </w:rPr>
        <w:tab/>
      </w:r>
      <w:proofErr w:type="spellStart"/>
      <w:r w:rsidR="001852A4" w:rsidRPr="007F5E52">
        <w:t>N</w:t>
      </w:r>
      <w:r w:rsidR="00B04197" w:rsidRPr="007F5E52">
        <w:t>a</w:t>
      </w:r>
      <w:r w:rsidR="001852A4" w:rsidRPr="007F5E52">
        <w:t>vruz</w:t>
      </w:r>
      <w:proofErr w:type="spellEnd"/>
      <w:r w:rsidR="001852A4">
        <w:rPr>
          <w:lang w:val="en-US"/>
        </w:rPr>
        <w:t xml:space="preserve"> </w:t>
      </w:r>
      <w:proofErr w:type="spellStart"/>
      <w:r w:rsidR="00B04197" w:rsidRPr="00B04197">
        <w:rPr>
          <w:lang w:val="en-US"/>
        </w:rPr>
        <w:t>Tahirovich</w:t>
      </w:r>
      <w:proofErr w:type="spellEnd"/>
      <w:r w:rsidR="00B04197" w:rsidRPr="00B04197">
        <w:rPr>
          <w:lang w:val="en-US"/>
        </w:rPr>
        <w:t xml:space="preserve"> </w:t>
      </w:r>
      <w:proofErr w:type="spellStart"/>
      <w:r w:rsidR="0017286E" w:rsidRPr="0017286E">
        <w:rPr>
          <w:lang w:val="en-US"/>
        </w:rPr>
        <w:t>Nasyrlayev</w:t>
      </w:r>
      <w:proofErr w:type="spellEnd"/>
      <w:r w:rsidR="0017286E" w:rsidRPr="0017286E">
        <w:rPr>
          <w:lang w:val="en-US"/>
        </w:rPr>
        <w:t xml:space="preserve"> </w:t>
      </w:r>
      <w:r w:rsidR="00810AB3">
        <w:rPr>
          <w:lang w:val="x-none"/>
        </w:rPr>
        <w:t>(represented by</w:t>
      </w:r>
      <w:r w:rsidR="00810AB3" w:rsidRPr="00F032CC">
        <w:t> </w:t>
      </w:r>
      <w:r w:rsidR="00FA222B" w:rsidRPr="00214E11">
        <w:rPr>
          <w:lang w:val="x-none"/>
        </w:rPr>
        <w:t>counsel</w:t>
      </w:r>
      <w:r w:rsidR="00A541B5">
        <w:rPr>
          <w:lang w:val="en-US"/>
        </w:rPr>
        <w:t>, Shane H. Brady</w:t>
      </w:r>
      <w:r w:rsidR="00FA222B" w:rsidRPr="00214E11">
        <w:rPr>
          <w:lang w:val="x-none"/>
        </w:rPr>
        <w:t>)</w:t>
      </w:r>
    </w:p>
    <w:p w14:paraId="395B60C3" w14:textId="77777777" w:rsidR="00FA222B" w:rsidRPr="00214E11" w:rsidRDefault="00FA222B" w:rsidP="007F5E52">
      <w:pPr>
        <w:pStyle w:val="SingleTxtG"/>
        <w:ind w:left="4536" w:hanging="3402"/>
        <w:jc w:val="left"/>
        <w:rPr>
          <w:i/>
          <w:lang w:val="x-none"/>
        </w:rPr>
      </w:pPr>
      <w:r w:rsidRPr="00214E11">
        <w:rPr>
          <w:i/>
          <w:lang w:val="x-none"/>
        </w:rPr>
        <w:t>Alleged victim:</w:t>
      </w:r>
      <w:r w:rsidRPr="00214E11">
        <w:rPr>
          <w:i/>
          <w:lang w:val="x-none"/>
        </w:rPr>
        <w:tab/>
      </w:r>
      <w:r w:rsidRPr="00214E11">
        <w:rPr>
          <w:lang w:val="x-none"/>
        </w:rPr>
        <w:t>The author</w:t>
      </w:r>
    </w:p>
    <w:p w14:paraId="019BFE86" w14:textId="77777777" w:rsidR="00FA222B" w:rsidRPr="00214E11" w:rsidRDefault="00FA222B" w:rsidP="007F5E52">
      <w:pPr>
        <w:pStyle w:val="SingleTxtG"/>
        <w:ind w:left="4536" w:hanging="3402"/>
        <w:jc w:val="left"/>
        <w:rPr>
          <w:i/>
          <w:lang w:val="x-none"/>
        </w:rPr>
      </w:pPr>
      <w:r w:rsidRPr="00214E11">
        <w:rPr>
          <w:i/>
          <w:lang w:val="x-none"/>
        </w:rPr>
        <w:t>State party:</w:t>
      </w:r>
      <w:r w:rsidRPr="00214E11">
        <w:rPr>
          <w:i/>
          <w:lang w:val="x-none"/>
        </w:rPr>
        <w:tab/>
      </w:r>
      <w:r w:rsidRPr="007F5E52">
        <w:t>Turkmenistan</w:t>
      </w:r>
    </w:p>
    <w:p w14:paraId="587FFA73" w14:textId="77777777" w:rsidR="00FA222B" w:rsidRPr="00214E11" w:rsidRDefault="00FA222B" w:rsidP="007F5E52">
      <w:pPr>
        <w:pStyle w:val="SingleTxtG"/>
        <w:ind w:left="4536" w:hanging="3402"/>
        <w:jc w:val="left"/>
        <w:rPr>
          <w:i/>
        </w:rPr>
      </w:pPr>
      <w:r w:rsidRPr="00214E11">
        <w:rPr>
          <w:i/>
          <w:lang w:val="x-none"/>
        </w:rPr>
        <w:t>Date of communication:</w:t>
      </w:r>
      <w:r w:rsidRPr="00214E11">
        <w:rPr>
          <w:i/>
          <w:lang w:val="x-none"/>
        </w:rPr>
        <w:tab/>
      </w:r>
      <w:r w:rsidRPr="00B04197">
        <w:rPr>
          <w:lang w:val="x-none"/>
        </w:rPr>
        <w:t xml:space="preserve">3 </w:t>
      </w:r>
      <w:r w:rsidRPr="007F5E52">
        <w:t>September</w:t>
      </w:r>
      <w:r w:rsidRPr="00B04197">
        <w:rPr>
          <w:lang w:val="x-none"/>
        </w:rPr>
        <w:t xml:space="preserve"> 2012</w:t>
      </w:r>
      <w:r w:rsidR="005148E1" w:rsidRPr="00214E11">
        <w:rPr>
          <w:lang w:val="x-none"/>
        </w:rPr>
        <w:t xml:space="preserve"> (initial submission)</w:t>
      </w:r>
    </w:p>
    <w:p w14:paraId="40B7E838" w14:textId="7336F2D5" w:rsidR="00FA222B" w:rsidRPr="00214E11" w:rsidRDefault="00FA222B" w:rsidP="006F5776">
      <w:pPr>
        <w:pStyle w:val="SingleTxtG"/>
        <w:ind w:left="4536" w:hanging="3402"/>
        <w:jc w:val="left"/>
        <w:rPr>
          <w:i/>
          <w:lang w:val="x-none"/>
        </w:rPr>
      </w:pPr>
      <w:r w:rsidRPr="00214E11">
        <w:rPr>
          <w:i/>
          <w:lang w:val="x-none"/>
        </w:rPr>
        <w:t>Document references:</w:t>
      </w:r>
      <w:r w:rsidRPr="00214E11">
        <w:rPr>
          <w:i/>
          <w:lang w:val="x-none"/>
        </w:rPr>
        <w:tab/>
      </w:r>
      <w:r w:rsidR="001852A4">
        <w:rPr>
          <w:lang w:val="en-US"/>
        </w:rPr>
        <w:t xml:space="preserve">Decision </w:t>
      </w:r>
      <w:r w:rsidR="001852A4" w:rsidRPr="007F5E52">
        <w:t>taken</w:t>
      </w:r>
      <w:r w:rsidR="001852A4">
        <w:rPr>
          <w:lang w:val="en-US"/>
        </w:rPr>
        <w:t xml:space="preserve"> pursuant to rule 97 of the Committee’s rules of procedure</w:t>
      </w:r>
      <w:r w:rsidRPr="00214E11">
        <w:rPr>
          <w:lang w:val="x-none"/>
        </w:rPr>
        <w:t xml:space="preserve">, transmitted to the State </w:t>
      </w:r>
      <w:r w:rsidRPr="00B04197">
        <w:rPr>
          <w:lang w:val="x-none"/>
        </w:rPr>
        <w:t>party o</w:t>
      </w:r>
      <w:bookmarkStart w:id="0" w:name="_GoBack"/>
      <w:bookmarkEnd w:id="0"/>
      <w:r w:rsidRPr="00B04197">
        <w:rPr>
          <w:lang w:val="x-none"/>
        </w:rPr>
        <w:t xml:space="preserve">n </w:t>
      </w:r>
      <w:r w:rsidR="00936BF8" w:rsidRPr="00B04197">
        <w:t>7</w:t>
      </w:r>
      <w:r w:rsidRPr="00B04197">
        <w:rPr>
          <w:lang w:val="x-none"/>
        </w:rPr>
        <w:t xml:space="preserve"> December 2012</w:t>
      </w:r>
      <w:r w:rsidRPr="00214E11">
        <w:rPr>
          <w:lang w:val="x-none"/>
        </w:rPr>
        <w:t xml:space="preserve"> (not issued in document form)</w:t>
      </w:r>
    </w:p>
    <w:p w14:paraId="6A54747F" w14:textId="1E0ECBEB" w:rsidR="00FA222B" w:rsidRPr="00811A8A" w:rsidRDefault="00FA222B" w:rsidP="007F5E52">
      <w:pPr>
        <w:pStyle w:val="SingleTxtG"/>
        <w:ind w:left="4536" w:hanging="3402"/>
        <w:jc w:val="left"/>
      </w:pPr>
      <w:r w:rsidRPr="00214E11">
        <w:rPr>
          <w:i/>
          <w:lang w:val="x-none"/>
        </w:rPr>
        <w:t>Date of adoption of Views:</w:t>
      </w:r>
      <w:r w:rsidRPr="00214E11">
        <w:rPr>
          <w:i/>
          <w:lang w:val="x-none"/>
        </w:rPr>
        <w:tab/>
      </w:r>
      <w:r w:rsidR="00AD5C02">
        <w:rPr>
          <w:lang w:val="en-US"/>
        </w:rPr>
        <w:t>15</w:t>
      </w:r>
      <w:r w:rsidR="00AD5C02">
        <w:rPr>
          <w:i/>
          <w:lang w:val="en-US"/>
        </w:rPr>
        <w:t xml:space="preserve"> </w:t>
      </w:r>
      <w:r w:rsidR="00811A8A" w:rsidRPr="007F5E52">
        <w:t>July</w:t>
      </w:r>
      <w:r w:rsidR="00811A8A" w:rsidRPr="00811A8A">
        <w:rPr>
          <w:lang w:val="en-US"/>
        </w:rPr>
        <w:t xml:space="preserve"> </w:t>
      </w:r>
      <w:r w:rsidRPr="00811A8A">
        <w:rPr>
          <w:lang w:val="x-none"/>
        </w:rPr>
        <w:t>201</w:t>
      </w:r>
      <w:r w:rsidR="00811A8A" w:rsidRPr="00811A8A">
        <w:rPr>
          <w:lang w:val="en-US"/>
        </w:rPr>
        <w:t>6</w:t>
      </w:r>
    </w:p>
    <w:p w14:paraId="45062944" w14:textId="181436F6" w:rsidR="00FA222B" w:rsidRPr="00214E11" w:rsidRDefault="00FA222B" w:rsidP="00CB3798">
      <w:pPr>
        <w:pStyle w:val="SingleTxtG"/>
        <w:ind w:left="4536" w:hanging="3402"/>
        <w:jc w:val="left"/>
        <w:rPr>
          <w:i/>
          <w:lang w:val="x-none"/>
        </w:rPr>
      </w:pPr>
      <w:r w:rsidRPr="00214E11">
        <w:rPr>
          <w:i/>
          <w:lang w:val="x-none"/>
        </w:rPr>
        <w:t>Subject matter:</w:t>
      </w:r>
      <w:r w:rsidRPr="00214E11">
        <w:rPr>
          <w:i/>
          <w:lang w:val="x-none"/>
        </w:rPr>
        <w:tab/>
      </w:r>
      <w:r w:rsidRPr="00214E11">
        <w:rPr>
          <w:lang w:val="x-none"/>
        </w:rPr>
        <w:t xml:space="preserve">Conscientious </w:t>
      </w:r>
      <w:r w:rsidRPr="007F5E52">
        <w:t>objection</w:t>
      </w:r>
      <w:r w:rsidRPr="00214E11">
        <w:rPr>
          <w:lang w:val="x-none"/>
        </w:rPr>
        <w:t xml:space="preserve"> to compulsory military service</w:t>
      </w:r>
    </w:p>
    <w:p w14:paraId="1869FC95" w14:textId="5A8D3A75" w:rsidR="00FA222B" w:rsidRPr="009126D8" w:rsidRDefault="00FA222B" w:rsidP="006F5776">
      <w:pPr>
        <w:pStyle w:val="SingleTxtG"/>
        <w:ind w:left="4536" w:hanging="3402"/>
        <w:jc w:val="left"/>
        <w:rPr>
          <w:lang w:val="x-none"/>
        </w:rPr>
      </w:pPr>
      <w:r w:rsidRPr="00214E11">
        <w:rPr>
          <w:i/>
          <w:lang w:val="x-none"/>
        </w:rPr>
        <w:t xml:space="preserve">Procedural issue: </w:t>
      </w:r>
      <w:r w:rsidRPr="00214E11">
        <w:rPr>
          <w:i/>
          <w:lang w:val="x-none"/>
        </w:rPr>
        <w:tab/>
      </w:r>
      <w:r w:rsidR="006F5776">
        <w:t>E</w:t>
      </w:r>
      <w:r w:rsidR="0062240A" w:rsidRPr="009126D8">
        <w:t>xhaustion of domestic remedies</w:t>
      </w:r>
    </w:p>
    <w:p w14:paraId="350BA2AB" w14:textId="4F776034" w:rsidR="00FA222B" w:rsidRPr="00214E11" w:rsidRDefault="00FA222B" w:rsidP="00D534C3">
      <w:pPr>
        <w:pStyle w:val="SingleTxtG"/>
        <w:ind w:left="4536" w:hanging="3402"/>
        <w:jc w:val="left"/>
        <w:rPr>
          <w:i/>
          <w:lang w:val="x-none"/>
        </w:rPr>
      </w:pPr>
      <w:r w:rsidRPr="00214E11">
        <w:rPr>
          <w:i/>
          <w:lang w:val="x-none"/>
        </w:rPr>
        <w:t xml:space="preserve">Substantive issues: </w:t>
      </w:r>
      <w:r w:rsidRPr="00214E11">
        <w:rPr>
          <w:i/>
          <w:lang w:val="x-none"/>
        </w:rPr>
        <w:tab/>
      </w:r>
      <w:r w:rsidRPr="00214E11">
        <w:rPr>
          <w:lang w:val="x-none"/>
        </w:rPr>
        <w:t xml:space="preserve">Freedom of </w:t>
      </w:r>
      <w:r w:rsidRPr="007F5E52">
        <w:t>conscience</w:t>
      </w:r>
      <w:r w:rsidRPr="00214E11">
        <w:rPr>
          <w:lang w:val="x-none"/>
        </w:rPr>
        <w:t xml:space="preserve">; </w:t>
      </w:r>
      <w:r w:rsidR="00D534C3" w:rsidRPr="00B92B13">
        <w:rPr>
          <w:i/>
          <w:iCs/>
        </w:rPr>
        <w:t xml:space="preserve">ne </w:t>
      </w:r>
      <w:proofErr w:type="spellStart"/>
      <w:r w:rsidR="00D534C3" w:rsidRPr="00B92B13">
        <w:rPr>
          <w:i/>
          <w:iCs/>
        </w:rPr>
        <w:t>bis</w:t>
      </w:r>
      <w:proofErr w:type="spellEnd"/>
      <w:r w:rsidR="00D534C3" w:rsidRPr="00B92B13">
        <w:rPr>
          <w:i/>
          <w:iCs/>
        </w:rPr>
        <w:t xml:space="preserve"> in idem</w:t>
      </w:r>
      <w:r w:rsidR="00DB7AC2">
        <w:rPr>
          <w:lang w:val="en-US"/>
        </w:rPr>
        <w:t xml:space="preserve">; inhuman and </w:t>
      </w:r>
      <w:proofErr w:type="spellStart"/>
      <w:r w:rsidR="00DB7AC2">
        <w:rPr>
          <w:lang w:val="en-US"/>
        </w:rPr>
        <w:t>degr</w:t>
      </w:r>
      <w:r w:rsidRPr="00214E11">
        <w:rPr>
          <w:lang w:val="x-none"/>
        </w:rPr>
        <w:t>ading</w:t>
      </w:r>
      <w:proofErr w:type="spellEnd"/>
      <w:r w:rsidRPr="00214E11">
        <w:rPr>
          <w:lang w:val="x-none"/>
        </w:rPr>
        <w:t xml:space="preserve"> treatment</w:t>
      </w:r>
      <w:r w:rsidR="00DB7AC2">
        <w:t xml:space="preserve">; conditions of </w:t>
      </w:r>
      <w:r w:rsidR="00105EE0" w:rsidRPr="00B04197">
        <w:t>de</w:t>
      </w:r>
      <w:r w:rsidR="00DB7AC2">
        <w:t xml:space="preserve">tention </w:t>
      </w:r>
    </w:p>
    <w:p w14:paraId="1A6C38FD" w14:textId="31B29CEF" w:rsidR="00FA222B" w:rsidRPr="00214E11" w:rsidRDefault="00FA222B" w:rsidP="00806E45">
      <w:pPr>
        <w:pStyle w:val="SingleTxtG"/>
        <w:ind w:left="4536" w:hanging="3402"/>
        <w:jc w:val="left"/>
        <w:rPr>
          <w:i/>
          <w:lang w:val="x-none"/>
        </w:rPr>
      </w:pPr>
      <w:r w:rsidRPr="00214E11">
        <w:rPr>
          <w:i/>
          <w:lang w:val="x-none"/>
        </w:rPr>
        <w:t>Articles of the Covenant:</w:t>
      </w:r>
      <w:r w:rsidRPr="00214E11">
        <w:rPr>
          <w:i/>
          <w:lang w:val="x-none"/>
        </w:rPr>
        <w:tab/>
      </w:r>
      <w:r w:rsidR="0047148C" w:rsidRPr="00014BC3">
        <w:rPr>
          <w:lang w:val="x-none"/>
        </w:rPr>
        <w:t>7</w:t>
      </w:r>
      <w:r w:rsidR="00C83FAD" w:rsidRPr="00014BC3">
        <w:rPr>
          <w:lang w:val="x-none"/>
        </w:rPr>
        <w:t xml:space="preserve">, </w:t>
      </w:r>
      <w:r w:rsidR="00DB7AC2" w:rsidRPr="007F5E52">
        <w:t>10</w:t>
      </w:r>
      <w:r w:rsidR="00DB7AC2">
        <w:rPr>
          <w:lang w:val="en-US"/>
        </w:rPr>
        <w:t xml:space="preserve">, </w:t>
      </w:r>
      <w:r w:rsidR="00C83FAD" w:rsidRPr="00014BC3">
        <w:rPr>
          <w:lang w:val="x-none"/>
        </w:rPr>
        <w:t>1</w:t>
      </w:r>
      <w:r w:rsidR="00014BC3" w:rsidRPr="00014BC3">
        <w:rPr>
          <w:lang w:val="en-US"/>
        </w:rPr>
        <w:t>4</w:t>
      </w:r>
      <w:r w:rsidR="00C83FAD" w:rsidRPr="00014BC3">
        <w:rPr>
          <w:lang w:val="x-none"/>
        </w:rPr>
        <w:t xml:space="preserve"> (</w:t>
      </w:r>
      <w:r w:rsidR="00014BC3" w:rsidRPr="00014BC3">
        <w:rPr>
          <w:lang w:val="en-US"/>
        </w:rPr>
        <w:t>7</w:t>
      </w:r>
      <w:r w:rsidR="00C83FAD" w:rsidRPr="00014BC3">
        <w:rPr>
          <w:lang w:val="x-none"/>
        </w:rPr>
        <w:t>)</w:t>
      </w:r>
      <w:r w:rsidR="0047148C" w:rsidRPr="00014BC3">
        <w:rPr>
          <w:lang w:val="x-none"/>
        </w:rPr>
        <w:t xml:space="preserve"> </w:t>
      </w:r>
      <w:r w:rsidRPr="00014BC3">
        <w:rPr>
          <w:lang w:val="x-none"/>
        </w:rPr>
        <w:t>and 18 (1)</w:t>
      </w:r>
    </w:p>
    <w:p w14:paraId="44D30499" w14:textId="2C3B41D6" w:rsidR="00FA222B" w:rsidRPr="00DD17C9" w:rsidRDefault="00FA222B" w:rsidP="006F5776">
      <w:pPr>
        <w:pStyle w:val="SingleTxtG"/>
        <w:spacing w:after="240"/>
        <w:ind w:left="4536" w:hanging="3402"/>
        <w:jc w:val="left"/>
        <w:rPr>
          <w:i/>
        </w:rPr>
      </w:pPr>
      <w:r w:rsidRPr="00214E11">
        <w:rPr>
          <w:i/>
          <w:lang w:val="x-none"/>
        </w:rPr>
        <w:t>Article of the Optional Protocol:</w:t>
      </w:r>
      <w:r w:rsidR="003F3B71" w:rsidRPr="00214E11">
        <w:rPr>
          <w:i/>
        </w:rPr>
        <w:tab/>
      </w:r>
      <w:r w:rsidR="0062240A" w:rsidRPr="009126D8">
        <w:t>5</w:t>
      </w:r>
      <w:r w:rsidR="00811A8A">
        <w:t xml:space="preserve"> </w:t>
      </w:r>
      <w:r w:rsidR="0062240A" w:rsidRPr="009126D8">
        <w:t>(2)</w:t>
      </w:r>
      <w:r w:rsidR="00811A8A">
        <w:t xml:space="preserve"> </w:t>
      </w:r>
      <w:r w:rsidR="0062240A" w:rsidRPr="009126D8">
        <w:t>(</w:t>
      </w:r>
      <w:r w:rsidR="008068E7">
        <w:t>b</w:t>
      </w:r>
      <w:r w:rsidR="0062240A" w:rsidRPr="009126D8">
        <w:t>)</w:t>
      </w:r>
    </w:p>
    <w:p w14:paraId="6E642E62" w14:textId="07540786" w:rsidR="00FA222B" w:rsidRPr="00214E11" w:rsidRDefault="003F3B71" w:rsidP="00CB3798">
      <w:pPr>
        <w:pStyle w:val="SingleTxtG"/>
      </w:pPr>
      <w:r w:rsidRPr="00214E11">
        <w:t>1.1</w:t>
      </w:r>
      <w:r w:rsidRPr="00214E11">
        <w:tab/>
      </w:r>
      <w:r w:rsidR="00FA222B" w:rsidRPr="00214E11">
        <w:t xml:space="preserve">The author </w:t>
      </w:r>
      <w:r w:rsidR="00811A8A">
        <w:t xml:space="preserve">of the communication </w:t>
      </w:r>
      <w:r w:rsidR="00FA222B" w:rsidRPr="00214E11">
        <w:t xml:space="preserve">is </w:t>
      </w:r>
      <w:proofErr w:type="spellStart"/>
      <w:r w:rsidR="0054116A">
        <w:t>N</w:t>
      </w:r>
      <w:r w:rsidR="00E8344E">
        <w:t>a</w:t>
      </w:r>
      <w:r w:rsidR="0054116A">
        <w:t>vruz</w:t>
      </w:r>
      <w:proofErr w:type="spellEnd"/>
      <w:r w:rsidR="0054116A">
        <w:t xml:space="preserve"> </w:t>
      </w:r>
      <w:proofErr w:type="spellStart"/>
      <w:r w:rsidR="00E8344E">
        <w:t>Tahirovich</w:t>
      </w:r>
      <w:proofErr w:type="spellEnd"/>
      <w:r w:rsidR="00E8344E">
        <w:t xml:space="preserve"> </w:t>
      </w:r>
      <w:proofErr w:type="spellStart"/>
      <w:r w:rsidR="0054116A">
        <w:t>Nasyrlayev</w:t>
      </w:r>
      <w:proofErr w:type="spellEnd"/>
      <w:r w:rsidR="0054116A">
        <w:t xml:space="preserve">, </w:t>
      </w:r>
      <w:r w:rsidR="00FA222B" w:rsidRPr="00214E11">
        <w:t xml:space="preserve">a </w:t>
      </w:r>
      <w:r w:rsidR="00811A8A">
        <w:t xml:space="preserve">national of </w:t>
      </w:r>
      <w:r w:rsidR="00FA222B" w:rsidRPr="00214E11">
        <w:t>Turkmen</w:t>
      </w:r>
      <w:r w:rsidR="00811A8A">
        <w:t>istan</w:t>
      </w:r>
      <w:r w:rsidR="00FA222B" w:rsidRPr="00214E11">
        <w:t xml:space="preserve">, born </w:t>
      </w:r>
      <w:r w:rsidR="00811A8A">
        <w:t>o</w:t>
      </w:r>
      <w:r w:rsidR="00FA222B" w:rsidRPr="00214E11">
        <w:t>n</w:t>
      </w:r>
      <w:r w:rsidR="00811A8A">
        <w:t xml:space="preserve"> </w:t>
      </w:r>
      <w:r w:rsidR="0054116A">
        <w:t xml:space="preserve">21 March </w:t>
      </w:r>
      <w:r w:rsidR="00FA222B" w:rsidRPr="00214E11">
        <w:t>19</w:t>
      </w:r>
      <w:r w:rsidR="00A43858" w:rsidRPr="00214E11">
        <w:t>9</w:t>
      </w:r>
      <w:r w:rsidR="0054116A">
        <w:t>1</w:t>
      </w:r>
      <w:r w:rsidR="00FA222B" w:rsidRPr="00214E11">
        <w:t xml:space="preserve">. He claims </w:t>
      </w:r>
      <w:r w:rsidR="00CB3798">
        <w:t>that the State party has</w:t>
      </w:r>
      <w:r w:rsidR="00615547">
        <w:t xml:space="preserve"> </w:t>
      </w:r>
      <w:r w:rsidR="00FA222B" w:rsidRPr="00214E11">
        <w:t>violat</w:t>
      </w:r>
      <w:r w:rsidR="00CB3798">
        <w:t>ed</w:t>
      </w:r>
      <w:r w:rsidR="00FA222B" w:rsidRPr="00214E11">
        <w:t xml:space="preserve"> his rights under articles 7</w:t>
      </w:r>
      <w:r w:rsidR="0054116A">
        <w:t>, 14 (7)</w:t>
      </w:r>
      <w:r w:rsidR="00A43858" w:rsidRPr="00214E11">
        <w:t xml:space="preserve"> </w:t>
      </w:r>
      <w:r w:rsidR="00FA222B" w:rsidRPr="00214E11">
        <w:t>and 18</w:t>
      </w:r>
      <w:r w:rsidR="0054116A">
        <w:t xml:space="preserve"> (</w:t>
      </w:r>
      <w:r w:rsidR="00FA222B" w:rsidRPr="00214E11">
        <w:t>1</w:t>
      </w:r>
      <w:r w:rsidR="0054116A">
        <w:t>)</w:t>
      </w:r>
      <w:r w:rsidR="00FA222B" w:rsidRPr="00214E11">
        <w:t xml:space="preserve"> of the Covenant</w:t>
      </w:r>
      <w:r w:rsidR="00A46DEF" w:rsidRPr="00214E11">
        <w:t xml:space="preserve"> </w:t>
      </w:r>
      <w:r w:rsidR="00CB3798">
        <w:t>owing</w:t>
      </w:r>
      <w:r w:rsidR="00010774">
        <w:t xml:space="preserve"> to his repeated prosecution, </w:t>
      </w:r>
      <w:r w:rsidR="00010774">
        <w:lastRenderedPageBreak/>
        <w:t xml:space="preserve">conviction and imprisonment as </w:t>
      </w:r>
      <w:r w:rsidR="008470EA">
        <w:t xml:space="preserve">a </w:t>
      </w:r>
      <w:r w:rsidR="00010774">
        <w:t>conscientious objector</w:t>
      </w:r>
      <w:r w:rsidR="00A46DEF" w:rsidRPr="00214E11">
        <w:t xml:space="preserve">. </w:t>
      </w:r>
      <w:r w:rsidR="00B236A2" w:rsidRPr="00010774">
        <w:t xml:space="preserve">Although the author does not </w:t>
      </w:r>
      <w:r w:rsidR="00CB3798" w:rsidRPr="00010774">
        <w:t>specifically</w:t>
      </w:r>
      <w:r w:rsidR="00CB3798">
        <w:t xml:space="preserve"> </w:t>
      </w:r>
      <w:r w:rsidR="00B236A2" w:rsidRPr="00010774">
        <w:t xml:space="preserve">invoke </w:t>
      </w:r>
      <w:r w:rsidR="00CB3798" w:rsidRPr="00010774">
        <w:t>article 10 of the Covenant</w:t>
      </w:r>
      <w:r w:rsidR="00B236A2" w:rsidRPr="00010774">
        <w:t xml:space="preserve">, the communication also appears to raise issues under </w:t>
      </w:r>
      <w:r w:rsidR="00CB3798">
        <w:t>that article</w:t>
      </w:r>
      <w:r w:rsidR="00B236A2" w:rsidRPr="00010774">
        <w:t>.</w:t>
      </w:r>
      <w:r w:rsidR="00B236A2" w:rsidRPr="00214E11">
        <w:t xml:space="preserve"> </w:t>
      </w:r>
      <w:r w:rsidR="00FA222B" w:rsidRPr="00214E11">
        <w:t>The Optional Protocol entered into force for Turkmenistan on 1</w:t>
      </w:r>
      <w:r w:rsidR="0077559B">
        <w:t> </w:t>
      </w:r>
      <w:r w:rsidR="002A4D16" w:rsidRPr="00214E11">
        <w:t xml:space="preserve">August </w:t>
      </w:r>
      <w:r w:rsidR="00FA222B" w:rsidRPr="00214E11">
        <w:t xml:space="preserve">1997. </w:t>
      </w:r>
      <w:proofErr w:type="gramStart"/>
      <w:r w:rsidR="00FA222B" w:rsidRPr="00214E11">
        <w:t>The author is represented by counsel</w:t>
      </w:r>
      <w:r w:rsidR="002F50C7" w:rsidRPr="00214E11">
        <w:t xml:space="preserve">, </w:t>
      </w:r>
      <w:r w:rsidR="002A4D16" w:rsidRPr="00214E11">
        <w:t>Shane H. Brady</w:t>
      </w:r>
      <w:proofErr w:type="gramEnd"/>
      <w:r w:rsidR="00FA222B" w:rsidRPr="00214E11">
        <w:t xml:space="preserve">. </w:t>
      </w:r>
    </w:p>
    <w:p w14:paraId="14544669" w14:textId="7D529F44" w:rsidR="00FA222B" w:rsidRPr="00214E11" w:rsidRDefault="003F3B71" w:rsidP="00D07DA4">
      <w:pPr>
        <w:pStyle w:val="SingleTxtG"/>
      </w:pPr>
      <w:r w:rsidRPr="00214E11">
        <w:t>1.2</w:t>
      </w:r>
      <w:r w:rsidRPr="00214E11">
        <w:tab/>
      </w:r>
      <w:r w:rsidR="00736433">
        <w:t xml:space="preserve">In his </w:t>
      </w:r>
      <w:r w:rsidR="008F6B09">
        <w:t xml:space="preserve">initial </w:t>
      </w:r>
      <w:r w:rsidR="00CB3798">
        <w:t>submission</w:t>
      </w:r>
      <w:r w:rsidR="00736433">
        <w:t xml:space="preserve">, the author requested that the Committee </w:t>
      </w:r>
      <w:r w:rsidR="008F6B09">
        <w:t xml:space="preserve">seek assurances from the State party </w:t>
      </w:r>
      <w:r w:rsidR="00CB3798">
        <w:t>that</w:t>
      </w:r>
      <w:r w:rsidR="008470EA">
        <w:t>,</w:t>
      </w:r>
      <w:r w:rsidR="00CB3798">
        <w:t xml:space="preserve"> </w:t>
      </w:r>
      <w:r w:rsidR="001E10A7">
        <w:t>as an interim measure</w:t>
      </w:r>
      <w:r w:rsidR="008470EA">
        <w:t>,</w:t>
      </w:r>
      <w:r w:rsidR="001E10A7">
        <w:t xml:space="preserve"> it </w:t>
      </w:r>
      <w:r w:rsidR="00CB3798">
        <w:t xml:space="preserve">would </w:t>
      </w:r>
      <w:r w:rsidR="00736433">
        <w:t xml:space="preserve">ensure </w:t>
      </w:r>
      <w:r w:rsidR="001E10A7">
        <w:t xml:space="preserve">his </w:t>
      </w:r>
      <w:r w:rsidR="00736433">
        <w:t xml:space="preserve">immediate release pending the examination of his communication before the Committee. </w:t>
      </w:r>
      <w:r w:rsidR="001C4E14" w:rsidRPr="00F47862">
        <w:t xml:space="preserve">On 7 December 2012, the Committee, acting through its Special Rapporteur on </w:t>
      </w:r>
      <w:r w:rsidR="00CB3798">
        <w:t>n</w:t>
      </w:r>
      <w:r w:rsidR="001C4E14" w:rsidRPr="00F47862">
        <w:t xml:space="preserve">ew </w:t>
      </w:r>
      <w:r w:rsidR="00CB3798">
        <w:t>c</w:t>
      </w:r>
      <w:r w:rsidR="001C4E14" w:rsidRPr="00F47862">
        <w:t xml:space="preserve">ommunications and </w:t>
      </w:r>
      <w:r w:rsidR="00CB3798">
        <w:t>i</w:t>
      </w:r>
      <w:r w:rsidR="001C4E14" w:rsidRPr="00F47862">
        <w:t xml:space="preserve">nterim </w:t>
      </w:r>
      <w:r w:rsidR="00CB3798">
        <w:t>m</w:t>
      </w:r>
      <w:r w:rsidR="001C4E14" w:rsidRPr="00F47862">
        <w:t>easures, decided not to accede to th</w:t>
      </w:r>
      <w:r w:rsidR="00D07DA4">
        <w:t>at</w:t>
      </w:r>
      <w:r w:rsidR="00F47862" w:rsidRPr="00F47862">
        <w:t xml:space="preserve"> </w:t>
      </w:r>
      <w:r w:rsidR="001C4E14" w:rsidRPr="00F47862">
        <w:t>request.</w:t>
      </w:r>
      <w:r w:rsidR="001C4E14" w:rsidRPr="00214E11">
        <w:t xml:space="preserve"> </w:t>
      </w:r>
      <w:r w:rsidR="00DD17C9">
        <w:t>On 8 February 2013, the Committee recalled that the State party should abstain from any acts of pressure, intimidation or reprisal against the authors of communication and their relatives made in connection with communications brought before the Committee.</w:t>
      </w:r>
      <w:r w:rsidR="00FD03CE">
        <w:t xml:space="preserve"> The State party, however, did not respond.</w:t>
      </w:r>
      <w:r w:rsidR="00101905">
        <w:t xml:space="preserve"> </w:t>
      </w:r>
    </w:p>
    <w:p w14:paraId="001DF7B3" w14:textId="65B4E9B7" w:rsidR="00FA222B" w:rsidRPr="00214E11" w:rsidRDefault="00FA222B" w:rsidP="00D07DA4">
      <w:pPr>
        <w:pStyle w:val="H23G"/>
      </w:pPr>
      <w:r w:rsidRPr="00214E11">
        <w:tab/>
      </w:r>
      <w:r w:rsidR="003F3B71" w:rsidRPr="00214E11">
        <w:tab/>
      </w:r>
      <w:r w:rsidRPr="00214E11">
        <w:t xml:space="preserve">The facts as </w:t>
      </w:r>
      <w:r w:rsidR="00D07DA4" w:rsidRPr="0063626A">
        <w:t>submit</w:t>
      </w:r>
      <w:r w:rsidRPr="00214E11">
        <w:t>ted by the author</w:t>
      </w:r>
    </w:p>
    <w:p w14:paraId="18B4416E" w14:textId="28FD6EE1" w:rsidR="00FA222B" w:rsidRPr="00214E11" w:rsidRDefault="003F3B71" w:rsidP="00223D1C">
      <w:pPr>
        <w:pStyle w:val="SingleTxtG"/>
        <w:rPr>
          <w:lang w:eastAsia="en-GB"/>
        </w:rPr>
      </w:pPr>
      <w:r w:rsidRPr="00214E11">
        <w:t>2.1</w:t>
      </w:r>
      <w:r w:rsidRPr="00214E11">
        <w:tab/>
      </w:r>
      <w:r w:rsidR="00FA222B" w:rsidRPr="00214E11">
        <w:rPr>
          <w:lang w:eastAsia="en-GB"/>
        </w:rPr>
        <w:t xml:space="preserve">The author </w:t>
      </w:r>
      <w:r w:rsidR="000240E3">
        <w:rPr>
          <w:lang w:eastAsia="en-GB"/>
        </w:rPr>
        <w:t xml:space="preserve">submits that he </w:t>
      </w:r>
      <w:r w:rsidR="001C4E14" w:rsidRPr="00214E11">
        <w:rPr>
          <w:lang w:eastAsia="en-GB"/>
        </w:rPr>
        <w:t xml:space="preserve">is </w:t>
      </w:r>
      <w:r w:rsidR="00D2030A" w:rsidRPr="00214E11">
        <w:rPr>
          <w:lang w:eastAsia="en-GB"/>
        </w:rPr>
        <w:t xml:space="preserve">a Jehovah’s Witness. </w:t>
      </w:r>
      <w:r w:rsidR="00977B17">
        <w:rPr>
          <w:lang w:eastAsia="en-GB"/>
        </w:rPr>
        <w:t xml:space="preserve">Before </w:t>
      </w:r>
      <w:r w:rsidR="00977B17" w:rsidRPr="00214E11">
        <w:rPr>
          <w:lang w:eastAsia="en-GB"/>
        </w:rPr>
        <w:t xml:space="preserve">his </w:t>
      </w:r>
      <w:r w:rsidR="00977B17">
        <w:rPr>
          <w:lang w:eastAsia="en-GB"/>
        </w:rPr>
        <w:t xml:space="preserve">repeated and unlawful </w:t>
      </w:r>
      <w:r w:rsidR="00977B17" w:rsidRPr="00214E11">
        <w:rPr>
          <w:lang w:eastAsia="en-GB"/>
        </w:rPr>
        <w:t>criminal conviction</w:t>
      </w:r>
      <w:r w:rsidR="00977B17">
        <w:rPr>
          <w:lang w:eastAsia="en-GB"/>
        </w:rPr>
        <w:t xml:space="preserve">s </w:t>
      </w:r>
      <w:r w:rsidR="00977B17" w:rsidRPr="00214E11">
        <w:rPr>
          <w:lang w:eastAsia="en-GB"/>
        </w:rPr>
        <w:t>as a conscientious objector</w:t>
      </w:r>
      <w:r w:rsidR="00977B17">
        <w:rPr>
          <w:lang w:eastAsia="en-GB"/>
        </w:rPr>
        <w:t xml:space="preserve">, he </w:t>
      </w:r>
      <w:proofErr w:type="gramStart"/>
      <w:r w:rsidR="00D07DA4">
        <w:rPr>
          <w:lang w:eastAsia="en-GB"/>
        </w:rPr>
        <w:t>had</w:t>
      </w:r>
      <w:r w:rsidR="00977B17">
        <w:rPr>
          <w:lang w:eastAsia="en-GB"/>
        </w:rPr>
        <w:t xml:space="preserve"> never</w:t>
      </w:r>
      <w:r w:rsidR="00FA222B" w:rsidRPr="00214E11">
        <w:rPr>
          <w:lang w:eastAsia="en-GB"/>
        </w:rPr>
        <w:t xml:space="preserve"> </w:t>
      </w:r>
      <w:r w:rsidR="00D07DA4">
        <w:rPr>
          <w:lang w:eastAsia="en-GB"/>
        </w:rPr>
        <w:t>been</w:t>
      </w:r>
      <w:r w:rsidR="00223D1C">
        <w:rPr>
          <w:lang w:eastAsia="en-GB"/>
        </w:rPr>
        <w:t xml:space="preserve"> </w:t>
      </w:r>
      <w:r w:rsidR="00FA222B" w:rsidRPr="00214E11">
        <w:rPr>
          <w:lang w:eastAsia="en-GB"/>
        </w:rPr>
        <w:t>charged</w:t>
      </w:r>
      <w:proofErr w:type="gramEnd"/>
      <w:r w:rsidR="00FA222B" w:rsidRPr="00214E11">
        <w:rPr>
          <w:lang w:eastAsia="en-GB"/>
        </w:rPr>
        <w:t xml:space="preserve"> with a criminal or administrative offence. </w:t>
      </w:r>
    </w:p>
    <w:p w14:paraId="563EE3AA" w14:textId="64DB7219" w:rsidR="004D68DB" w:rsidRPr="00214E11" w:rsidRDefault="0067314F" w:rsidP="00432525">
      <w:pPr>
        <w:pStyle w:val="SingleTxtG"/>
        <w:rPr>
          <w:lang w:eastAsia="en-GB"/>
        </w:rPr>
      </w:pPr>
      <w:r w:rsidRPr="00214E11">
        <w:rPr>
          <w:lang w:eastAsia="en-GB"/>
        </w:rPr>
        <w:t>2.2</w:t>
      </w:r>
      <w:r w:rsidRPr="00214E11">
        <w:rPr>
          <w:lang w:eastAsia="en-GB"/>
        </w:rPr>
        <w:tab/>
      </w:r>
      <w:r w:rsidR="00947C02" w:rsidRPr="00214E11">
        <w:rPr>
          <w:lang w:eastAsia="en-GB"/>
        </w:rPr>
        <w:t>On 1</w:t>
      </w:r>
      <w:r w:rsidR="009C0696">
        <w:rPr>
          <w:lang w:eastAsia="en-GB"/>
        </w:rPr>
        <w:t xml:space="preserve">6 April </w:t>
      </w:r>
      <w:r w:rsidR="00D2030A" w:rsidRPr="00214E11">
        <w:rPr>
          <w:lang w:eastAsia="en-GB"/>
        </w:rPr>
        <w:t>200</w:t>
      </w:r>
      <w:r w:rsidR="009C0696">
        <w:rPr>
          <w:lang w:eastAsia="en-GB"/>
        </w:rPr>
        <w:t>9</w:t>
      </w:r>
      <w:r w:rsidR="00D2030A" w:rsidRPr="00214E11">
        <w:rPr>
          <w:lang w:eastAsia="en-GB"/>
        </w:rPr>
        <w:t xml:space="preserve">, </w:t>
      </w:r>
      <w:r w:rsidR="00223D1C">
        <w:rPr>
          <w:lang w:eastAsia="en-GB"/>
        </w:rPr>
        <w:t xml:space="preserve">only </w:t>
      </w:r>
      <w:r w:rsidR="009C0696">
        <w:rPr>
          <w:lang w:eastAsia="en-GB"/>
        </w:rPr>
        <w:t xml:space="preserve">weeks after turning 18, </w:t>
      </w:r>
      <w:r w:rsidR="00FA222B" w:rsidRPr="00214E11">
        <w:rPr>
          <w:lang w:eastAsia="en-GB"/>
        </w:rPr>
        <w:t xml:space="preserve">he </w:t>
      </w:r>
      <w:proofErr w:type="gramStart"/>
      <w:r w:rsidR="00FA222B" w:rsidRPr="00214E11">
        <w:rPr>
          <w:lang w:eastAsia="en-GB"/>
        </w:rPr>
        <w:t xml:space="preserve">was called </w:t>
      </w:r>
      <w:r w:rsidR="008470EA">
        <w:rPr>
          <w:lang w:eastAsia="en-GB"/>
        </w:rPr>
        <w:t>up</w:t>
      </w:r>
      <w:proofErr w:type="gramEnd"/>
      <w:r w:rsidR="008470EA">
        <w:rPr>
          <w:lang w:eastAsia="en-GB"/>
        </w:rPr>
        <w:t xml:space="preserve"> </w:t>
      </w:r>
      <w:r w:rsidR="00FA222B" w:rsidRPr="00214E11">
        <w:rPr>
          <w:lang w:eastAsia="en-GB"/>
        </w:rPr>
        <w:t xml:space="preserve">by the Military Commissariat to perform his compulsory military service. </w:t>
      </w:r>
      <w:r w:rsidR="00EB2945" w:rsidRPr="00214E11">
        <w:rPr>
          <w:lang w:eastAsia="en-GB"/>
        </w:rPr>
        <w:t>In compliance with the summons, h</w:t>
      </w:r>
      <w:r w:rsidR="00947C02" w:rsidRPr="00214E11">
        <w:rPr>
          <w:lang w:eastAsia="en-GB"/>
        </w:rPr>
        <w:t xml:space="preserve">e met with representatives of the Military Commissariat and explained </w:t>
      </w:r>
      <w:r w:rsidR="009C0696">
        <w:rPr>
          <w:lang w:eastAsia="en-GB"/>
        </w:rPr>
        <w:t xml:space="preserve">orally and in writing </w:t>
      </w:r>
      <w:r w:rsidR="00FA222B" w:rsidRPr="00214E11">
        <w:rPr>
          <w:lang w:eastAsia="en-GB"/>
        </w:rPr>
        <w:t>that as a Jehovah’s Witness, his religious beliefs d</w:t>
      </w:r>
      <w:r w:rsidR="00223D1C">
        <w:rPr>
          <w:lang w:eastAsia="en-GB"/>
        </w:rPr>
        <w:t>id</w:t>
      </w:r>
      <w:r w:rsidR="00FA222B" w:rsidRPr="00214E11">
        <w:rPr>
          <w:lang w:eastAsia="en-GB"/>
        </w:rPr>
        <w:t xml:space="preserve"> not permit him to </w:t>
      </w:r>
      <w:r w:rsidR="009C0696">
        <w:rPr>
          <w:lang w:eastAsia="en-GB"/>
        </w:rPr>
        <w:t xml:space="preserve">perform </w:t>
      </w:r>
      <w:r w:rsidR="00FA222B" w:rsidRPr="00214E11">
        <w:rPr>
          <w:lang w:eastAsia="en-GB"/>
        </w:rPr>
        <w:t>military service.</w:t>
      </w:r>
      <w:r w:rsidR="009C0696">
        <w:rPr>
          <w:lang w:eastAsia="en-GB"/>
        </w:rPr>
        <w:t xml:space="preserve"> His call</w:t>
      </w:r>
      <w:r w:rsidR="00223D1C">
        <w:rPr>
          <w:lang w:eastAsia="en-GB"/>
        </w:rPr>
        <w:t>-</w:t>
      </w:r>
      <w:r w:rsidR="009C0696">
        <w:rPr>
          <w:lang w:eastAsia="en-GB"/>
        </w:rPr>
        <w:t xml:space="preserve">up </w:t>
      </w:r>
      <w:proofErr w:type="gramStart"/>
      <w:r w:rsidR="009C0696">
        <w:rPr>
          <w:lang w:eastAsia="en-GB"/>
        </w:rPr>
        <w:t>was deferred</w:t>
      </w:r>
      <w:proofErr w:type="gramEnd"/>
      <w:r w:rsidR="009C0696">
        <w:rPr>
          <w:lang w:eastAsia="en-GB"/>
        </w:rPr>
        <w:t xml:space="preserve"> for six months.</w:t>
      </w:r>
      <w:r w:rsidR="00DB76BB">
        <w:rPr>
          <w:lang w:eastAsia="en-GB"/>
        </w:rPr>
        <w:t xml:space="preserve"> </w:t>
      </w:r>
    </w:p>
    <w:p w14:paraId="45B0DCA3" w14:textId="1F9D121B" w:rsidR="00BC1127" w:rsidRDefault="004D68DB" w:rsidP="00D534C3">
      <w:pPr>
        <w:pStyle w:val="SingleTxtG"/>
        <w:rPr>
          <w:lang w:eastAsia="en-GB"/>
        </w:rPr>
      </w:pPr>
      <w:r w:rsidRPr="00214E11">
        <w:rPr>
          <w:lang w:eastAsia="en-GB"/>
        </w:rPr>
        <w:t>2.3</w:t>
      </w:r>
      <w:r w:rsidRPr="00214E11">
        <w:rPr>
          <w:lang w:eastAsia="en-GB"/>
        </w:rPr>
        <w:tab/>
      </w:r>
      <w:r w:rsidR="00BC1127" w:rsidRPr="00BC1127">
        <w:rPr>
          <w:lang w:eastAsia="en-GB"/>
        </w:rPr>
        <w:t xml:space="preserve">On 13 October 2009, the author </w:t>
      </w:r>
      <w:proofErr w:type="gramStart"/>
      <w:r w:rsidR="00BC1127" w:rsidRPr="00BC1127">
        <w:rPr>
          <w:lang w:eastAsia="en-GB"/>
        </w:rPr>
        <w:t>was summoned</w:t>
      </w:r>
      <w:proofErr w:type="gramEnd"/>
      <w:r w:rsidR="00BC1127" w:rsidRPr="00BC1127">
        <w:rPr>
          <w:lang w:eastAsia="en-GB"/>
        </w:rPr>
        <w:t xml:space="preserve"> for the autumn call</w:t>
      </w:r>
      <w:r w:rsidR="00E92E4A">
        <w:rPr>
          <w:lang w:eastAsia="en-GB"/>
        </w:rPr>
        <w:t>-</w:t>
      </w:r>
      <w:r w:rsidR="00BC1127" w:rsidRPr="00BC1127">
        <w:rPr>
          <w:lang w:eastAsia="en-GB"/>
        </w:rPr>
        <w:t xml:space="preserve">up for military service. He again explained orally and in writing the reasons </w:t>
      </w:r>
      <w:r w:rsidR="00BC1127">
        <w:rPr>
          <w:lang w:eastAsia="en-GB"/>
        </w:rPr>
        <w:t xml:space="preserve">why </w:t>
      </w:r>
      <w:r w:rsidR="00BC1127" w:rsidRPr="00BC1127">
        <w:rPr>
          <w:lang w:eastAsia="en-GB"/>
        </w:rPr>
        <w:t xml:space="preserve">he </w:t>
      </w:r>
      <w:r w:rsidR="00E92E4A">
        <w:rPr>
          <w:lang w:eastAsia="en-GB"/>
        </w:rPr>
        <w:t>c</w:t>
      </w:r>
      <w:r w:rsidR="00BC1127" w:rsidRPr="00BC1127">
        <w:rPr>
          <w:lang w:eastAsia="en-GB"/>
        </w:rPr>
        <w:t xml:space="preserve">ould not </w:t>
      </w:r>
      <w:r w:rsidR="00707245">
        <w:rPr>
          <w:lang w:eastAsia="en-GB"/>
        </w:rPr>
        <w:t xml:space="preserve">perform </w:t>
      </w:r>
      <w:r w:rsidR="005B62F3">
        <w:rPr>
          <w:lang w:eastAsia="en-GB"/>
        </w:rPr>
        <w:t xml:space="preserve">military </w:t>
      </w:r>
      <w:r w:rsidR="00707245">
        <w:rPr>
          <w:lang w:eastAsia="en-GB"/>
        </w:rPr>
        <w:t>service</w:t>
      </w:r>
      <w:r w:rsidR="00BC1127" w:rsidRPr="00BC1127">
        <w:rPr>
          <w:lang w:eastAsia="en-GB"/>
        </w:rPr>
        <w:t xml:space="preserve">. On 23 November 2009, he was charged under </w:t>
      </w:r>
      <w:r w:rsidR="00707245">
        <w:rPr>
          <w:lang w:eastAsia="en-GB"/>
        </w:rPr>
        <w:t>a</w:t>
      </w:r>
      <w:r w:rsidR="00707245" w:rsidRPr="00BC1127">
        <w:rPr>
          <w:lang w:eastAsia="en-GB"/>
        </w:rPr>
        <w:t xml:space="preserve">rticle </w:t>
      </w:r>
      <w:r w:rsidR="00BC1127" w:rsidRPr="00BC1127">
        <w:rPr>
          <w:lang w:eastAsia="en-GB"/>
        </w:rPr>
        <w:t>219</w:t>
      </w:r>
      <w:r w:rsidR="00BD1B14">
        <w:rPr>
          <w:lang w:eastAsia="en-GB"/>
        </w:rPr>
        <w:t xml:space="preserve"> </w:t>
      </w:r>
      <w:r w:rsidR="00BC1127" w:rsidRPr="00BC1127">
        <w:rPr>
          <w:lang w:eastAsia="en-GB"/>
        </w:rPr>
        <w:t xml:space="preserve">(1) of the Criminal Code for refusing </w:t>
      </w:r>
      <w:r w:rsidR="00E92E4A">
        <w:rPr>
          <w:lang w:eastAsia="en-GB"/>
        </w:rPr>
        <w:t xml:space="preserve">to perform </w:t>
      </w:r>
      <w:r w:rsidR="00BC1127" w:rsidRPr="00BC1127">
        <w:rPr>
          <w:lang w:eastAsia="en-GB"/>
        </w:rPr>
        <w:t xml:space="preserve">military service. On 7 December 2009, he </w:t>
      </w:r>
      <w:proofErr w:type="gramStart"/>
      <w:r w:rsidR="00E92E4A">
        <w:rPr>
          <w:lang w:eastAsia="en-GB"/>
        </w:rPr>
        <w:t>was tried</w:t>
      </w:r>
      <w:proofErr w:type="gramEnd"/>
      <w:r w:rsidR="00E92E4A">
        <w:rPr>
          <w:lang w:eastAsia="en-GB"/>
        </w:rPr>
        <w:t xml:space="preserve"> </w:t>
      </w:r>
      <w:r w:rsidR="00613094">
        <w:rPr>
          <w:lang w:eastAsia="en-GB"/>
        </w:rPr>
        <w:t xml:space="preserve">before </w:t>
      </w:r>
      <w:proofErr w:type="spellStart"/>
      <w:r w:rsidR="00613094">
        <w:rPr>
          <w:lang w:eastAsia="en-GB"/>
        </w:rPr>
        <w:t>Dashoguz</w:t>
      </w:r>
      <w:proofErr w:type="spellEnd"/>
      <w:r w:rsidR="00613094">
        <w:rPr>
          <w:lang w:eastAsia="en-GB"/>
        </w:rPr>
        <w:t xml:space="preserve"> City Court</w:t>
      </w:r>
      <w:r w:rsidR="00BC1127" w:rsidRPr="00BC1127">
        <w:rPr>
          <w:lang w:eastAsia="en-GB"/>
        </w:rPr>
        <w:t xml:space="preserve">. He testified that he </w:t>
      </w:r>
      <w:r w:rsidR="00E92E4A">
        <w:rPr>
          <w:lang w:eastAsia="en-GB"/>
        </w:rPr>
        <w:t xml:space="preserve">had </w:t>
      </w:r>
      <w:r w:rsidR="00BC1127" w:rsidRPr="00BC1127">
        <w:rPr>
          <w:lang w:eastAsia="en-GB"/>
        </w:rPr>
        <w:t>bec</w:t>
      </w:r>
      <w:r w:rsidR="00E92E4A">
        <w:rPr>
          <w:lang w:eastAsia="en-GB"/>
        </w:rPr>
        <w:t>o</w:t>
      </w:r>
      <w:r w:rsidR="00BC1127" w:rsidRPr="00BC1127">
        <w:rPr>
          <w:lang w:eastAsia="en-GB"/>
        </w:rPr>
        <w:t xml:space="preserve">me a Jehovah’s Witness three years earlier and that he had learned from the Bible that servants of God should not take up </w:t>
      </w:r>
      <w:r w:rsidR="00432525">
        <w:rPr>
          <w:lang w:eastAsia="en-GB"/>
        </w:rPr>
        <w:t>arms</w:t>
      </w:r>
      <w:r w:rsidR="00707245">
        <w:rPr>
          <w:lang w:eastAsia="en-GB"/>
        </w:rPr>
        <w:t>,</w:t>
      </w:r>
      <w:r w:rsidR="00BC1127" w:rsidRPr="00BC1127">
        <w:rPr>
          <w:lang w:eastAsia="en-GB"/>
        </w:rPr>
        <w:t xml:space="preserve"> learn war</w:t>
      </w:r>
      <w:r w:rsidR="00432525">
        <w:rPr>
          <w:lang w:eastAsia="en-GB"/>
        </w:rPr>
        <w:t>fare</w:t>
      </w:r>
      <w:r w:rsidR="00707245">
        <w:rPr>
          <w:lang w:eastAsia="en-GB"/>
        </w:rPr>
        <w:t>,</w:t>
      </w:r>
      <w:r w:rsidR="00BC1127" w:rsidRPr="00BC1127">
        <w:rPr>
          <w:lang w:eastAsia="en-GB"/>
        </w:rPr>
        <w:t xml:space="preserve"> or support the military or participate in military activity</w:t>
      </w:r>
      <w:r w:rsidR="008470EA">
        <w:rPr>
          <w:lang w:eastAsia="en-GB"/>
        </w:rPr>
        <w:t xml:space="preserve"> </w:t>
      </w:r>
      <w:r w:rsidR="008470EA" w:rsidRPr="00BC1127">
        <w:rPr>
          <w:lang w:eastAsia="en-GB"/>
        </w:rPr>
        <w:t>in any other way</w:t>
      </w:r>
      <w:r w:rsidR="00BC1127" w:rsidRPr="00BC1127">
        <w:rPr>
          <w:lang w:eastAsia="en-GB"/>
        </w:rPr>
        <w:t xml:space="preserve">. He </w:t>
      </w:r>
      <w:r w:rsidR="00432525">
        <w:rPr>
          <w:lang w:eastAsia="en-GB"/>
        </w:rPr>
        <w:t xml:space="preserve">also </w:t>
      </w:r>
      <w:r w:rsidR="00BC1127" w:rsidRPr="00BC1127">
        <w:rPr>
          <w:lang w:eastAsia="en-GB"/>
        </w:rPr>
        <w:t>testified that he respect</w:t>
      </w:r>
      <w:r w:rsidR="00432525">
        <w:rPr>
          <w:lang w:eastAsia="en-GB"/>
        </w:rPr>
        <w:t>ed</w:t>
      </w:r>
      <w:r w:rsidR="00BC1127" w:rsidRPr="00BC1127">
        <w:rPr>
          <w:lang w:eastAsia="en-GB"/>
        </w:rPr>
        <w:t xml:space="preserve"> the laws of Turkmenistan and </w:t>
      </w:r>
      <w:r w:rsidR="00432525">
        <w:rPr>
          <w:lang w:eastAsia="en-GB"/>
        </w:rPr>
        <w:t>wa</w:t>
      </w:r>
      <w:r w:rsidR="00BC1127" w:rsidRPr="00BC1127">
        <w:rPr>
          <w:lang w:eastAsia="en-GB"/>
        </w:rPr>
        <w:t>s willing to fulfil his civi</w:t>
      </w:r>
      <w:r w:rsidR="008470EA">
        <w:rPr>
          <w:lang w:eastAsia="en-GB"/>
        </w:rPr>
        <w:t>l</w:t>
      </w:r>
      <w:r w:rsidR="00BC1127" w:rsidRPr="00BC1127">
        <w:rPr>
          <w:lang w:eastAsia="en-GB"/>
        </w:rPr>
        <w:t xml:space="preserve"> obligations by performing alternative </w:t>
      </w:r>
      <w:r w:rsidR="00613094">
        <w:rPr>
          <w:lang w:eastAsia="en-GB"/>
        </w:rPr>
        <w:t>civil</w:t>
      </w:r>
      <w:r w:rsidR="00432525">
        <w:rPr>
          <w:lang w:eastAsia="en-GB"/>
        </w:rPr>
        <w:t>ian</w:t>
      </w:r>
      <w:r w:rsidR="00613094">
        <w:rPr>
          <w:lang w:eastAsia="en-GB"/>
        </w:rPr>
        <w:t xml:space="preserve"> </w:t>
      </w:r>
      <w:r w:rsidR="00BC1127" w:rsidRPr="00BC1127">
        <w:rPr>
          <w:lang w:eastAsia="en-GB"/>
        </w:rPr>
        <w:t>service.</w:t>
      </w:r>
      <w:r w:rsidR="007D12E4" w:rsidRPr="00AB7D36">
        <w:rPr>
          <w:rStyle w:val="FootnoteReference"/>
        </w:rPr>
        <w:footnoteReference w:id="4"/>
      </w:r>
    </w:p>
    <w:p w14:paraId="2D0D2A24" w14:textId="74F2BD58" w:rsidR="00BC1127" w:rsidRDefault="00BC1127" w:rsidP="00775A8C">
      <w:pPr>
        <w:pStyle w:val="SingleTxtG"/>
        <w:rPr>
          <w:lang w:eastAsia="en-GB"/>
        </w:rPr>
      </w:pPr>
      <w:r>
        <w:rPr>
          <w:lang w:eastAsia="en-GB"/>
        </w:rPr>
        <w:t>2.4</w:t>
      </w:r>
      <w:r>
        <w:rPr>
          <w:lang w:eastAsia="en-GB"/>
        </w:rPr>
        <w:tab/>
      </w:r>
      <w:r w:rsidRPr="00BC1127">
        <w:rPr>
          <w:lang w:eastAsia="en-GB"/>
        </w:rPr>
        <w:t xml:space="preserve">On 7 December 2009, </w:t>
      </w:r>
      <w:proofErr w:type="spellStart"/>
      <w:r w:rsidRPr="00BC1127">
        <w:rPr>
          <w:lang w:eastAsia="en-GB"/>
        </w:rPr>
        <w:t>Dashoguz</w:t>
      </w:r>
      <w:proofErr w:type="spellEnd"/>
      <w:r w:rsidRPr="00BC1127">
        <w:rPr>
          <w:lang w:eastAsia="en-GB"/>
        </w:rPr>
        <w:t xml:space="preserve"> City Court convicted </w:t>
      </w:r>
      <w:r w:rsidR="00775A8C" w:rsidRPr="00BC1127">
        <w:rPr>
          <w:lang w:eastAsia="en-GB"/>
        </w:rPr>
        <w:t xml:space="preserve">the author </w:t>
      </w:r>
      <w:r w:rsidR="004A1560">
        <w:rPr>
          <w:lang w:eastAsia="en-GB"/>
        </w:rPr>
        <w:t xml:space="preserve">and sentenced </w:t>
      </w:r>
      <w:r w:rsidR="00775A8C">
        <w:rPr>
          <w:lang w:eastAsia="en-GB"/>
        </w:rPr>
        <w:t xml:space="preserve">him </w:t>
      </w:r>
      <w:r w:rsidRPr="00BC1127">
        <w:rPr>
          <w:lang w:eastAsia="en-GB"/>
        </w:rPr>
        <w:t xml:space="preserve">to 24 months of imprisonment under </w:t>
      </w:r>
      <w:r w:rsidR="00707245">
        <w:rPr>
          <w:lang w:eastAsia="en-GB"/>
        </w:rPr>
        <w:t>a</w:t>
      </w:r>
      <w:r w:rsidR="00707245" w:rsidRPr="00BC1127">
        <w:rPr>
          <w:lang w:eastAsia="en-GB"/>
        </w:rPr>
        <w:t xml:space="preserve">rticle </w:t>
      </w:r>
      <w:r w:rsidRPr="00BC1127">
        <w:rPr>
          <w:lang w:eastAsia="en-GB"/>
        </w:rPr>
        <w:t>219</w:t>
      </w:r>
      <w:r w:rsidR="00BD1B14">
        <w:rPr>
          <w:lang w:eastAsia="en-GB"/>
        </w:rPr>
        <w:t xml:space="preserve"> </w:t>
      </w:r>
      <w:r w:rsidRPr="00BC1127">
        <w:rPr>
          <w:lang w:eastAsia="en-GB"/>
        </w:rPr>
        <w:t xml:space="preserve">(1) of the Criminal Code. He was arrested in the </w:t>
      </w:r>
      <w:proofErr w:type="gramStart"/>
      <w:r w:rsidRPr="00BC1127">
        <w:rPr>
          <w:lang w:eastAsia="en-GB"/>
        </w:rPr>
        <w:t>court room</w:t>
      </w:r>
      <w:proofErr w:type="gramEnd"/>
      <w:r w:rsidRPr="00BC1127">
        <w:rPr>
          <w:lang w:eastAsia="en-GB"/>
        </w:rPr>
        <w:t xml:space="preserve"> and placed in detention. The author appealed, but on </w:t>
      </w:r>
      <w:r w:rsidR="0048088F">
        <w:rPr>
          <w:lang w:eastAsia="en-GB"/>
        </w:rPr>
        <w:t>5</w:t>
      </w:r>
      <w:r w:rsidRPr="00BC1127">
        <w:rPr>
          <w:lang w:eastAsia="en-GB"/>
        </w:rPr>
        <w:t xml:space="preserve"> January 2010</w:t>
      </w:r>
      <w:r w:rsidR="004A1560">
        <w:rPr>
          <w:lang w:eastAsia="en-GB"/>
        </w:rPr>
        <w:t>,</w:t>
      </w:r>
      <w:r w:rsidRPr="00BC1127">
        <w:rPr>
          <w:lang w:eastAsia="en-GB"/>
        </w:rPr>
        <w:t xml:space="preserve"> </w:t>
      </w:r>
      <w:proofErr w:type="gramStart"/>
      <w:r w:rsidRPr="00BC1127">
        <w:rPr>
          <w:lang w:eastAsia="en-GB"/>
        </w:rPr>
        <w:t xml:space="preserve">his appeal was rejected by </w:t>
      </w:r>
      <w:proofErr w:type="spellStart"/>
      <w:r w:rsidRPr="00BC1127">
        <w:rPr>
          <w:lang w:eastAsia="en-GB"/>
        </w:rPr>
        <w:t>Dashoguz</w:t>
      </w:r>
      <w:proofErr w:type="spellEnd"/>
      <w:r w:rsidRPr="00BC1127">
        <w:rPr>
          <w:lang w:eastAsia="en-GB"/>
        </w:rPr>
        <w:t xml:space="preserve"> Regional Court</w:t>
      </w:r>
      <w:proofErr w:type="gramEnd"/>
      <w:r w:rsidR="000725BA">
        <w:rPr>
          <w:lang w:eastAsia="en-GB"/>
        </w:rPr>
        <w:t>.</w:t>
      </w:r>
    </w:p>
    <w:p w14:paraId="6D166125" w14:textId="1C988FE5" w:rsidR="00BC1127" w:rsidRDefault="00BC1127" w:rsidP="000240E3">
      <w:pPr>
        <w:pStyle w:val="SingleTxtG"/>
        <w:rPr>
          <w:lang w:eastAsia="en-GB"/>
        </w:rPr>
      </w:pPr>
      <w:r>
        <w:rPr>
          <w:lang w:eastAsia="en-GB"/>
        </w:rPr>
        <w:t>2.5</w:t>
      </w:r>
      <w:r>
        <w:rPr>
          <w:lang w:eastAsia="en-GB"/>
        </w:rPr>
        <w:tab/>
      </w:r>
      <w:r w:rsidR="006B67E5" w:rsidRPr="00BC1127">
        <w:rPr>
          <w:lang w:eastAsia="en-GB"/>
        </w:rPr>
        <w:t>The author</w:t>
      </w:r>
      <w:r w:rsidR="00613094" w:rsidRPr="006B67E5">
        <w:rPr>
          <w:lang w:eastAsia="en-GB"/>
        </w:rPr>
        <w:t xml:space="preserve"> </w:t>
      </w:r>
      <w:proofErr w:type="gramStart"/>
      <w:r w:rsidR="00613094" w:rsidRPr="006B67E5">
        <w:rPr>
          <w:lang w:eastAsia="en-GB"/>
        </w:rPr>
        <w:t>was held</w:t>
      </w:r>
      <w:proofErr w:type="gramEnd"/>
      <w:r w:rsidR="00613094" w:rsidRPr="006B67E5">
        <w:rPr>
          <w:lang w:eastAsia="en-GB"/>
        </w:rPr>
        <w:t xml:space="preserve"> in custody for 32 days at the DZK-7 detention facility in </w:t>
      </w:r>
      <w:proofErr w:type="spellStart"/>
      <w:r w:rsidR="00613094" w:rsidRPr="006B67E5">
        <w:rPr>
          <w:lang w:eastAsia="en-GB"/>
        </w:rPr>
        <w:t>Dashoguz</w:t>
      </w:r>
      <w:proofErr w:type="spellEnd"/>
      <w:r w:rsidR="00613094" w:rsidRPr="006B67E5">
        <w:rPr>
          <w:lang w:eastAsia="en-GB"/>
        </w:rPr>
        <w:t xml:space="preserve">. On 8 January 2010, he </w:t>
      </w:r>
      <w:proofErr w:type="gramStart"/>
      <w:r w:rsidR="00613094" w:rsidRPr="006B67E5">
        <w:rPr>
          <w:lang w:eastAsia="en-GB"/>
        </w:rPr>
        <w:t>was transferred</w:t>
      </w:r>
      <w:proofErr w:type="gramEnd"/>
      <w:r w:rsidR="00613094" w:rsidRPr="006B67E5">
        <w:rPr>
          <w:lang w:eastAsia="en-GB"/>
        </w:rPr>
        <w:t xml:space="preserve"> to the LBK-12 prison located near the town of </w:t>
      </w:r>
      <w:proofErr w:type="spellStart"/>
      <w:r w:rsidR="00613094" w:rsidRPr="006B67E5">
        <w:rPr>
          <w:lang w:eastAsia="en-GB"/>
        </w:rPr>
        <w:t>Seydi</w:t>
      </w:r>
      <w:proofErr w:type="spellEnd"/>
      <w:r w:rsidR="0080221F" w:rsidRPr="006B67E5">
        <w:rPr>
          <w:lang w:eastAsia="en-GB"/>
        </w:rPr>
        <w:t xml:space="preserve"> in the</w:t>
      </w:r>
      <w:r w:rsidR="00613094" w:rsidRPr="006B67E5">
        <w:rPr>
          <w:lang w:eastAsia="en-GB"/>
        </w:rPr>
        <w:t xml:space="preserve"> </w:t>
      </w:r>
      <w:proofErr w:type="spellStart"/>
      <w:r w:rsidR="00613094" w:rsidRPr="006B67E5">
        <w:rPr>
          <w:lang w:eastAsia="en-GB"/>
        </w:rPr>
        <w:t>Lebap</w:t>
      </w:r>
      <w:proofErr w:type="spellEnd"/>
      <w:r w:rsidR="00613094" w:rsidRPr="006B67E5">
        <w:rPr>
          <w:lang w:eastAsia="en-GB"/>
        </w:rPr>
        <w:t xml:space="preserve"> </w:t>
      </w:r>
      <w:r w:rsidR="0080221F" w:rsidRPr="006B67E5">
        <w:rPr>
          <w:lang w:eastAsia="en-GB"/>
        </w:rPr>
        <w:t>r</w:t>
      </w:r>
      <w:r w:rsidR="00613094" w:rsidRPr="006B67E5">
        <w:rPr>
          <w:lang w:eastAsia="en-GB"/>
        </w:rPr>
        <w:t xml:space="preserve">egion in the </w:t>
      </w:r>
      <w:r w:rsidR="006B67E5" w:rsidRPr="006B67E5">
        <w:rPr>
          <w:lang w:eastAsia="en-GB"/>
        </w:rPr>
        <w:t>Turkmen</w:t>
      </w:r>
      <w:r w:rsidR="006B67E5">
        <w:rPr>
          <w:lang w:eastAsia="en-GB"/>
        </w:rPr>
        <w:t xml:space="preserve"> </w:t>
      </w:r>
      <w:r w:rsidR="00613094" w:rsidRPr="006B67E5">
        <w:rPr>
          <w:lang w:eastAsia="en-GB"/>
        </w:rPr>
        <w:t>desert.</w:t>
      </w:r>
      <w:r w:rsidR="00613094">
        <w:rPr>
          <w:lang w:eastAsia="en-GB"/>
        </w:rPr>
        <w:t xml:space="preserve"> </w:t>
      </w:r>
      <w:r w:rsidRPr="00BC1127">
        <w:rPr>
          <w:lang w:eastAsia="en-GB"/>
        </w:rPr>
        <w:t xml:space="preserve">While in detention, as a </w:t>
      </w:r>
      <w:r w:rsidRPr="00BC1127">
        <w:rPr>
          <w:lang w:eastAsia="en-GB"/>
        </w:rPr>
        <w:lastRenderedPageBreak/>
        <w:t xml:space="preserve">Jehovah’s Witness, the author </w:t>
      </w:r>
      <w:proofErr w:type="gramStart"/>
      <w:r w:rsidRPr="00BC1127">
        <w:rPr>
          <w:lang w:eastAsia="en-GB"/>
        </w:rPr>
        <w:t>was singled out</w:t>
      </w:r>
      <w:proofErr w:type="gramEnd"/>
      <w:r w:rsidRPr="00BC1127">
        <w:rPr>
          <w:lang w:eastAsia="en-GB"/>
        </w:rPr>
        <w:t xml:space="preserve"> for harsh treatment. </w:t>
      </w:r>
      <w:r w:rsidR="00613094">
        <w:rPr>
          <w:lang w:eastAsia="en-GB"/>
        </w:rPr>
        <w:t xml:space="preserve">Immediately </w:t>
      </w:r>
      <w:r w:rsidR="00707245">
        <w:rPr>
          <w:lang w:eastAsia="en-GB"/>
        </w:rPr>
        <w:t>up</w:t>
      </w:r>
      <w:r w:rsidR="00613094">
        <w:rPr>
          <w:lang w:eastAsia="en-GB"/>
        </w:rPr>
        <w:t xml:space="preserve">on his arrival </w:t>
      </w:r>
      <w:r w:rsidR="002A01D7">
        <w:rPr>
          <w:lang w:eastAsia="en-GB"/>
        </w:rPr>
        <w:t>a</w:t>
      </w:r>
      <w:r w:rsidR="00613094">
        <w:rPr>
          <w:lang w:eastAsia="en-GB"/>
        </w:rPr>
        <w:t xml:space="preserve">t the LBK-12 prison, he </w:t>
      </w:r>
      <w:proofErr w:type="gramStart"/>
      <w:r w:rsidR="00613094">
        <w:rPr>
          <w:lang w:eastAsia="en-GB"/>
        </w:rPr>
        <w:t xml:space="preserve">was placed in quarantine </w:t>
      </w:r>
      <w:r w:rsidR="002A01D7">
        <w:rPr>
          <w:lang w:eastAsia="en-GB"/>
        </w:rPr>
        <w:t>and</w:t>
      </w:r>
      <w:r w:rsidR="00613094">
        <w:rPr>
          <w:lang w:eastAsia="en-GB"/>
        </w:rPr>
        <w:t xml:space="preserve"> kept </w:t>
      </w:r>
      <w:r w:rsidR="002A01D7">
        <w:rPr>
          <w:lang w:eastAsia="en-GB"/>
        </w:rPr>
        <w:t xml:space="preserve">there </w:t>
      </w:r>
      <w:r w:rsidR="00613094">
        <w:rPr>
          <w:lang w:eastAsia="en-GB"/>
        </w:rPr>
        <w:t>for 10 days</w:t>
      </w:r>
      <w:proofErr w:type="gramEnd"/>
      <w:r w:rsidR="00613094">
        <w:rPr>
          <w:lang w:eastAsia="en-GB"/>
        </w:rPr>
        <w:t xml:space="preserve">. On four separate occasions, he </w:t>
      </w:r>
      <w:proofErr w:type="gramStart"/>
      <w:r w:rsidR="00613094">
        <w:rPr>
          <w:lang w:eastAsia="en-GB"/>
        </w:rPr>
        <w:t xml:space="preserve">was </w:t>
      </w:r>
      <w:r w:rsidR="000240E3">
        <w:rPr>
          <w:lang w:eastAsia="en-GB"/>
        </w:rPr>
        <w:t>confined</w:t>
      </w:r>
      <w:proofErr w:type="gramEnd"/>
      <w:r w:rsidR="00613094">
        <w:rPr>
          <w:lang w:eastAsia="en-GB"/>
        </w:rPr>
        <w:t xml:space="preserve"> in a </w:t>
      </w:r>
      <w:r w:rsidRPr="00BC1127">
        <w:rPr>
          <w:lang w:eastAsia="en-GB"/>
        </w:rPr>
        <w:t>punishment cell</w:t>
      </w:r>
      <w:r w:rsidR="00613094">
        <w:rPr>
          <w:lang w:eastAsia="en-GB"/>
        </w:rPr>
        <w:t xml:space="preserve"> for periods </w:t>
      </w:r>
      <w:r w:rsidR="00707245">
        <w:rPr>
          <w:lang w:eastAsia="en-GB"/>
        </w:rPr>
        <w:t xml:space="preserve">of </w:t>
      </w:r>
      <w:r w:rsidR="00613094">
        <w:rPr>
          <w:lang w:eastAsia="en-GB"/>
        </w:rPr>
        <w:t xml:space="preserve">two to three days </w:t>
      </w:r>
      <w:r w:rsidR="002A01D7">
        <w:rPr>
          <w:lang w:eastAsia="en-GB"/>
        </w:rPr>
        <w:t>owing to</w:t>
      </w:r>
      <w:r w:rsidRPr="00BC1127">
        <w:rPr>
          <w:lang w:eastAsia="en-GB"/>
        </w:rPr>
        <w:t xml:space="preserve"> the animosity </w:t>
      </w:r>
      <w:r w:rsidR="00707245">
        <w:rPr>
          <w:lang w:eastAsia="en-GB"/>
        </w:rPr>
        <w:t xml:space="preserve">of </w:t>
      </w:r>
      <w:r w:rsidRPr="00BC1127">
        <w:rPr>
          <w:lang w:eastAsia="en-GB"/>
        </w:rPr>
        <w:t xml:space="preserve">the prison administration </w:t>
      </w:r>
      <w:r w:rsidR="00707245">
        <w:rPr>
          <w:lang w:eastAsia="en-GB"/>
        </w:rPr>
        <w:t>towards</w:t>
      </w:r>
      <w:r w:rsidRPr="00BC1127">
        <w:rPr>
          <w:lang w:eastAsia="en-GB"/>
        </w:rPr>
        <w:t xml:space="preserve"> his religious beliefs. </w:t>
      </w:r>
      <w:r w:rsidR="004F2A3D">
        <w:rPr>
          <w:lang w:eastAsia="en-GB"/>
        </w:rPr>
        <w:t xml:space="preserve">On </w:t>
      </w:r>
      <w:r w:rsidR="002A01D7">
        <w:rPr>
          <w:lang w:eastAsia="en-GB"/>
        </w:rPr>
        <w:t>one</w:t>
      </w:r>
      <w:r w:rsidR="004F2A3D">
        <w:rPr>
          <w:lang w:eastAsia="en-GB"/>
        </w:rPr>
        <w:t xml:space="preserve"> occasion, he was isolated </w:t>
      </w:r>
      <w:r w:rsidR="002A01D7">
        <w:rPr>
          <w:lang w:eastAsia="en-GB"/>
        </w:rPr>
        <w:t xml:space="preserve">for a month </w:t>
      </w:r>
      <w:r w:rsidR="004F2A3D">
        <w:rPr>
          <w:lang w:eastAsia="en-GB"/>
        </w:rPr>
        <w:t xml:space="preserve">in a </w:t>
      </w:r>
      <w:r w:rsidR="002A01D7">
        <w:rPr>
          <w:lang w:eastAsia="en-GB"/>
        </w:rPr>
        <w:t>so-called “</w:t>
      </w:r>
      <w:r w:rsidR="004F2A3D">
        <w:rPr>
          <w:lang w:eastAsia="en-GB"/>
        </w:rPr>
        <w:t>control unit</w:t>
      </w:r>
      <w:r w:rsidR="002A01D7">
        <w:rPr>
          <w:lang w:eastAsia="en-GB"/>
        </w:rPr>
        <w:t>”</w:t>
      </w:r>
      <w:r w:rsidR="004F2A3D">
        <w:rPr>
          <w:lang w:eastAsia="en-GB"/>
        </w:rPr>
        <w:t xml:space="preserve">, a type of punishment cell. </w:t>
      </w:r>
      <w:r w:rsidR="00AA3C75">
        <w:rPr>
          <w:lang w:eastAsia="en-GB"/>
        </w:rPr>
        <w:t>One day d</w:t>
      </w:r>
      <w:r w:rsidR="00707245">
        <w:rPr>
          <w:lang w:eastAsia="en-GB"/>
        </w:rPr>
        <w:t>uring his isolation</w:t>
      </w:r>
      <w:r w:rsidRPr="00BC1127">
        <w:rPr>
          <w:lang w:eastAsia="en-GB"/>
        </w:rPr>
        <w:t xml:space="preserve">, four </w:t>
      </w:r>
      <w:r w:rsidR="002A01D7" w:rsidRPr="00BC1127">
        <w:rPr>
          <w:lang w:eastAsia="en-GB"/>
        </w:rPr>
        <w:t>mask</w:t>
      </w:r>
      <w:r w:rsidR="002A01D7">
        <w:rPr>
          <w:lang w:eastAsia="en-GB"/>
        </w:rPr>
        <w:t xml:space="preserve">ed </w:t>
      </w:r>
      <w:r w:rsidRPr="00BC1127">
        <w:rPr>
          <w:lang w:eastAsia="en-GB"/>
        </w:rPr>
        <w:t xml:space="preserve">officers from the </w:t>
      </w:r>
      <w:proofErr w:type="spellStart"/>
      <w:r w:rsidRPr="00BC1127">
        <w:rPr>
          <w:lang w:eastAsia="en-GB"/>
        </w:rPr>
        <w:t>Ash</w:t>
      </w:r>
      <w:r w:rsidR="003668AF">
        <w:rPr>
          <w:lang w:eastAsia="en-GB"/>
        </w:rPr>
        <w:t>g</w:t>
      </w:r>
      <w:r w:rsidRPr="00BC1127">
        <w:rPr>
          <w:lang w:eastAsia="en-GB"/>
        </w:rPr>
        <w:t>abad</w:t>
      </w:r>
      <w:proofErr w:type="spellEnd"/>
      <w:r w:rsidRPr="00BC1127">
        <w:rPr>
          <w:lang w:eastAsia="en-GB"/>
        </w:rPr>
        <w:t xml:space="preserve"> special police forces entered the punishment cell and severely beat the author. </w:t>
      </w:r>
    </w:p>
    <w:p w14:paraId="0E99BFE1" w14:textId="783BACDA" w:rsidR="00BC1127" w:rsidRDefault="00BC1127" w:rsidP="00196B14">
      <w:pPr>
        <w:pStyle w:val="SingleTxtG"/>
        <w:rPr>
          <w:lang w:eastAsia="en-GB"/>
        </w:rPr>
      </w:pPr>
      <w:r>
        <w:rPr>
          <w:lang w:eastAsia="en-GB"/>
        </w:rPr>
        <w:t>2.6</w:t>
      </w:r>
      <w:r>
        <w:rPr>
          <w:lang w:eastAsia="en-GB"/>
        </w:rPr>
        <w:tab/>
      </w:r>
      <w:r w:rsidRPr="00BC1127">
        <w:rPr>
          <w:lang w:eastAsia="en-GB"/>
        </w:rPr>
        <w:t xml:space="preserve">The author </w:t>
      </w:r>
      <w:proofErr w:type="gramStart"/>
      <w:r w:rsidRPr="00BC1127">
        <w:rPr>
          <w:lang w:eastAsia="en-GB"/>
        </w:rPr>
        <w:t>was released</w:t>
      </w:r>
      <w:proofErr w:type="gramEnd"/>
      <w:r w:rsidRPr="00BC1127">
        <w:rPr>
          <w:lang w:eastAsia="en-GB"/>
        </w:rPr>
        <w:t xml:space="preserve"> from prison on 7 December 2011</w:t>
      </w:r>
      <w:r w:rsidR="005940D1">
        <w:rPr>
          <w:lang w:eastAsia="en-GB"/>
        </w:rPr>
        <w:t>,</w:t>
      </w:r>
      <w:r w:rsidR="004A1560">
        <w:rPr>
          <w:lang w:eastAsia="en-GB"/>
        </w:rPr>
        <w:t xml:space="preserve"> after </w:t>
      </w:r>
      <w:r w:rsidR="005940D1">
        <w:rPr>
          <w:lang w:eastAsia="en-GB"/>
        </w:rPr>
        <w:t>serv</w:t>
      </w:r>
      <w:r w:rsidR="00196B14">
        <w:rPr>
          <w:lang w:eastAsia="en-GB"/>
        </w:rPr>
        <w:t>ing</w:t>
      </w:r>
      <w:r w:rsidR="004A1560">
        <w:rPr>
          <w:lang w:eastAsia="en-GB"/>
        </w:rPr>
        <w:t xml:space="preserve"> his sentence</w:t>
      </w:r>
      <w:r w:rsidRPr="00BC1127">
        <w:rPr>
          <w:lang w:eastAsia="en-GB"/>
        </w:rPr>
        <w:t xml:space="preserve">. One month </w:t>
      </w:r>
      <w:r w:rsidR="0048088F">
        <w:rPr>
          <w:lang w:eastAsia="en-GB"/>
        </w:rPr>
        <w:t xml:space="preserve">later, </w:t>
      </w:r>
      <w:r w:rsidRPr="00BC1127">
        <w:rPr>
          <w:lang w:eastAsia="en-GB"/>
        </w:rPr>
        <w:t xml:space="preserve">he </w:t>
      </w:r>
      <w:proofErr w:type="gramStart"/>
      <w:r w:rsidRPr="00BC1127">
        <w:rPr>
          <w:lang w:eastAsia="en-GB"/>
        </w:rPr>
        <w:t>was again called up</w:t>
      </w:r>
      <w:proofErr w:type="gramEnd"/>
      <w:r w:rsidRPr="00BC1127">
        <w:rPr>
          <w:lang w:eastAsia="en-GB"/>
        </w:rPr>
        <w:t xml:space="preserve"> for military service. He refused, again explaining to representatives of the Military Commissariat that his religious conscience d</w:t>
      </w:r>
      <w:r w:rsidR="005940D1">
        <w:rPr>
          <w:lang w:eastAsia="en-GB"/>
        </w:rPr>
        <w:t>id</w:t>
      </w:r>
      <w:r w:rsidRPr="00BC1127">
        <w:rPr>
          <w:lang w:eastAsia="en-GB"/>
        </w:rPr>
        <w:t xml:space="preserve"> not permit him to </w:t>
      </w:r>
      <w:r w:rsidR="00196B14">
        <w:rPr>
          <w:lang w:eastAsia="en-GB"/>
        </w:rPr>
        <w:t>perform</w:t>
      </w:r>
      <w:r w:rsidR="00196B14" w:rsidRPr="00BC1127">
        <w:rPr>
          <w:lang w:eastAsia="en-GB"/>
        </w:rPr>
        <w:t xml:space="preserve"> </w:t>
      </w:r>
      <w:r w:rsidRPr="00BC1127">
        <w:rPr>
          <w:lang w:eastAsia="en-GB"/>
        </w:rPr>
        <w:t xml:space="preserve">military service. On 1 May 2012, he was again convicted by </w:t>
      </w:r>
      <w:proofErr w:type="spellStart"/>
      <w:r w:rsidRPr="00BC1127">
        <w:rPr>
          <w:lang w:eastAsia="en-GB"/>
        </w:rPr>
        <w:t>Dashoguz</w:t>
      </w:r>
      <w:proofErr w:type="spellEnd"/>
      <w:r w:rsidRPr="00BC1127">
        <w:rPr>
          <w:lang w:eastAsia="en-GB"/>
        </w:rPr>
        <w:t xml:space="preserve"> City Court under </w:t>
      </w:r>
      <w:r w:rsidR="005B62F3">
        <w:rPr>
          <w:lang w:eastAsia="en-GB"/>
        </w:rPr>
        <w:t>a</w:t>
      </w:r>
      <w:r w:rsidRPr="00BC1127">
        <w:rPr>
          <w:lang w:eastAsia="en-GB"/>
        </w:rPr>
        <w:t>rticle 219</w:t>
      </w:r>
      <w:r w:rsidR="00775A8C">
        <w:rPr>
          <w:lang w:eastAsia="en-GB"/>
        </w:rPr>
        <w:t xml:space="preserve"> </w:t>
      </w:r>
      <w:r w:rsidRPr="00BC1127">
        <w:rPr>
          <w:lang w:eastAsia="en-GB"/>
        </w:rPr>
        <w:t xml:space="preserve">(1) of the Criminal Code </w:t>
      </w:r>
      <w:r w:rsidR="0068527D">
        <w:rPr>
          <w:lang w:eastAsia="en-GB"/>
        </w:rPr>
        <w:t>to</w:t>
      </w:r>
      <w:r w:rsidRPr="00BC1127">
        <w:rPr>
          <w:lang w:eastAsia="en-GB"/>
        </w:rPr>
        <w:t xml:space="preserve"> the maximum sentence of 24 months of imprisonment.</w:t>
      </w:r>
      <w:r w:rsidR="000E16E7" w:rsidRPr="00AB7D36">
        <w:rPr>
          <w:rStyle w:val="FootnoteReference"/>
        </w:rPr>
        <w:footnoteReference w:id="5"/>
      </w:r>
      <w:r w:rsidR="0048088F">
        <w:rPr>
          <w:lang w:eastAsia="en-GB"/>
        </w:rPr>
        <w:t xml:space="preserve"> The </w:t>
      </w:r>
      <w:r w:rsidR="0068527D">
        <w:rPr>
          <w:lang w:eastAsia="en-GB"/>
        </w:rPr>
        <w:t xml:space="preserve">author </w:t>
      </w:r>
      <w:proofErr w:type="gramStart"/>
      <w:r w:rsidR="0048088F">
        <w:rPr>
          <w:lang w:eastAsia="en-GB"/>
        </w:rPr>
        <w:t>was considered</w:t>
      </w:r>
      <w:proofErr w:type="gramEnd"/>
      <w:r w:rsidR="0048088F">
        <w:rPr>
          <w:lang w:eastAsia="en-GB"/>
        </w:rPr>
        <w:t xml:space="preserve"> a repeat offender and was imprison</w:t>
      </w:r>
      <w:r w:rsidR="003C3F44">
        <w:rPr>
          <w:lang w:eastAsia="en-GB"/>
        </w:rPr>
        <w:t xml:space="preserve">ed </w:t>
      </w:r>
      <w:r w:rsidR="0048088F">
        <w:rPr>
          <w:lang w:eastAsia="en-GB"/>
        </w:rPr>
        <w:t xml:space="preserve">in a strict regime prison. </w:t>
      </w:r>
      <w:r w:rsidR="003C3F44" w:rsidRPr="003C3F44">
        <w:rPr>
          <w:lang w:eastAsia="en-GB"/>
        </w:rPr>
        <w:t>At the time of the submission</w:t>
      </w:r>
      <w:r w:rsidR="0068527D">
        <w:rPr>
          <w:lang w:eastAsia="en-GB"/>
        </w:rPr>
        <w:t xml:space="preserve"> of his complaint to the Committee</w:t>
      </w:r>
      <w:r w:rsidR="003C3F44">
        <w:rPr>
          <w:lang w:eastAsia="en-GB"/>
        </w:rPr>
        <w:t xml:space="preserve">, the author </w:t>
      </w:r>
      <w:proofErr w:type="gramStart"/>
      <w:r w:rsidR="003C3F44">
        <w:rPr>
          <w:lang w:eastAsia="en-GB"/>
        </w:rPr>
        <w:t xml:space="preserve">was </w:t>
      </w:r>
      <w:r w:rsidR="0048088F">
        <w:rPr>
          <w:lang w:eastAsia="en-GB"/>
        </w:rPr>
        <w:t>imprisoned</w:t>
      </w:r>
      <w:proofErr w:type="gramEnd"/>
      <w:r w:rsidR="0048088F">
        <w:rPr>
          <w:lang w:eastAsia="en-GB"/>
        </w:rPr>
        <w:t xml:space="preserve"> in the strict regime prison LBK-11 in </w:t>
      </w:r>
      <w:proofErr w:type="spellStart"/>
      <w:r w:rsidR="0048088F">
        <w:rPr>
          <w:lang w:eastAsia="en-GB"/>
        </w:rPr>
        <w:t>Seydi</w:t>
      </w:r>
      <w:proofErr w:type="spellEnd"/>
      <w:r w:rsidR="0048088F">
        <w:rPr>
          <w:lang w:eastAsia="en-GB"/>
        </w:rPr>
        <w:t xml:space="preserve">, </w:t>
      </w:r>
      <w:r w:rsidR="0045644D">
        <w:rPr>
          <w:lang w:eastAsia="en-GB"/>
        </w:rPr>
        <w:t>where the conditions were worse</w:t>
      </w:r>
      <w:r w:rsidR="005B62F3">
        <w:rPr>
          <w:lang w:eastAsia="en-GB"/>
        </w:rPr>
        <w:t xml:space="preserve"> </w:t>
      </w:r>
      <w:r w:rsidR="0045644D">
        <w:rPr>
          <w:lang w:eastAsia="en-GB"/>
        </w:rPr>
        <w:t>than th</w:t>
      </w:r>
      <w:r w:rsidR="00196B14">
        <w:rPr>
          <w:lang w:eastAsia="en-GB"/>
        </w:rPr>
        <w:t>os</w:t>
      </w:r>
      <w:r w:rsidR="0045644D">
        <w:rPr>
          <w:lang w:eastAsia="en-GB"/>
        </w:rPr>
        <w:t xml:space="preserve">e </w:t>
      </w:r>
      <w:r w:rsidR="00196B14">
        <w:rPr>
          <w:lang w:eastAsia="en-GB"/>
        </w:rPr>
        <w:t xml:space="preserve">he </w:t>
      </w:r>
      <w:r w:rsidR="00941ADB">
        <w:rPr>
          <w:lang w:eastAsia="en-GB"/>
        </w:rPr>
        <w:t xml:space="preserve">had </w:t>
      </w:r>
      <w:r w:rsidR="00196B14">
        <w:rPr>
          <w:lang w:eastAsia="en-GB"/>
        </w:rPr>
        <w:t xml:space="preserve">experienced during </w:t>
      </w:r>
      <w:r w:rsidR="0045644D">
        <w:rPr>
          <w:lang w:eastAsia="en-GB"/>
        </w:rPr>
        <w:t xml:space="preserve">his first </w:t>
      </w:r>
      <w:r w:rsidR="00196B14">
        <w:rPr>
          <w:lang w:eastAsia="en-GB"/>
        </w:rPr>
        <w:t xml:space="preserve">prison </w:t>
      </w:r>
      <w:r w:rsidR="0045644D">
        <w:rPr>
          <w:lang w:eastAsia="en-GB"/>
        </w:rPr>
        <w:t>term</w:t>
      </w:r>
      <w:r w:rsidR="00BA1549">
        <w:t>.</w:t>
      </w:r>
      <w:r w:rsidR="00DB76BB">
        <w:t xml:space="preserve"> </w:t>
      </w:r>
    </w:p>
    <w:p w14:paraId="3B62E2E5" w14:textId="0C4FB5C5" w:rsidR="003C3F44" w:rsidRDefault="00BC1127" w:rsidP="007E4C3E">
      <w:pPr>
        <w:pStyle w:val="SingleTxtG"/>
        <w:rPr>
          <w:lang w:eastAsia="en-GB"/>
        </w:rPr>
      </w:pPr>
      <w:r>
        <w:rPr>
          <w:lang w:eastAsia="en-GB"/>
        </w:rPr>
        <w:t>2.7</w:t>
      </w:r>
      <w:r>
        <w:rPr>
          <w:lang w:eastAsia="en-GB"/>
        </w:rPr>
        <w:tab/>
      </w:r>
      <w:r w:rsidRPr="00BC1127">
        <w:rPr>
          <w:lang w:eastAsia="en-GB"/>
        </w:rPr>
        <w:t xml:space="preserve">On 14 June 2012, </w:t>
      </w:r>
      <w:proofErr w:type="spellStart"/>
      <w:r w:rsidRPr="00BC1127">
        <w:rPr>
          <w:lang w:eastAsia="en-GB"/>
        </w:rPr>
        <w:t>Dashoguz</w:t>
      </w:r>
      <w:proofErr w:type="spellEnd"/>
      <w:r w:rsidRPr="00BC1127">
        <w:rPr>
          <w:lang w:eastAsia="en-GB"/>
        </w:rPr>
        <w:t xml:space="preserve"> Regional Court dismissed the author’s appeal. The author filed a supervisory appeal </w:t>
      </w:r>
      <w:r w:rsidR="007E4C3E">
        <w:rPr>
          <w:lang w:eastAsia="en-GB"/>
        </w:rPr>
        <w:t>before</w:t>
      </w:r>
      <w:r w:rsidRPr="00BC1127">
        <w:rPr>
          <w:lang w:eastAsia="en-GB"/>
        </w:rPr>
        <w:t xml:space="preserve"> the Supreme Court of Turkmenistan</w:t>
      </w:r>
      <w:r w:rsidR="001815AC">
        <w:rPr>
          <w:lang w:eastAsia="en-GB"/>
        </w:rPr>
        <w:t xml:space="preserve"> even though, according to the jurisprudence of the Committee, such </w:t>
      </w:r>
      <w:r w:rsidR="007E4C3E">
        <w:rPr>
          <w:lang w:eastAsia="en-GB"/>
        </w:rPr>
        <w:t xml:space="preserve">an </w:t>
      </w:r>
      <w:r w:rsidR="001815AC">
        <w:rPr>
          <w:lang w:eastAsia="en-GB"/>
        </w:rPr>
        <w:t>appeal is a purely discretionary remedy that</w:t>
      </w:r>
      <w:r w:rsidR="001815AC" w:rsidRPr="007C7E4A">
        <w:rPr>
          <w:lang w:eastAsia="en-GB"/>
        </w:rPr>
        <w:t xml:space="preserve"> does not need to </w:t>
      </w:r>
      <w:proofErr w:type="gramStart"/>
      <w:r w:rsidR="001815AC" w:rsidRPr="007C7E4A">
        <w:rPr>
          <w:lang w:eastAsia="en-GB"/>
        </w:rPr>
        <w:t>be pursued</w:t>
      </w:r>
      <w:proofErr w:type="gramEnd"/>
      <w:r w:rsidR="001815AC">
        <w:rPr>
          <w:lang w:eastAsia="en-GB"/>
        </w:rPr>
        <w:t xml:space="preserve"> </w:t>
      </w:r>
      <w:r w:rsidR="007E4C3E">
        <w:rPr>
          <w:lang w:eastAsia="en-GB"/>
        </w:rPr>
        <w:t xml:space="preserve">in order </w:t>
      </w:r>
      <w:r w:rsidR="001815AC">
        <w:rPr>
          <w:lang w:eastAsia="en-GB"/>
        </w:rPr>
        <w:t>to exhaust domestic remedies</w:t>
      </w:r>
      <w:r w:rsidR="001815AC" w:rsidRPr="007C7E4A">
        <w:rPr>
          <w:lang w:eastAsia="en-GB"/>
        </w:rPr>
        <w:t>.</w:t>
      </w:r>
      <w:r w:rsidR="001815AC" w:rsidRPr="00AB7D36">
        <w:rPr>
          <w:rStyle w:val="FootnoteReference"/>
        </w:rPr>
        <w:footnoteReference w:id="6"/>
      </w:r>
      <w:r w:rsidR="001815AC">
        <w:rPr>
          <w:lang w:eastAsia="en-GB"/>
        </w:rPr>
        <w:t xml:space="preserve"> </w:t>
      </w:r>
      <w:r w:rsidRPr="00BC1127">
        <w:rPr>
          <w:lang w:eastAsia="en-GB"/>
        </w:rPr>
        <w:t xml:space="preserve">On 13 July 2012, </w:t>
      </w:r>
      <w:r w:rsidR="001815AC">
        <w:rPr>
          <w:lang w:eastAsia="en-GB"/>
        </w:rPr>
        <w:t>the Court</w:t>
      </w:r>
      <w:r w:rsidRPr="00BC1127">
        <w:rPr>
          <w:lang w:eastAsia="en-GB"/>
        </w:rPr>
        <w:t xml:space="preserve"> dismissed</w:t>
      </w:r>
      <w:r w:rsidR="001815AC">
        <w:rPr>
          <w:lang w:eastAsia="en-GB"/>
        </w:rPr>
        <w:t xml:space="preserve"> the author’s appeal</w:t>
      </w:r>
      <w:r w:rsidRPr="00BC1127">
        <w:rPr>
          <w:lang w:eastAsia="en-GB"/>
        </w:rPr>
        <w:t>.</w:t>
      </w:r>
      <w:r w:rsidR="001815AC">
        <w:rPr>
          <w:lang w:eastAsia="en-GB"/>
        </w:rPr>
        <w:t xml:space="preserve"> </w:t>
      </w:r>
    </w:p>
    <w:p w14:paraId="5BA741F5" w14:textId="1A03C3A5" w:rsidR="00076B7E" w:rsidRDefault="00BC1127" w:rsidP="00254916">
      <w:pPr>
        <w:pStyle w:val="SingleTxtG"/>
        <w:rPr>
          <w:lang w:eastAsia="en-GB"/>
        </w:rPr>
      </w:pPr>
      <w:r>
        <w:rPr>
          <w:lang w:eastAsia="en-GB"/>
        </w:rPr>
        <w:t>2.8</w:t>
      </w:r>
      <w:r>
        <w:rPr>
          <w:lang w:eastAsia="en-GB"/>
        </w:rPr>
        <w:tab/>
      </w:r>
      <w:r w:rsidR="00C56C38" w:rsidRPr="00C56C38">
        <w:rPr>
          <w:lang w:eastAsia="en-GB"/>
        </w:rPr>
        <w:t>As to the alleged violation of article 7 of the Covenant, the author maintains that there was no effective do</w:t>
      </w:r>
      <w:r w:rsidR="00C56C38">
        <w:rPr>
          <w:lang w:eastAsia="en-GB"/>
        </w:rPr>
        <w:t xml:space="preserve">mestic remedy available </w:t>
      </w:r>
      <w:r w:rsidR="00433DCB" w:rsidRPr="00433DCB">
        <w:rPr>
          <w:lang w:eastAsia="en-GB"/>
        </w:rPr>
        <w:t xml:space="preserve">to complain about </w:t>
      </w:r>
      <w:r w:rsidR="00BA5EE8">
        <w:rPr>
          <w:lang w:eastAsia="en-GB"/>
        </w:rPr>
        <w:t xml:space="preserve">the </w:t>
      </w:r>
      <w:r w:rsidR="00143BE5">
        <w:rPr>
          <w:lang w:eastAsia="en-GB"/>
        </w:rPr>
        <w:t xml:space="preserve">“inhuman or degrading treatment or punishment” </w:t>
      </w:r>
      <w:r w:rsidR="00785A34">
        <w:rPr>
          <w:lang w:eastAsia="en-GB"/>
        </w:rPr>
        <w:t xml:space="preserve">he </w:t>
      </w:r>
      <w:r w:rsidR="00BA5EE8">
        <w:rPr>
          <w:lang w:eastAsia="en-GB"/>
        </w:rPr>
        <w:t xml:space="preserve">suffered while in </w:t>
      </w:r>
      <w:r w:rsidR="005B62F3">
        <w:rPr>
          <w:lang w:eastAsia="en-GB"/>
        </w:rPr>
        <w:t xml:space="preserve">detention and in </w:t>
      </w:r>
      <w:r w:rsidR="00BA5EE8">
        <w:rPr>
          <w:lang w:eastAsia="en-GB"/>
        </w:rPr>
        <w:t>prison</w:t>
      </w:r>
      <w:r w:rsidR="00143BE5">
        <w:rPr>
          <w:lang w:eastAsia="en-GB"/>
        </w:rPr>
        <w:t xml:space="preserve">. </w:t>
      </w:r>
      <w:proofErr w:type="gramStart"/>
      <w:r w:rsidR="00E528B6" w:rsidRPr="00E528B6">
        <w:rPr>
          <w:lang w:eastAsia="en-GB"/>
        </w:rPr>
        <w:t xml:space="preserve">He refers to the concluding observations of the Committee against Torture </w:t>
      </w:r>
      <w:r w:rsidR="000277F6">
        <w:rPr>
          <w:lang w:eastAsia="en-GB"/>
        </w:rPr>
        <w:t xml:space="preserve">on </w:t>
      </w:r>
      <w:r w:rsidR="00254916">
        <w:rPr>
          <w:lang w:eastAsia="en-GB"/>
        </w:rPr>
        <w:t xml:space="preserve">the initial report of </w:t>
      </w:r>
      <w:r w:rsidR="00E528B6" w:rsidRPr="00E528B6">
        <w:rPr>
          <w:lang w:eastAsia="en-GB"/>
        </w:rPr>
        <w:t>Turkmenistan</w:t>
      </w:r>
      <w:r w:rsidR="00785A34">
        <w:rPr>
          <w:lang w:eastAsia="en-GB"/>
        </w:rPr>
        <w:t xml:space="preserve"> </w:t>
      </w:r>
      <w:r w:rsidR="00785A34">
        <w:t>(CAT/C/TKM/CO/1)</w:t>
      </w:r>
      <w:r w:rsidR="00E528B6" w:rsidRPr="00E528B6">
        <w:rPr>
          <w:lang w:eastAsia="en-GB"/>
        </w:rPr>
        <w:t>,</w:t>
      </w:r>
      <w:r w:rsidR="00C56C38">
        <w:rPr>
          <w:lang w:eastAsia="en-GB"/>
        </w:rPr>
        <w:t xml:space="preserve"> </w:t>
      </w:r>
      <w:r w:rsidR="00E528B6" w:rsidRPr="00E528B6">
        <w:rPr>
          <w:lang w:eastAsia="en-GB"/>
        </w:rPr>
        <w:t xml:space="preserve">in which the Committee </w:t>
      </w:r>
      <w:r w:rsidR="00B457F0">
        <w:rPr>
          <w:lang w:eastAsia="en-GB"/>
        </w:rPr>
        <w:t xml:space="preserve">expressed concern about </w:t>
      </w:r>
      <w:r w:rsidR="00E528B6" w:rsidRPr="00E528B6">
        <w:rPr>
          <w:lang w:eastAsia="en-GB"/>
        </w:rPr>
        <w:t>the lack of an independent and effective complaint mechanism in the State party for receiving</w:t>
      </w:r>
      <w:r w:rsidR="00BA5EE8">
        <w:rPr>
          <w:lang w:eastAsia="en-GB"/>
        </w:rPr>
        <w:t xml:space="preserve"> </w:t>
      </w:r>
      <w:r w:rsidR="00E528B6" w:rsidRPr="00E528B6">
        <w:rPr>
          <w:lang w:eastAsia="en-GB"/>
        </w:rPr>
        <w:t xml:space="preserve">and conducting impartial and </w:t>
      </w:r>
      <w:r w:rsidR="00B457F0">
        <w:rPr>
          <w:lang w:eastAsia="en-GB"/>
        </w:rPr>
        <w:t>full</w:t>
      </w:r>
      <w:r w:rsidR="00E528B6" w:rsidRPr="00E528B6">
        <w:rPr>
          <w:lang w:eastAsia="en-GB"/>
        </w:rPr>
        <w:t xml:space="preserve"> investigations</w:t>
      </w:r>
      <w:r w:rsidR="00B457F0">
        <w:rPr>
          <w:lang w:eastAsia="en-GB"/>
        </w:rPr>
        <w:t xml:space="preserve"> into allegations of torture</w:t>
      </w:r>
      <w:r w:rsidR="00E528B6" w:rsidRPr="00E528B6">
        <w:rPr>
          <w:lang w:eastAsia="en-GB"/>
        </w:rPr>
        <w:t>, in particular</w:t>
      </w:r>
      <w:r w:rsidR="00BA5EE8">
        <w:rPr>
          <w:lang w:eastAsia="en-GB"/>
        </w:rPr>
        <w:t xml:space="preserve"> </w:t>
      </w:r>
      <w:r w:rsidR="00B457F0">
        <w:rPr>
          <w:lang w:eastAsia="en-GB"/>
        </w:rPr>
        <w:t>of convicted</w:t>
      </w:r>
      <w:r w:rsidR="00E528B6" w:rsidRPr="00E528B6">
        <w:rPr>
          <w:lang w:eastAsia="en-GB"/>
        </w:rPr>
        <w:t xml:space="preserve"> prisoners and </w:t>
      </w:r>
      <w:proofErr w:type="spellStart"/>
      <w:r w:rsidR="00E528B6" w:rsidRPr="00E528B6">
        <w:rPr>
          <w:lang w:eastAsia="en-GB"/>
        </w:rPr>
        <w:t>pretrial</w:t>
      </w:r>
      <w:proofErr w:type="spellEnd"/>
      <w:r w:rsidR="00E528B6" w:rsidRPr="00E528B6">
        <w:rPr>
          <w:lang w:eastAsia="en-GB"/>
        </w:rPr>
        <w:t xml:space="preserve"> detainees</w:t>
      </w:r>
      <w:r w:rsidR="00B457F0">
        <w:rPr>
          <w:lang w:eastAsia="en-GB"/>
        </w:rPr>
        <w:t xml:space="preserve"> (para. 11 (a))</w:t>
      </w:r>
      <w:r w:rsidR="00E528B6" w:rsidRPr="00E528B6">
        <w:rPr>
          <w:lang w:eastAsia="en-GB"/>
        </w:rPr>
        <w:t>.</w:t>
      </w:r>
      <w:proofErr w:type="gramEnd"/>
      <w:r w:rsidR="00143BE5">
        <w:rPr>
          <w:lang w:eastAsia="en-GB"/>
        </w:rPr>
        <w:t xml:space="preserve"> </w:t>
      </w:r>
    </w:p>
    <w:p w14:paraId="3A9A3AE2" w14:textId="6243BE64" w:rsidR="00BC1127" w:rsidRDefault="00076B7E" w:rsidP="00B457F0">
      <w:pPr>
        <w:pStyle w:val="SingleTxtG"/>
        <w:rPr>
          <w:lang w:eastAsia="en-GB"/>
        </w:rPr>
      </w:pPr>
      <w:r>
        <w:rPr>
          <w:lang w:eastAsia="en-GB"/>
        </w:rPr>
        <w:t>2.9</w:t>
      </w:r>
      <w:r>
        <w:rPr>
          <w:lang w:eastAsia="en-GB"/>
        </w:rPr>
        <w:tab/>
      </w:r>
      <w:r w:rsidR="00143BE5">
        <w:rPr>
          <w:lang w:eastAsia="en-GB"/>
        </w:rPr>
        <w:t xml:space="preserve">As to the alleged violation of article 14 (7) of the Covenant, the author </w:t>
      </w:r>
      <w:r>
        <w:rPr>
          <w:lang w:eastAsia="en-GB"/>
        </w:rPr>
        <w:t>submits that</w:t>
      </w:r>
      <w:r w:rsidR="00143BE5">
        <w:rPr>
          <w:lang w:eastAsia="en-GB"/>
        </w:rPr>
        <w:t xml:space="preserve"> article 18 (4) of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r w:rsidR="0080221F" w:rsidRPr="00214E11">
        <w:t xml:space="preserve"> </w:t>
      </w:r>
      <w:r w:rsidR="00143BE5">
        <w:rPr>
          <w:lang w:eastAsia="en-GB"/>
        </w:rPr>
        <w:t xml:space="preserve">expressly permits the repeated prosecution and imprisonment of conscientious objectors to military service. As a result, no domestic remedy </w:t>
      </w:r>
      <w:r>
        <w:rPr>
          <w:lang w:eastAsia="en-GB"/>
        </w:rPr>
        <w:t xml:space="preserve">was </w:t>
      </w:r>
      <w:r w:rsidR="00143BE5">
        <w:rPr>
          <w:lang w:eastAsia="en-GB"/>
        </w:rPr>
        <w:t xml:space="preserve">available </w:t>
      </w:r>
      <w:r>
        <w:rPr>
          <w:lang w:eastAsia="en-GB"/>
        </w:rPr>
        <w:t>for him</w:t>
      </w:r>
      <w:r w:rsidR="00143BE5">
        <w:rPr>
          <w:lang w:eastAsia="en-GB"/>
        </w:rPr>
        <w:t xml:space="preserve"> to obtain redress against </w:t>
      </w:r>
      <w:r w:rsidR="000277F6">
        <w:rPr>
          <w:lang w:eastAsia="en-GB"/>
        </w:rPr>
        <w:t xml:space="preserve">his </w:t>
      </w:r>
      <w:r w:rsidR="00143BE5">
        <w:rPr>
          <w:lang w:eastAsia="en-GB"/>
        </w:rPr>
        <w:t xml:space="preserve">repeated prosecution and conviction as </w:t>
      </w:r>
      <w:r w:rsidR="00B457F0">
        <w:rPr>
          <w:lang w:eastAsia="en-GB"/>
        </w:rPr>
        <w:t xml:space="preserve">a </w:t>
      </w:r>
      <w:r w:rsidR="000277F6">
        <w:rPr>
          <w:lang w:eastAsia="en-GB"/>
        </w:rPr>
        <w:t>conscientious objector</w:t>
      </w:r>
      <w:r w:rsidR="00143BE5">
        <w:rPr>
          <w:lang w:eastAsia="en-GB"/>
        </w:rPr>
        <w:t xml:space="preserve"> to military service. </w:t>
      </w:r>
      <w:r>
        <w:rPr>
          <w:lang w:eastAsia="en-GB"/>
        </w:rPr>
        <w:t>T</w:t>
      </w:r>
      <w:r w:rsidR="00BA1549">
        <w:rPr>
          <w:lang w:eastAsia="en-GB"/>
        </w:rPr>
        <w:t xml:space="preserve">he </w:t>
      </w:r>
      <w:r w:rsidR="00BA1549" w:rsidRPr="00BA1549">
        <w:rPr>
          <w:lang w:eastAsia="en-GB"/>
        </w:rPr>
        <w:t>author</w:t>
      </w:r>
      <w:r>
        <w:rPr>
          <w:lang w:eastAsia="en-GB"/>
        </w:rPr>
        <w:t xml:space="preserve"> </w:t>
      </w:r>
      <w:r w:rsidR="00BA1549">
        <w:rPr>
          <w:lang w:eastAsia="en-GB"/>
        </w:rPr>
        <w:t xml:space="preserve">claims </w:t>
      </w:r>
      <w:r w:rsidR="00BA1549" w:rsidRPr="00BA1549">
        <w:rPr>
          <w:lang w:eastAsia="en-GB"/>
        </w:rPr>
        <w:t xml:space="preserve">that </w:t>
      </w:r>
      <w:r w:rsidR="00BA1549">
        <w:rPr>
          <w:lang w:eastAsia="en-GB"/>
        </w:rPr>
        <w:t xml:space="preserve">with the submission of </w:t>
      </w:r>
      <w:r w:rsidR="00BA1549" w:rsidRPr="00BA1549">
        <w:rPr>
          <w:lang w:eastAsia="en-GB"/>
        </w:rPr>
        <w:t>a supervisory appeal to the Supreme Court of Turkmenistan</w:t>
      </w:r>
      <w:r>
        <w:rPr>
          <w:lang w:eastAsia="en-GB"/>
        </w:rPr>
        <w:t>,</w:t>
      </w:r>
      <w:r w:rsidR="00BA1549" w:rsidRPr="00BA1549">
        <w:rPr>
          <w:lang w:eastAsia="en-GB"/>
        </w:rPr>
        <w:t xml:space="preserve"> he has exhausted the available domestic remedies concerning the alleged violation of article 18 (1) of the Covenant.</w:t>
      </w:r>
      <w:r w:rsidR="00BA1549" w:rsidRPr="00AB7D36">
        <w:rPr>
          <w:rStyle w:val="FootnoteReference"/>
        </w:rPr>
        <w:footnoteReference w:id="7"/>
      </w:r>
      <w:r w:rsidR="00BA1549" w:rsidRPr="00BA1549">
        <w:rPr>
          <w:lang w:eastAsia="en-GB"/>
        </w:rPr>
        <w:t xml:space="preserve"> </w:t>
      </w:r>
      <w:r>
        <w:rPr>
          <w:lang w:eastAsia="en-GB"/>
        </w:rPr>
        <w:t>He</w:t>
      </w:r>
      <w:r w:rsidR="001B0A4D" w:rsidRPr="001B0A4D">
        <w:rPr>
          <w:lang w:eastAsia="en-GB"/>
        </w:rPr>
        <w:t xml:space="preserve"> considers that the appellate court decision</w:t>
      </w:r>
      <w:r w:rsidR="00805B2C">
        <w:rPr>
          <w:lang w:eastAsia="en-GB"/>
        </w:rPr>
        <w:t xml:space="preserve"> of </w:t>
      </w:r>
      <w:proofErr w:type="spellStart"/>
      <w:r w:rsidR="00805B2C">
        <w:rPr>
          <w:lang w:eastAsia="en-GB"/>
        </w:rPr>
        <w:t>Dashoguz</w:t>
      </w:r>
      <w:proofErr w:type="spellEnd"/>
      <w:r w:rsidR="00805B2C">
        <w:rPr>
          <w:lang w:eastAsia="en-GB"/>
        </w:rPr>
        <w:t xml:space="preserve"> Regional Court</w:t>
      </w:r>
      <w:r w:rsidR="001B0A4D">
        <w:rPr>
          <w:lang w:eastAsia="en-GB"/>
        </w:rPr>
        <w:t xml:space="preserve">, dated 5 January 2010, </w:t>
      </w:r>
      <w:r w:rsidR="00805B2C">
        <w:rPr>
          <w:lang w:eastAsia="en-GB"/>
        </w:rPr>
        <w:t xml:space="preserve">on his first conviction, </w:t>
      </w:r>
      <w:r w:rsidR="001B0A4D">
        <w:rPr>
          <w:lang w:eastAsia="en-GB"/>
        </w:rPr>
        <w:t>and the decision of the Supreme Court of Turkmenistan, dated 13 July 2012, on his second conviction</w:t>
      </w:r>
      <w:r>
        <w:rPr>
          <w:lang w:eastAsia="en-GB"/>
        </w:rPr>
        <w:t>,</w:t>
      </w:r>
      <w:r w:rsidR="001B0A4D">
        <w:rPr>
          <w:lang w:eastAsia="en-GB"/>
        </w:rPr>
        <w:t xml:space="preserve"> satisfy his obligation to exhaust </w:t>
      </w:r>
      <w:r>
        <w:rPr>
          <w:lang w:eastAsia="en-GB"/>
        </w:rPr>
        <w:t xml:space="preserve">all </w:t>
      </w:r>
      <w:r w:rsidR="001B0A4D">
        <w:rPr>
          <w:lang w:eastAsia="en-GB"/>
        </w:rPr>
        <w:t xml:space="preserve">available domestic remedies prior to </w:t>
      </w:r>
      <w:r>
        <w:rPr>
          <w:lang w:eastAsia="en-GB"/>
        </w:rPr>
        <w:t xml:space="preserve">submitting his </w:t>
      </w:r>
      <w:r w:rsidR="001B0A4D">
        <w:rPr>
          <w:lang w:eastAsia="en-GB"/>
        </w:rPr>
        <w:t xml:space="preserve">communication to the Committee. </w:t>
      </w:r>
    </w:p>
    <w:p w14:paraId="49D1B2A3" w14:textId="56781DE3" w:rsidR="004B01C6" w:rsidRDefault="00CD3B75" w:rsidP="008600D2">
      <w:pPr>
        <w:pStyle w:val="SingleTxtG"/>
        <w:rPr>
          <w:lang w:eastAsia="en-GB"/>
        </w:rPr>
      </w:pPr>
      <w:r>
        <w:rPr>
          <w:lang w:eastAsia="en-GB"/>
        </w:rPr>
        <w:t>2.</w:t>
      </w:r>
      <w:r w:rsidR="00805B2C">
        <w:rPr>
          <w:lang w:eastAsia="en-GB"/>
        </w:rPr>
        <w:t>10</w:t>
      </w:r>
      <w:r>
        <w:rPr>
          <w:lang w:eastAsia="en-GB"/>
        </w:rPr>
        <w:tab/>
      </w:r>
      <w:r w:rsidR="00076B7E">
        <w:rPr>
          <w:lang w:eastAsia="en-GB"/>
        </w:rPr>
        <w:t>I</w:t>
      </w:r>
      <w:r w:rsidR="000277F6">
        <w:rPr>
          <w:lang w:eastAsia="en-GB"/>
        </w:rPr>
        <w:t xml:space="preserve">n </w:t>
      </w:r>
      <w:r w:rsidR="003F330A">
        <w:rPr>
          <w:lang w:eastAsia="en-GB"/>
        </w:rPr>
        <w:t>his additional</w:t>
      </w:r>
      <w:r>
        <w:rPr>
          <w:lang w:eastAsia="en-GB"/>
        </w:rPr>
        <w:t xml:space="preserve"> submission</w:t>
      </w:r>
      <w:r w:rsidR="00076B7E">
        <w:rPr>
          <w:lang w:eastAsia="en-GB"/>
        </w:rPr>
        <w:t xml:space="preserve"> dated 6 February 2013</w:t>
      </w:r>
      <w:r>
        <w:rPr>
          <w:lang w:eastAsia="en-GB"/>
        </w:rPr>
        <w:t xml:space="preserve">, the author </w:t>
      </w:r>
      <w:r w:rsidR="004B01C6">
        <w:rPr>
          <w:lang w:eastAsia="en-GB"/>
        </w:rPr>
        <w:t>inform</w:t>
      </w:r>
      <w:r w:rsidR="003F330A">
        <w:rPr>
          <w:lang w:eastAsia="en-GB"/>
        </w:rPr>
        <w:t>ed</w:t>
      </w:r>
      <w:r w:rsidR="000277F6">
        <w:rPr>
          <w:lang w:eastAsia="en-GB"/>
        </w:rPr>
        <w:t xml:space="preserve"> </w:t>
      </w:r>
      <w:proofErr w:type="gramStart"/>
      <w:r w:rsidR="004B01C6">
        <w:rPr>
          <w:lang w:eastAsia="en-GB"/>
        </w:rPr>
        <w:t xml:space="preserve">the Committee </w:t>
      </w:r>
      <w:r w:rsidR="00076B7E">
        <w:rPr>
          <w:lang w:eastAsia="en-GB"/>
        </w:rPr>
        <w:t xml:space="preserve">that on </w:t>
      </w:r>
      <w:r w:rsidR="004B01C6">
        <w:rPr>
          <w:lang w:eastAsia="en-GB"/>
        </w:rPr>
        <w:t>24 January 2013</w:t>
      </w:r>
      <w:r w:rsidR="00076B7E">
        <w:rPr>
          <w:lang w:eastAsia="en-GB"/>
        </w:rPr>
        <w:t xml:space="preserve"> at 10</w:t>
      </w:r>
      <w:r w:rsidR="00815435">
        <w:rPr>
          <w:lang w:eastAsia="en-GB"/>
        </w:rPr>
        <w:t xml:space="preserve"> </w:t>
      </w:r>
      <w:r w:rsidR="00076B7E">
        <w:rPr>
          <w:lang w:eastAsia="en-GB"/>
        </w:rPr>
        <w:t>p</w:t>
      </w:r>
      <w:r w:rsidR="00815435">
        <w:rPr>
          <w:lang w:eastAsia="en-GB"/>
        </w:rPr>
        <w:t>.</w:t>
      </w:r>
      <w:r w:rsidR="00076B7E">
        <w:rPr>
          <w:lang w:eastAsia="en-GB"/>
        </w:rPr>
        <w:t>m</w:t>
      </w:r>
      <w:r w:rsidR="00815435">
        <w:rPr>
          <w:lang w:eastAsia="en-GB"/>
        </w:rPr>
        <w:t>.</w:t>
      </w:r>
      <w:r w:rsidR="008600D2">
        <w:rPr>
          <w:lang w:eastAsia="en-GB"/>
        </w:rPr>
        <w:t>,</w:t>
      </w:r>
      <w:r w:rsidR="00815435">
        <w:rPr>
          <w:lang w:eastAsia="en-GB"/>
        </w:rPr>
        <w:t xml:space="preserve"> weeks after th</w:t>
      </w:r>
      <w:r w:rsidR="008600D2">
        <w:rPr>
          <w:lang w:eastAsia="en-GB"/>
        </w:rPr>
        <w:t>e present</w:t>
      </w:r>
      <w:r w:rsidR="00815435">
        <w:rPr>
          <w:lang w:eastAsia="en-GB"/>
        </w:rPr>
        <w:t xml:space="preserve"> communication and nine others </w:t>
      </w:r>
      <w:r w:rsidR="008600D2">
        <w:rPr>
          <w:lang w:eastAsia="en-GB"/>
        </w:rPr>
        <w:t>had been</w:t>
      </w:r>
      <w:r w:rsidR="00815435">
        <w:rPr>
          <w:lang w:eastAsia="en-GB"/>
        </w:rPr>
        <w:t xml:space="preserve"> transmitted to the State party by the Committee on 7 December 2012</w:t>
      </w:r>
      <w:r w:rsidR="004B01C6">
        <w:rPr>
          <w:lang w:eastAsia="en-GB"/>
        </w:rPr>
        <w:t xml:space="preserve">, the </w:t>
      </w:r>
      <w:r w:rsidR="008600D2">
        <w:rPr>
          <w:lang w:eastAsia="en-GB"/>
        </w:rPr>
        <w:t xml:space="preserve">author’s </w:t>
      </w:r>
      <w:r w:rsidR="004B01C6">
        <w:rPr>
          <w:lang w:eastAsia="en-GB"/>
        </w:rPr>
        <w:t xml:space="preserve">family </w:t>
      </w:r>
      <w:r w:rsidR="00076B7E">
        <w:rPr>
          <w:lang w:eastAsia="en-GB"/>
        </w:rPr>
        <w:t>home was raided by more than 30 police officers</w:t>
      </w:r>
      <w:proofErr w:type="gramEnd"/>
      <w:r w:rsidR="00815435">
        <w:rPr>
          <w:lang w:eastAsia="en-GB"/>
        </w:rPr>
        <w:t xml:space="preserve">. The </w:t>
      </w:r>
      <w:r w:rsidR="008600D2">
        <w:rPr>
          <w:lang w:eastAsia="en-GB"/>
        </w:rPr>
        <w:t xml:space="preserve">police subjected the </w:t>
      </w:r>
      <w:r w:rsidR="00815435">
        <w:rPr>
          <w:lang w:eastAsia="en-GB"/>
        </w:rPr>
        <w:t>family members and guests present that evening</w:t>
      </w:r>
      <w:r w:rsidR="004B01C6">
        <w:rPr>
          <w:lang w:eastAsia="en-GB"/>
        </w:rPr>
        <w:t xml:space="preserve"> </w:t>
      </w:r>
      <w:r w:rsidR="00076B7E">
        <w:rPr>
          <w:lang w:eastAsia="en-GB"/>
        </w:rPr>
        <w:t xml:space="preserve">to </w:t>
      </w:r>
      <w:r w:rsidR="004B01C6">
        <w:rPr>
          <w:lang w:eastAsia="en-GB"/>
        </w:rPr>
        <w:t xml:space="preserve">beatings, threats of rape and serious mistreatment. </w:t>
      </w:r>
      <w:r w:rsidR="000277F6">
        <w:rPr>
          <w:lang w:eastAsia="en-GB"/>
        </w:rPr>
        <w:t>After h</w:t>
      </w:r>
      <w:r w:rsidR="00744B3A">
        <w:rPr>
          <w:lang w:eastAsia="en-GB"/>
        </w:rPr>
        <w:t xml:space="preserve">aving submitted </w:t>
      </w:r>
      <w:r w:rsidR="00815435">
        <w:rPr>
          <w:lang w:eastAsia="en-GB"/>
        </w:rPr>
        <w:t xml:space="preserve">a </w:t>
      </w:r>
      <w:r w:rsidR="00744B3A">
        <w:rPr>
          <w:lang w:eastAsia="en-GB"/>
        </w:rPr>
        <w:t xml:space="preserve">complaint </w:t>
      </w:r>
      <w:r w:rsidR="008600D2">
        <w:rPr>
          <w:lang w:eastAsia="en-GB"/>
        </w:rPr>
        <w:t>in</w:t>
      </w:r>
      <w:r w:rsidR="00815435">
        <w:rPr>
          <w:lang w:eastAsia="en-GB"/>
        </w:rPr>
        <w:t xml:space="preserve"> that regard </w:t>
      </w:r>
      <w:r w:rsidR="00744B3A">
        <w:rPr>
          <w:lang w:eastAsia="en-GB"/>
        </w:rPr>
        <w:t xml:space="preserve">to the Prosecutor General and the President of Turkmenistan, the author requested </w:t>
      </w:r>
      <w:r w:rsidR="008600D2">
        <w:rPr>
          <w:lang w:eastAsia="en-GB"/>
        </w:rPr>
        <w:t xml:space="preserve">the Committee’s </w:t>
      </w:r>
      <w:r w:rsidR="00744B3A">
        <w:rPr>
          <w:lang w:eastAsia="en-GB"/>
        </w:rPr>
        <w:t xml:space="preserve">protection </w:t>
      </w:r>
      <w:r w:rsidR="000277F6">
        <w:rPr>
          <w:lang w:eastAsia="en-GB"/>
        </w:rPr>
        <w:t>against reprisals</w:t>
      </w:r>
      <w:r w:rsidR="008600D2">
        <w:rPr>
          <w:lang w:eastAsia="en-GB"/>
        </w:rPr>
        <w:t xml:space="preserve"> (see para. 1.2 above)</w:t>
      </w:r>
      <w:r w:rsidR="00744B3A">
        <w:rPr>
          <w:lang w:eastAsia="en-GB"/>
        </w:rPr>
        <w:t>.</w:t>
      </w:r>
    </w:p>
    <w:p w14:paraId="0CBEFC72" w14:textId="77777777" w:rsidR="00C56C38" w:rsidRDefault="00744B3A" w:rsidP="00E528B6">
      <w:pPr>
        <w:pStyle w:val="SingleTxtG"/>
        <w:ind w:firstLine="6"/>
        <w:rPr>
          <w:lang w:eastAsia="en-GB"/>
        </w:rPr>
      </w:pPr>
      <w:r>
        <w:rPr>
          <w:lang w:eastAsia="en-GB"/>
        </w:rPr>
        <w:t>2.1</w:t>
      </w:r>
      <w:r w:rsidR="00805B2C">
        <w:rPr>
          <w:lang w:eastAsia="en-GB"/>
        </w:rPr>
        <w:t>1</w:t>
      </w:r>
      <w:r>
        <w:rPr>
          <w:lang w:eastAsia="en-GB"/>
        </w:rPr>
        <w:tab/>
      </w:r>
      <w:r w:rsidR="00C56C38" w:rsidRPr="00C56C38">
        <w:rPr>
          <w:lang w:eastAsia="en-GB"/>
        </w:rPr>
        <w:t>The author has not submitted his com</w:t>
      </w:r>
      <w:r w:rsidR="000277F6">
        <w:rPr>
          <w:lang w:eastAsia="en-GB"/>
        </w:rPr>
        <w:t xml:space="preserve">munication </w:t>
      </w:r>
      <w:r w:rsidR="00C56C38" w:rsidRPr="00C56C38">
        <w:rPr>
          <w:lang w:eastAsia="en-GB"/>
        </w:rPr>
        <w:t>to any other procedure of international investigation or settlement.</w:t>
      </w:r>
    </w:p>
    <w:p w14:paraId="15E7641A" w14:textId="77777777" w:rsidR="00FA222B" w:rsidRPr="00214E11" w:rsidRDefault="00014BC3" w:rsidP="00132E0A">
      <w:pPr>
        <w:pStyle w:val="H23G"/>
        <w:ind w:left="0" w:firstLine="0"/>
      </w:pPr>
      <w:r>
        <w:tab/>
      </w:r>
      <w:r>
        <w:tab/>
      </w:r>
      <w:r w:rsidR="00FA222B" w:rsidRPr="00214E11">
        <w:t>The complaint</w:t>
      </w:r>
    </w:p>
    <w:p w14:paraId="68F8063F" w14:textId="591F65E1" w:rsidR="00446A67" w:rsidRPr="00214E11" w:rsidRDefault="0067314F" w:rsidP="00B746AD">
      <w:pPr>
        <w:pStyle w:val="SingleTxtG"/>
      </w:pPr>
      <w:r w:rsidRPr="00214E11">
        <w:t>3.1</w:t>
      </w:r>
      <w:r w:rsidR="00446A67" w:rsidRPr="00214E11">
        <w:tab/>
      </w:r>
      <w:r w:rsidR="00B236A2" w:rsidRPr="00214E11">
        <w:t xml:space="preserve">The author claims that his </w:t>
      </w:r>
      <w:r w:rsidR="004A1560">
        <w:t xml:space="preserve">prosecution and </w:t>
      </w:r>
      <w:r w:rsidR="00B236A2" w:rsidRPr="00214E11">
        <w:t>imprisonment on</w:t>
      </w:r>
      <w:r w:rsidR="0075709C">
        <w:t xml:space="preserve"> the</w:t>
      </w:r>
      <w:r w:rsidR="00B236A2" w:rsidRPr="00214E11">
        <w:t xml:space="preserve"> </w:t>
      </w:r>
      <w:r w:rsidR="00B746AD">
        <w:t>ground</w:t>
      </w:r>
      <w:r w:rsidR="00B746AD" w:rsidRPr="00214E11">
        <w:t xml:space="preserve"> </w:t>
      </w:r>
      <w:r w:rsidR="00B236A2" w:rsidRPr="00214E11">
        <w:t xml:space="preserve">of his religious beliefs </w:t>
      </w:r>
      <w:r w:rsidR="00853F90">
        <w:t xml:space="preserve">expressed in his conscientious objection to military service </w:t>
      </w:r>
      <w:r w:rsidR="00B236A2" w:rsidRPr="00214E11">
        <w:t xml:space="preserve">in </w:t>
      </w:r>
      <w:proofErr w:type="gramStart"/>
      <w:r w:rsidR="00B236A2" w:rsidRPr="00214E11">
        <w:t>itself</w:t>
      </w:r>
      <w:proofErr w:type="gramEnd"/>
      <w:r w:rsidR="00B236A2" w:rsidRPr="00214E11">
        <w:t xml:space="preserve"> constitute</w:t>
      </w:r>
      <w:r w:rsidR="00600AAA">
        <w:t>s</w:t>
      </w:r>
      <w:r w:rsidR="00B236A2" w:rsidRPr="00214E11">
        <w:t xml:space="preserve"> inhuman or degrading treatment within the meaning of article 7 of the Covenant.</w:t>
      </w:r>
      <w:r w:rsidR="00853F90" w:rsidRPr="00AB7D36">
        <w:rPr>
          <w:rStyle w:val="FootnoteReference"/>
        </w:rPr>
        <w:footnoteReference w:id="8"/>
      </w:r>
      <w:r w:rsidR="00B236A2" w:rsidRPr="00214E11">
        <w:t xml:space="preserve"> </w:t>
      </w:r>
    </w:p>
    <w:p w14:paraId="0E147FB3" w14:textId="35F3878D" w:rsidR="00FA222B" w:rsidRPr="00214E11" w:rsidRDefault="00446A67" w:rsidP="00D534C3">
      <w:pPr>
        <w:pStyle w:val="SingleTxtG"/>
      </w:pPr>
      <w:r w:rsidRPr="00214E11">
        <w:t>3.</w:t>
      </w:r>
      <w:r w:rsidR="00401846" w:rsidRPr="00214E11">
        <w:t>2</w:t>
      </w:r>
      <w:r w:rsidRPr="00214E11">
        <w:tab/>
      </w:r>
      <w:r w:rsidR="00FA222B" w:rsidRPr="0011512D">
        <w:rPr>
          <w:lang w:eastAsia="en-GB"/>
        </w:rPr>
        <w:t xml:space="preserve">The author </w:t>
      </w:r>
      <w:r w:rsidR="00254916">
        <w:rPr>
          <w:lang w:eastAsia="en-GB"/>
        </w:rPr>
        <w:t>also</w:t>
      </w:r>
      <w:r w:rsidR="00FA222B" w:rsidRPr="0011512D">
        <w:rPr>
          <w:lang w:eastAsia="en-GB"/>
        </w:rPr>
        <w:t xml:space="preserve"> claims a violation of article 7 of the Covenant on account of </w:t>
      </w:r>
      <w:r w:rsidR="00146BC0" w:rsidRPr="0011512D">
        <w:t xml:space="preserve">his </w:t>
      </w:r>
      <w:r w:rsidR="0011512D" w:rsidRPr="0011512D">
        <w:t xml:space="preserve">inhuman or degrading treatment or punishment </w:t>
      </w:r>
      <w:r w:rsidR="00146BC0" w:rsidRPr="0011512D">
        <w:t>while in detention</w:t>
      </w:r>
      <w:r w:rsidR="008401AE">
        <w:t xml:space="preserve">, </w:t>
      </w:r>
      <w:r w:rsidR="0011512D" w:rsidRPr="0011512D">
        <w:rPr>
          <w:lang w:eastAsia="en-GB"/>
        </w:rPr>
        <w:t>including police brutality</w:t>
      </w:r>
      <w:r w:rsidR="008401AE">
        <w:rPr>
          <w:lang w:eastAsia="en-GB"/>
        </w:rPr>
        <w:t xml:space="preserve">, </w:t>
      </w:r>
      <w:r w:rsidR="00146BC0" w:rsidRPr="0011512D">
        <w:rPr>
          <w:lang w:eastAsia="en-GB"/>
        </w:rPr>
        <w:t xml:space="preserve">and of </w:t>
      </w:r>
      <w:r w:rsidR="00FA222B" w:rsidRPr="0011512D">
        <w:rPr>
          <w:lang w:eastAsia="en-GB"/>
        </w:rPr>
        <w:t xml:space="preserve">the </w:t>
      </w:r>
      <w:r w:rsidR="00254916">
        <w:rPr>
          <w:lang w:eastAsia="en-GB"/>
        </w:rPr>
        <w:t xml:space="preserve">detention </w:t>
      </w:r>
      <w:r w:rsidR="00FA222B" w:rsidRPr="0011512D">
        <w:rPr>
          <w:lang w:eastAsia="en-GB"/>
        </w:rPr>
        <w:t xml:space="preserve">conditions </w:t>
      </w:r>
      <w:r w:rsidR="00254916">
        <w:rPr>
          <w:lang w:eastAsia="en-GB"/>
        </w:rPr>
        <w:t xml:space="preserve">in </w:t>
      </w:r>
      <w:r w:rsidR="00FA222B" w:rsidRPr="0011512D">
        <w:rPr>
          <w:lang w:eastAsia="en-GB"/>
        </w:rPr>
        <w:t xml:space="preserve">the LBK-12 prison. </w:t>
      </w:r>
      <w:r w:rsidR="00FA222B" w:rsidRPr="0086007B">
        <w:rPr>
          <w:lang w:eastAsia="en-GB"/>
        </w:rPr>
        <w:t>In th</w:t>
      </w:r>
      <w:r w:rsidR="00254916">
        <w:rPr>
          <w:lang w:eastAsia="en-GB"/>
        </w:rPr>
        <w:t>at</w:t>
      </w:r>
      <w:r w:rsidR="00FA222B" w:rsidRPr="0086007B">
        <w:rPr>
          <w:lang w:eastAsia="en-GB"/>
        </w:rPr>
        <w:t xml:space="preserve"> regard, he refers, </w:t>
      </w:r>
      <w:r w:rsidR="00FA222B" w:rsidRPr="00600AAA">
        <w:rPr>
          <w:lang w:eastAsia="en-GB"/>
        </w:rPr>
        <w:t>inter alia</w:t>
      </w:r>
      <w:r w:rsidR="00FA222B" w:rsidRPr="0086007B">
        <w:rPr>
          <w:lang w:eastAsia="en-GB"/>
        </w:rPr>
        <w:t xml:space="preserve">, to the </w:t>
      </w:r>
      <w:r w:rsidR="0011512D" w:rsidRPr="0086007B">
        <w:rPr>
          <w:lang w:eastAsia="en-GB"/>
        </w:rPr>
        <w:t xml:space="preserve">concluding observations </w:t>
      </w:r>
      <w:r w:rsidR="00254916">
        <w:rPr>
          <w:lang w:eastAsia="en-GB"/>
        </w:rPr>
        <w:t>of</w:t>
      </w:r>
      <w:r w:rsidR="0011512D" w:rsidRPr="0086007B">
        <w:rPr>
          <w:lang w:eastAsia="en-GB"/>
        </w:rPr>
        <w:t xml:space="preserve"> the Committee against Torture,</w:t>
      </w:r>
      <w:r w:rsidR="006F4484" w:rsidRPr="00AB7D36">
        <w:rPr>
          <w:rStyle w:val="FootnoteReference"/>
        </w:rPr>
        <w:footnoteReference w:id="9"/>
      </w:r>
      <w:r w:rsidR="0011512D" w:rsidRPr="0086007B">
        <w:rPr>
          <w:lang w:eastAsia="en-GB"/>
        </w:rPr>
        <w:t xml:space="preserve"> the jurisprudence of the European Court</w:t>
      </w:r>
      <w:r w:rsidR="00835DAB">
        <w:rPr>
          <w:lang w:eastAsia="en-GB"/>
        </w:rPr>
        <w:t xml:space="preserve"> </w:t>
      </w:r>
      <w:r w:rsidR="0080221F">
        <w:rPr>
          <w:lang w:eastAsia="en-GB"/>
        </w:rPr>
        <w:t>o</w:t>
      </w:r>
      <w:r w:rsidR="00835DAB">
        <w:rPr>
          <w:lang w:eastAsia="en-GB"/>
        </w:rPr>
        <w:t>f Human Rights</w:t>
      </w:r>
      <w:r w:rsidR="0011512D" w:rsidRPr="0086007B">
        <w:rPr>
          <w:lang w:eastAsia="en-GB"/>
        </w:rPr>
        <w:t>,</w:t>
      </w:r>
      <w:r w:rsidR="00332C6C" w:rsidRPr="00AB7D36">
        <w:rPr>
          <w:rStyle w:val="FootnoteReference"/>
        </w:rPr>
        <w:footnoteReference w:id="10"/>
      </w:r>
      <w:r w:rsidR="0011512D" w:rsidRPr="0086007B">
        <w:rPr>
          <w:lang w:eastAsia="en-GB"/>
        </w:rPr>
        <w:t xml:space="preserve"> </w:t>
      </w:r>
      <w:r w:rsidR="0086007B">
        <w:rPr>
          <w:lang w:eastAsia="en-GB"/>
        </w:rPr>
        <w:t xml:space="preserve">and the report of Turkmenistan Independent Lawyers Association </w:t>
      </w:r>
      <w:r w:rsidR="00835DAB">
        <w:rPr>
          <w:lang w:eastAsia="en-GB"/>
        </w:rPr>
        <w:t>of February 2010</w:t>
      </w:r>
      <w:r w:rsidR="00600AAA">
        <w:rPr>
          <w:lang w:eastAsia="en-GB"/>
        </w:rPr>
        <w:t>.</w:t>
      </w:r>
      <w:r w:rsidR="00835DAB" w:rsidRPr="00AB7D36">
        <w:rPr>
          <w:rStyle w:val="FootnoteReference"/>
        </w:rPr>
        <w:footnoteReference w:id="11"/>
      </w:r>
      <w:r w:rsidR="00FA222B" w:rsidRPr="0086007B">
        <w:rPr>
          <w:lang w:eastAsia="en-GB"/>
        </w:rPr>
        <w:t xml:space="preserve"> </w:t>
      </w:r>
      <w:r w:rsidR="00577A39" w:rsidRPr="00D366DE">
        <w:rPr>
          <w:lang w:eastAsia="en-GB"/>
        </w:rPr>
        <w:t>Th</w:t>
      </w:r>
      <w:r w:rsidR="00D503A8" w:rsidRPr="00D366DE">
        <w:rPr>
          <w:lang w:eastAsia="en-GB"/>
        </w:rPr>
        <w:t>o</w:t>
      </w:r>
      <w:r w:rsidR="00577A39" w:rsidRPr="00D366DE">
        <w:rPr>
          <w:lang w:eastAsia="en-GB"/>
        </w:rPr>
        <w:t>se</w:t>
      </w:r>
      <w:r w:rsidR="008401AE" w:rsidRPr="00D366DE">
        <w:rPr>
          <w:lang w:eastAsia="en-GB"/>
        </w:rPr>
        <w:t xml:space="preserve"> documents </w:t>
      </w:r>
      <w:r w:rsidR="00577A39" w:rsidRPr="00D366DE">
        <w:rPr>
          <w:lang w:eastAsia="en-GB"/>
        </w:rPr>
        <w:t>indicate</w:t>
      </w:r>
      <w:r w:rsidR="00FA222B" w:rsidRPr="00D366DE">
        <w:rPr>
          <w:lang w:eastAsia="en-GB"/>
        </w:rPr>
        <w:t xml:space="preserve"> that the </w:t>
      </w:r>
      <w:r w:rsidR="0086007B" w:rsidRPr="00D366DE">
        <w:rPr>
          <w:lang w:eastAsia="en-GB"/>
        </w:rPr>
        <w:t>practice of torture and ill-treatment of detainees in the State party is widespread</w:t>
      </w:r>
      <w:r w:rsidR="00577A39" w:rsidRPr="00D366DE">
        <w:rPr>
          <w:lang w:eastAsia="en-GB"/>
        </w:rPr>
        <w:t>.</w:t>
      </w:r>
      <w:r w:rsidR="00577A39">
        <w:rPr>
          <w:lang w:eastAsia="en-GB"/>
        </w:rPr>
        <w:t xml:space="preserve"> They also highlight the</w:t>
      </w:r>
      <w:r w:rsidR="0086007B">
        <w:rPr>
          <w:lang w:eastAsia="en-GB"/>
        </w:rPr>
        <w:t xml:space="preserve"> serious risk of </w:t>
      </w:r>
      <w:proofErr w:type="gramStart"/>
      <w:r w:rsidR="0086007B">
        <w:rPr>
          <w:lang w:eastAsia="en-GB"/>
        </w:rPr>
        <w:t>being subjected</w:t>
      </w:r>
      <w:proofErr w:type="gramEnd"/>
      <w:r w:rsidR="0086007B">
        <w:rPr>
          <w:lang w:eastAsia="en-GB"/>
        </w:rPr>
        <w:t xml:space="preserve"> to torture or inhuman or degrading treatment upon removal to Turkmenistan</w:t>
      </w:r>
      <w:r w:rsidR="00577A39">
        <w:rPr>
          <w:lang w:eastAsia="en-GB"/>
        </w:rPr>
        <w:t xml:space="preserve">, </w:t>
      </w:r>
      <w:r w:rsidR="0086007B">
        <w:rPr>
          <w:lang w:eastAsia="en-GB"/>
        </w:rPr>
        <w:t>and the</w:t>
      </w:r>
      <w:r w:rsidR="00577A39">
        <w:rPr>
          <w:lang w:eastAsia="en-GB"/>
        </w:rPr>
        <w:t xml:space="preserve"> fact that the</w:t>
      </w:r>
      <w:r w:rsidR="0086007B">
        <w:rPr>
          <w:lang w:eastAsia="en-GB"/>
        </w:rPr>
        <w:t xml:space="preserve"> </w:t>
      </w:r>
      <w:r w:rsidR="00FA222B" w:rsidRPr="0086007B">
        <w:rPr>
          <w:lang w:eastAsia="en-GB"/>
        </w:rPr>
        <w:t xml:space="preserve">LBK-12 prison is </w:t>
      </w:r>
      <w:r w:rsidR="000A40AF">
        <w:rPr>
          <w:lang w:eastAsia="en-GB"/>
        </w:rPr>
        <w:t>loca</w:t>
      </w:r>
      <w:r w:rsidR="00FA222B" w:rsidRPr="0086007B">
        <w:rPr>
          <w:lang w:eastAsia="en-GB"/>
        </w:rPr>
        <w:t xml:space="preserve">ted in a desert </w:t>
      </w:r>
      <w:r w:rsidR="00547451">
        <w:rPr>
          <w:lang w:eastAsia="en-GB"/>
        </w:rPr>
        <w:t xml:space="preserve">where extreme </w:t>
      </w:r>
      <w:r w:rsidR="00FA222B" w:rsidRPr="0086007B">
        <w:rPr>
          <w:lang w:eastAsia="en-GB"/>
        </w:rPr>
        <w:t>temperatures</w:t>
      </w:r>
      <w:r w:rsidR="00547451">
        <w:rPr>
          <w:lang w:eastAsia="en-GB"/>
        </w:rPr>
        <w:t xml:space="preserve"> are reached</w:t>
      </w:r>
      <w:r w:rsidR="00FA222B" w:rsidRPr="0086007B">
        <w:rPr>
          <w:lang w:eastAsia="en-GB"/>
        </w:rPr>
        <w:t xml:space="preserve">. The prison is overcrowded and prisoners </w:t>
      </w:r>
      <w:r w:rsidR="00547451">
        <w:rPr>
          <w:lang w:eastAsia="en-GB"/>
        </w:rPr>
        <w:t>with contagious</w:t>
      </w:r>
      <w:r w:rsidR="00FA222B" w:rsidRPr="0086007B">
        <w:rPr>
          <w:lang w:eastAsia="en-GB"/>
        </w:rPr>
        <w:t xml:space="preserve"> diseases </w:t>
      </w:r>
      <w:proofErr w:type="gramStart"/>
      <w:r w:rsidR="00FA222B" w:rsidRPr="0086007B">
        <w:rPr>
          <w:lang w:eastAsia="en-GB"/>
        </w:rPr>
        <w:t>are kept</w:t>
      </w:r>
      <w:proofErr w:type="gramEnd"/>
      <w:r w:rsidR="00581AD7" w:rsidRPr="0086007B">
        <w:rPr>
          <w:lang w:eastAsia="en-GB"/>
        </w:rPr>
        <w:t xml:space="preserve"> together with healthy inmates</w:t>
      </w:r>
      <w:r w:rsidR="005B0656">
        <w:rPr>
          <w:lang w:eastAsia="en-GB"/>
        </w:rPr>
        <w:t xml:space="preserve">, </w:t>
      </w:r>
      <w:r w:rsidR="00577A39">
        <w:rPr>
          <w:lang w:eastAsia="en-GB"/>
        </w:rPr>
        <w:t>putting</w:t>
      </w:r>
      <w:r w:rsidR="00286D60">
        <w:rPr>
          <w:lang w:eastAsia="en-GB"/>
        </w:rPr>
        <w:t xml:space="preserve"> the author at </w:t>
      </w:r>
      <w:r w:rsidR="00547451">
        <w:rPr>
          <w:lang w:eastAsia="en-GB"/>
        </w:rPr>
        <w:t xml:space="preserve">a </w:t>
      </w:r>
      <w:r w:rsidR="00286D60">
        <w:rPr>
          <w:lang w:eastAsia="en-GB"/>
        </w:rPr>
        <w:t xml:space="preserve">high risk of </w:t>
      </w:r>
      <w:r w:rsidR="00577A39">
        <w:rPr>
          <w:lang w:eastAsia="en-GB"/>
        </w:rPr>
        <w:t>infection</w:t>
      </w:r>
      <w:r w:rsidR="005B0656">
        <w:rPr>
          <w:lang w:eastAsia="en-GB"/>
        </w:rPr>
        <w:t xml:space="preserve">. </w:t>
      </w:r>
      <w:r w:rsidR="00547451">
        <w:rPr>
          <w:lang w:eastAsia="en-GB"/>
        </w:rPr>
        <w:t>T</w:t>
      </w:r>
      <w:r w:rsidR="00DD7EC3" w:rsidRPr="00DD7EC3">
        <w:rPr>
          <w:lang w:eastAsia="en-GB"/>
        </w:rPr>
        <w:t xml:space="preserve">he author </w:t>
      </w:r>
      <w:r w:rsidR="00547451">
        <w:rPr>
          <w:lang w:eastAsia="en-GB"/>
        </w:rPr>
        <w:t xml:space="preserve">therefore </w:t>
      </w:r>
      <w:r w:rsidR="00DD7EC3" w:rsidRPr="00DD7EC3">
        <w:rPr>
          <w:lang w:eastAsia="en-GB"/>
        </w:rPr>
        <w:t xml:space="preserve">requests </w:t>
      </w:r>
      <w:r w:rsidR="006B6368">
        <w:rPr>
          <w:lang w:eastAsia="en-GB"/>
        </w:rPr>
        <w:t xml:space="preserve">that </w:t>
      </w:r>
      <w:r w:rsidR="00DD7EC3" w:rsidRPr="00DD7EC3">
        <w:rPr>
          <w:lang w:eastAsia="en-GB"/>
        </w:rPr>
        <w:t xml:space="preserve">the </w:t>
      </w:r>
      <w:r w:rsidR="005B0656">
        <w:rPr>
          <w:lang w:eastAsia="en-GB"/>
        </w:rPr>
        <w:t xml:space="preserve">Committee </w:t>
      </w:r>
      <w:r w:rsidR="00577A39">
        <w:rPr>
          <w:lang w:eastAsia="en-GB"/>
        </w:rPr>
        <w:t xml:space="preserve">require </w:t>
      </w:r>
      <w:r w:rsidR="005B0656">
        <w:rPr>
          <w:lang w:eastAsia="en-GB"/>
        </w:rPr>
        <w:t xml:space="preserve">the </w:t>
      </w:r>
      <w:r w:rsidR="00DD7EC3" w:rsidRPr="00DD7EC3">
        <w:rPr>
          <w:lang w:eastAsia="en-GB"/>
        </w:rPr>
        <w:t xml:space="preserve">State party </w:t>
      </w:r>
      <w:r w:rsidR="006B6368">
        <w:rPr>
          <w:lang w:eastAsia="en-GB"/>
        </w:rPr>
        <w:t xml:space="preserve">to </w:t>
      </w:r>
      <w:r w:rsidR="00577A39">
        <w:rPr>
          <w:lang w:eastAsia="en-GB"/>
        </w:rPr>
        <w:t xml:space="preserve">release </w:t>
      </w:r>
      <w:r w:rsidR="006B6368">
        <w:rPr>
          <w:lang w:eastAsia="en-GB"/>
        </w:rPr>
        <w:t xml:space="preserve">him </w:t>
      </w:r>
      <w:r w:rsidR="00DD7EC3" w:rsidRPr="00DD7EC3">
        <w:rPr>
          <w:lang w:eastAsia="en-GB"/>
        </w:rPr>
        <w:t>from prison</w:t>
      </w:r>
      <w:r w:rsidR="006B6368">
        <w:rPr>
          <w:lang w:eastAsia="en-GB"/>
        </w:rPr>
        <w:t xml:space="preserve"> immediately</w:t>
      </w:r>
      <w:r w:rsidR="00DD7EC3" w:rsidRPr="00DD7EC3">
        <w:rPr>
          <w:lang w:eastAsia="en-GB"/>
        </w:rPr>
        <w:t xml:space="preserve">. </w:t>
      </w:r>
      <w:r w:rsidR="00146BC0" w:rsidRPr="001E1D62">
        <w:t>Although the author does not invoke it</w:t>
      </w:r>
      <w:r w:rsidR="008B374D">
        <w:t xml:space="preserve"> </w:t>
      </w:r>
      <w:r w:rsidR="00146BC0" w:rsidRPr="001E1D62">
        <w:t>specifically, the communication also raise</w:t>
      </w:r>
      <w:r w:rsidR="00577A39">
        <w:t>s</w:t>
      </w:r>
      <w:r w:rsidR="00146BC0" w:rsidRPr="001E1D62">
        <w:t xml:space="preserve"> issues under article 10 of the Covenant.</w:t>
      </w:r>
    </w:p>
    <w:p w14:paraId="43739D37" w14:textId="327D0711" w:rsidR="00146BC0" w:rsidRPr="00214E11" w:rsidRDefault="00146BC0" w:rsidP="00547451">
      <w:pPr>
        <w:pStyle w:val="SingleTxtG"/>
        <w:rPr>
          <w:lang w:eastAsia="en-GB"/>
        </w:rPr>
      </w:pPr>
      <w:r w:rsidRPr="00214E11">
        <w:t>3.3</w:t>
      </w:r>
      <w:r w:rsidRPr="00214E11">
        <w:tab/>
      </w:r>
      <w:r w:rsidR="003E0590">
        <w:t xml:space="preserve">In the present case, the author has twice been prosecuted, convicted and imprisoned for his refusal to </w:t>
      </w:r>
      <w:r w:rsidR="00547451">
        <w:t xml:space="preserve">perform </w:t>
      </w:r>
      <w:r w:rsidR="003E0590">
        <w:t>military service, based on the same constant resolve grounded in reasons of conscience, in violation of article 14 (7) of the Covenant.</w:t>
      </w:r>
      <w:r w:rsidR="003E0590" w:rsidRPr="00AB7D36">
        <w:rPr>
          <w:rStyle w:val="FootnoteReference"/>
        </w:rPr>
        <w:footnoteReference w:id="12"/>
      </w:r>
      <w:r w:rsidR="00DB76BB">
        <w:t xml:space="preserve"> </w:t>
      </w:r>
    </w:p>
    <w:p w14:paraId="456320BF" w14:textId="0B635AC6" w:rsidR="004A1560" w:rsidRDefault="00FF53E2" w:rsidP="00D534C3">
      <w:pPr>
        <w:pStyle w:val="SingleTxtG"/>
        <w:rPr>
          <w:lang w:eastAsia="en-GB"/>
        </w:rPr>
      </w:pPr>
      <w:r w:rsidRPr="00214E11">
        <w:t>3.4</w:t>
      </w:r>
      <w:r w:rsidRPr="00214E11">
        <w:tab/>
      </w:r>
      <w:r w:rsidR="003E0590" w:rsidRPr="00214E11">
        <w:t xml:space="preserve">The author claims that </w:t>
      </w:r>
      <w:r w:rsidR="00577A39">
        <w:t>his</w:t>
      </w:r>
      <w:r w:rsidR="00577A39" w:rsidRPr="00214E11">
        <w:t xml:space="preserve"> </w:t>
      </w:r>
      <w:r w:rsidR="003E0590" w:rsidRPr="00214E11">
        <w:t xml:space="preserve">prosecution, conviction and imprisonment for refusing to perform compulsory military service </w:t>
      </w:r>
      <w:r w:rsidR="006B6368">
        <w:t>owing</w:t>
      </w:r>
      <w:r w:rsidR="003E0590" w:rsidRPr="00214E11">
        <w:t xml:space="preserve"> to his religious beliefs and conscientious objection have violated his rights under article 18</w:t>
      </w:r>
      <w:r w:rsidR="003E0590">
        <w:t xml:space="preserve"> (</w:t>
      </w:r>
      <w:r w:rsidR="003E0590" w:rsidRPr="00214E11">
        <w:t>1</w:t>
      </w:r>
      <w:r w:rsidR="003E0590">
        <w:t>)</w:t>
      </w:r>
      <w:r w:rsidR="003E0590" w:rsidRPr="00214E11">
        <w:t xml:space="preserve"> of the Covenant.</w:t>
      </w:r>
      <w:r w:rsidR="003E0590" w:rsidRPr="00AB7D36">
        <w:rPr>
          <w:rStyle w:val="FootnoteReference"/>
        </w:rPr>
        <w:footnoteReference w:id="13"/>
      </w:r>
      <w:r w:rsidR="003E0590" w:rsidRPr="00214E11">
        <w:t xml:space="preserve"> </w:t>
      </w:r>
      <w:r w:rsidR="003E0590" w:rsidRPr="00506A88">
        <w:t>He notes that he repeatedly informed the Turkmen authorities that he was willing to fulfil his civi</w:t>
      </w:r>
      <w:r w:rsidR="00D534C3">
        <w:t>l</w:t>
      </w:r>
      <w:r w:rsidR="003E0590" w:rsidRPr="00506A88">
        <w:t xml:space="preserve"> dut</w:t>
      </w:r>
      <w:r w:rsidR="006B6368">
        <w:t>y</w:t>
      </w:r>
      <w:r w:rsidR="003E0590" w:rsidRPr="00506A88">
        <w:t xml:space="preserve"> by performing genuine alternative service</w:t>
      </w:r>
      <w:r w:rsidR="0041695D">
        <w:t>, but</w:t>
      </w:r>
      <w:r w:rsidR="003E0590" w:rsidRPr="00506A88">
        <w:t xml:space="preserve"> </w:t>
      </w:r>
      <w:r w:rsidR="005D4026">
        <w:t xml:space="preserve">that </w:t>
      </w:r>
      <w:r w:rsidR="003E0590" w:rsidRPr="00506A88">
        <w:t xml:space="preserve">the State party’s legislation does not provide </w:t>
      </w:r>
      <w:r w:rsidR="006B6368">
        <w:t xml:space="preserve">for </w:t>
      </w:r>
      <w:r w:rsidR="00577A39">
        <w:t xml:space="preserve">such </w:t>
      </w:r>
      <w:r w:rsidR="006B6368">
        <w:t xml:space="preserve">an </w:t>
      </w:r>
      <w:r w:rsidR="003E0590" w:rsidRPr="00506A88">
        <w:t>alternative.</w:t>
      </w:r>
    </w:p>
    <w:p w14:paraId="06EC0A18" w14:textId="10BF1BA2" w:rsidR="0086715C" w:rsidRPr="00214E11" w:rsidRDefault="00506A88" w:rsidP="006B6368">
      <w:pPr>
        <w:pStyle w:val="SingleTxtG"/>
      </w:pPr>
      <w:r w:rsidRPr="0097330D">
        <w:t>3.5</w:t>
      </w:r>
      <w:r w:rsidRPr="0097330D">
        <w:tab/>
      </w:r>
      <w:r w:rsidR="00FF53E2" w:rsidRPr="0097330D">
        <w:t xml:space="preserve">The author </w:t>
      </w:r>
      <w:r w:rsidR="00F736FF">
        <w:t xml:space="preserve">requests </w:t>
      </w:r>
      <w:r w:rsidR="006B6368">
        <w:t xml:space="preserve">that </w:t>
      </w:r>
      <w:r w:rsidR="00F736FF">
        <w:t>the Committee</w:t>
      </w:r>
      <w:r w:rsidR="000B422B">
        <w:t xml:space="preserve"> </w:t>
      </w:r>
      <w:r w:rsidR="00F736FF">
        <w:t xml:space="preserve">conclude that his repeated prosecution, conviction and imprisonment violate articles 7, 14 (7) and 18 (1) of the Covenant. </w:t>
      </w:r>
      <w:proofErr w:type="gramStart"/>
      <w:r w:rsidR="00F736FF">
        <w:t xml:space="preserve">He also </w:t>
      </w:r>
      <w:r w:rsidR="00FF53E2" w:rsidRPr="0097330D">
        <w:t xml:space="preserve">requests </w:t>
      </w:r>
      <w:r w:rsidR="006B6368">
        <w:t xml:space="preserve">that </w:t>
      </w:r>
      <w:r w:rsidR="00FF53E2" w:rsidRPr="0097330D">
        <w:t>the Committee direct the State party</w:t>
      </w:r>
      <w:r w:rsidR="006B6368">
        <w:t xml:space="preserve"> to:</w:t>
      </w:r>
      <w:r w:rsidR="00FF53E2" w:rsidRPr="0097330D">
        <w:t xml:space="preserve"> (a) acquit him of the charges under article 219 (1) of the Criminal Code and expunge his criminal record; (b) provide him with appropriate compensation for the non-pecuniary damages suffered as a result of his conviction and imprisonment</w:t>
      </w:r>
      <w:r w:rsidR="006B6368">
        <w:t>;</w:t>
      </w:r>
      <w:r w:rsidR="00FF53E2" w:rsidRPr="0097330D">
        <w:t xml:space="preserve"> and (c) provide him with appropriate monetary compensation for </w:t>
      </w:r>
      <w:r w:rsidR="00B236A2" w:rsidRPr="0097330D">
        <w:t xml:space="preserve">his </w:t>
      </w:r>
      <w:r w:rsidR="00FF53E2" w:rsidRPr="0097330D">
        <w:t>legal expenses</w:t>
      </w:r>
      <w:r w:rsidR="0097330D" w:rsidRPr="0097330D">
        <w:t>, in accordance with article 2 (3) of the Covenant</w:t>
      </w:r>
      <w:r w:rsidR="00FF53E2" w:rsidRPr="0097330D">
        <w:t>.</w:t>
      </w:r>
      <w:proofErr w:type="gramEnd"/>
    </w:p>
    <w:p w14:paraId="284BF1DE" w14:textId="0E93DA1D" w:rsidR="00FA222B" w:rsidRPr="00214E11" w:rsidRDefault="0086715C" w:rsidP="006B6368">
      <w:pPr>
        <w:pStyle w:val="H23G"/>
      </w:pPr>
      <w:r w:rsidRPr="00214E11">
        <w:tab/>
      </w:r>
      <w:r w:rsidRPr="00214E11">
        <w:tab/>
      </w:r>
      <w:r w:rsidR="00FA222B" w:rsidRPr="00214E11">
        <w:t>State party</w:t>
      </w:r>
      <w:r w:rsidR="006B6368">
        <w:t>’</w:t>
      </w:r>
      <w:r w:rsidR="00FA222B" w:rsidRPr="00214E11">
        <w:t xml:space="preserve">s observations on admissibility and </w:t>
      </w:r>
      <w:r w:rsidR="006B6368">
        <w:t xml:space="preserve">the </w:t>
      </w:r>
      <w:r w:rsidR="00FA222B" w:rsidRPr="00214E11">
        <w:t>merits</w:t>
      </w:r>
    </w:p>
    <w:p w14:paraId="048A9F81" w14:textId="16C2D402" w:rsidR="00FA222B" w:rsidRPr="00214E11" w:rsidRDefault="00757824" w:rsidP="002164B8">
      <w:pPr>
        <w:pStyle w:val="SingleTxtG"/>
      </w:pPr>
      <w:r w:rsidRPr="00214E11">
        <w:t>4</w:t>
      </w:r>
      <w:r w:rsidR="0067314F" w:rsidRPr="00214E11">
        <w:t>.</w:t>
      </w:r>
      <w:r w:rsidR="0067314F" w:rsidRPr="00214E11">
        <w:tab/>
      </w:r>
      <w:r w:rsidR="00FA222B" w:rsidRPr="00214E11">
        <w:t xml:space="preserve">By </w:t>
      </w:r>
      <w:r w:rsidR="0080221F">
        <w:t>n</w:t>
      </w:r>
      <w:r w:rsidR="00FA222B" w:rsidRPr="00214E11">
        <w:t xml:space="preserve">ote </w:t>
      </w:r>
      <w:proofErr w:type="spellStart"/>
      <w:r w:rsidR="00FA222B" w:rsidRPr="00214E11">
        <w:t>verbale</w:t>
      </w:r>
      <w:proofErr w:type="spellEnd"/>
      <w:r w:rsidR="00FA222B" w:rsidRPr="00214E11">
        <w:t xml:space="preserve"> of 17 March 2014, the State party informed </w:t>
      </w:r>
      <w:r w:rsidR="006B6368" w:rsidRPr="00DE4A48">
        <w:t>the Committee</w:t>
      </w:r>
      <w:r w:rsidR="006B6368">
        <w:t xml:space="preserve"> </w:t>
      </w:r>
      <w:r w:rsidR="00FA222B" w:rsidRPr="00214E11">
        <w:t xml:space="preserve">that the </w:t>
      </w:r>
      <w:proofErr w:type="gramStart"/>
      <w:r w:rsidR="00FA222B" w:rsidRPr="00214E11">
        <w:t>author’s case ha</w:t>
      </w:r>
      <w:r w:rsidR="00BF43D7">
        <w:t>d</w:t>
      </w:r>
      <w:r w:rsidR="00FA222B" w:rsidRPr="00214E11">
        <w:t xml:space="preserve"> been carefully considered by the relevant law enforcement bodies of Turkmenistan</w:t>
      </w:r>
      <w:proofErr w:type="gramEnd"/>
      <w:r w:rsidR="00FA222B" w:rsidRPr="00214E11">
        <w:t xml:space="preserve"> and no reason had been found to appeal the court decision. </w:t>
      </w:r>
      <w:r w:rsidR="00367989" w:rsidRPr="00214E11">
        <w:t>According to the State party, t</w:t>
      </w:r>
      <w:r w:rsidR="00FA222B" w:rsidRPr="00214E11">
        <w:t xml:space="preserve">he criminal offence committed by the author was determined accurately according to the Criminal Code of Turkmenistan. </w:t>
      </w:r>
      <w:r w:rsidR="009178A2">
        <w:t>T</w:t>
      </w:r>
      <w:r w:rsidR="009178A2" w:rsidRPr="00214E11">
        <w:t xml:space="preserve">he State party </w:t>
      </w:r>
      <w:r w:rsidRPr="00214E11">
        <w:t>note</w:t>
      </w:r>
      <w:r w:rsidR="006B6368">
        <w:t>d</w:t>
      </w:r>
      <w:r w:rsidR="00367989" w:rsidRPr="00214E11">
        <w:t xml:space="preserve"> </w:t>
      </w:r>
      <w:r w:rsidR="00FA222B" w:rsidRPr="00214E11">
        <w:t xml:space="preserve">that </w:t>
      </w:r>
      <w:r w:rsidR="00367989" w:rsidRPr="00214E11">
        <w:t xml:space="preserve">according to </w:t>
      </w:r>
      <w:r w:rsidR="00FA222B" w:rsidRPr="00214E11">
        <w:t>article 41 of the Constitution, protectin</w:t>
      </w:r>
      <w:r w:rsidR="006B6368">
        <w:t>g</w:t>
      </w:r>
      <w:r w:rsidR="00FA222B" w:rsidRPr="00214E11">
        <w:t xml:space="preserve"> Turkmenistan </w:t>
      </w:r>
      <w:r w:rsidR="00D545B4">
        <w:t>wa</w:t>
      </w:r>
      <w:r w:rsidR="00FA222B" w:rsidRPr="00214E11">
        <w:t>s the sacred duty of every citizen</w:t>
      </w:r>
      <w:r w:rsidR="00367989" w:rsidRPr="00214E11">
        <w:t>, and g</w:t>
      </w:r>
      <w:r w:rsidR="00FA222B" w:rsidRPr="00214E11">
        <w:t xml:space="preserve">eneral conscription </w:t>
      </w:r>
      <w:r w:rsidR="009178A2">
        <w:t>wa</w:t>
      </w:r>
      <w:r w:rsidR="00FA222B" w:rsidRPr="00214E11">
        <w:t xml:space="preserve">s compulsory for male citizens. </w:t>
      </w:r>
      <w:r w:rsidR="009178A2">
        <w:t>T</w:t>
      </w:r>
      <w:r w:rsidR="00FA222B" w:rsidRPr="00214E11">
        <w:t xml:space="preserve">he author did not meet the criteria of persons </w:t>
      </w:r>
      <w:r w:rsidR="009178A2">
        <w:t>eligible</w:t>
      </w:r>
      <w:r w:rsidR="009178A2" w:rsidRPr="00DE4A48">
        <w:t xml:space="preserve"> </w:t>
      </w:r>
      <w:r w:rsidR="00FA222B" w:rsidRPr="00214E11">
        <w:t xml:space="preserve">to </w:t>
      </w:r>
      <w:proofErr w:type="gramStart"/>
      <w:r w:rsidR="00FA222B" w:rsidRPr="00214E11">
        <w:t>be exempted</w:t>
      </w:r>
      <w:proofErr w:type="gramEnd"/>
      <w:r w:rsidR="00FA222B" w:rsidRPr="00214E11">
        <w:t xml:space="preserve"> from military service</w:t>
      </w:r>
      <w:r w:rsidR="009178A2">
        <w:t>,</w:t>
      </w:r>
      <w:r w:rsidR="00FA222B" w:rsidRPr="00214E11">
        <w:t xml:space="preserve"> as provided for under article 18 of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r w:rsidR="00CA1C55">
        <w:t>.</w:t>
      </w:r>
      <w:r w:rsidR="00CA1C55" w:rsidRPr="00AB7D36">
        <w:rPr>
          <w:rStyle w:val="FootnoteReference"/>
        </w:rPr>
        <w:footnoteReference w:id="14"/>
      </w:r>
    </w:p>
    <w:p w14:paraId="5515C0C6" w14:textId="77777777" w:rsidR="00FA222B" w:rsidRPr="00214E11" w:rsidRDefault="0067314F" w:rsidP="0067314F">
      <w:pPr>
        <w:pStyle w:val="H23G"/>
      </w:pPr>
      <w:r w:rsidRPr="00214E11">
        <w:tab/>
      </w:r>
      <w:r w:rsidRPr="00214E11">
        <w:tab/>
      </w:r>
      <w:r w:rsidR="00FA222B" w:rsidRPr="00214E11">
        <w:t>Author’s comments on the State party’s observations</w:t>
      </w:r>
    </w:p>
    <w:p w14:paraId="3E914C83" w14:textId="3109CF9A" w:rsidR="00FA222B" w:rsidRPr="00214E11" w:rsidRDefault="00757824" w:rsidP="002F28CC">
      <w:pPr>
        <w:pStyle w:val="SingleTxtG"/>
      </w:pPr>
      <w:r w:rsidRPr="00214E11">
        <w:t>5</w:t>
      </w:r>
      <w:r w:rsidR="0067314F" w:rsidRPr="00214E11">
        <w:t>.1</w:t>
      </w:r>
      <w:r w:rsidR="0067314F" w:rsidRPr="00214E11">
        <w:tab/>
      </w:r>
      <w:r w:rsidR="00FA222B" w:rsidRPr="00214E11">
        <w:t xml:space="preserve">On 14 May 2014, the author </w:t>
      </w:r>
      <w:r w:rsidR="00C8488B" w:rsidRPr="00214E11">
        <w:t>submit</w:t>
      </w:r>
      <w:r w:rsidR="002F28CC">
        <w:t>ted</w:t>
      </w:r>
      <w:r w:rsidR="00C8488B" w:rsidRPr="00214E11">
        <w:t xml:space="preserve"> </w:t>
      </w:r>
      <w:r w:rsidR="00FA222B" w:rsidRPr="00214E11">
        <w:t xml:space="preserve">that </w:t>
      </w:r>
      <w:r w:rsidR="00C8488B" w:rsidRPr="00214E11">
        <w:t xml:space="preserve">the State party </w:t>
      </w:r>
      <w:r w:rsidR="002F28CC">
        <w:t>had</w:t>
      </w:r>
      <w:r w:rsidR="00FA222B" w:rsidRPr="00214E11">
        <w:t xml:space="preserve"> not </w:t>
      </w:r>
      <w:r w:rsidR="003774D4">
        <w:t>contest</w:t>
      </w:r>
      <w:r w:rsidR="002F28CC">
        <w:t>ed</w:t>
      </w:r>
      <w:r w:rsidR="00FA222B" w:rsidRPr="00214E11">
        <w:t xml:space="preserve"> any </w:t>
      </w:r>
      <w:r w:rsidR="003774D4">
        <w:t xml:space="preserve">of the </w:t>
      </w:r>
      <w:r w:rsidR="00FA222B" w:rsidRPr="00214E11">
        <w:t xml:space="preserve">facts set out in </w:t>
      </w:r>
      <w:r w:rsidR="003774D4">
        <w:t>his</w:t>
      </w:r>
      <w:r w:rsidR="003774D4" w:rsidRPr="00214E11">
        <w:t xml:space="preserve"> </w:t>
      </w:r>
      <w:r w:rsidR="00FA222B" w:rsidRPr="00214E11">
        <w:t xml:space="preserve">communication. The only </w:t>
      </w:r>
      <w:r w:rsidR="00C8488B" w:rsidRPr="00214E11">
        <w:t xml:space="preserve">attempted justification raised by </w:t>
      </w:r>
      <w:r w:rsidR="00FA222B" w:rsidRPr="00214E11">
        <w:t xml:space="preserve">the State party </w:t>
      </w:r>
      <w:r w:rsidR="002F28CC">
        <w:t>had been</w:t>
      </w:r>
      <w:r w:rsidR="00C8488B" w:rsidRPr="00214E11">
        <w:t xml:space="preserve"> its assertion that the author </w:t>
      </w:r>
      <w:proofErr w:type="gramStart"/>
      <w:r w:rsidR="00C8488B" w:rsidRPr="00214E11">
        <w:t xml:space="preserve">was convicted and imprisoned as </w:t>
      </w:r>
      <w:r w:rsidR="002F28CC">
        <w:t xml:space="preserve">a </w:t>
      </w:r>
      <w:r w:rsidR="00C8488B" w:rsidRPr="00214E11">
        <w:t xml:space="preserve">conscientious </w:t>
      </w:r>
      <w:r w:rsidR="00FA222B" w:rsidRPr="00214E11">
        <w:t xml:space="preserve">objector to military service because he did not qualify for an exemption </w:t>
      </w:r>
      <w:r w:rsidR="00C8488B" w:rsidRPr="00214E11">
        <w:t xml:space="preserve">from military service </w:t>
      </w:r>
      <w:r w:rsidR="00FA222B" w:rsidRPr="00214E11">
        <w:t xml:space="preserve">under article 18 of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proofErr w:type="gramEnd"/>
      <w:r w:rsidR="00FA222B" w:rsidRPr="00214E11">
        <w:t xml:space="preserve">. </w:t>
      </w:r>
      <w:r w:rsidR="003774D4">
        <w:t>T</w:t>
      </w:r>
      <w:r w:rsidR="00074883" w:rsidRPr="00214E11">
        <w:t>he author</w:t>
      </w:r>
      <w:r w:rsidR="003774D4">
        <w:t xml:space="preserve"> considers that</w:t>
      </w:r>
      <w:r w:rsidR="003774D4" w:rsidRPr="00214E11">
        <w:t xml:space="preserve"> </w:t>
      </w:r>
      <w:r w:rsidR="00074883" w:rsidRPr="00214E11">
        <w:t xml:space="preserve">the State </w:t>
      </w:r>
      <w:r w:rsidR="00FA222B" w:rsidRPr="00214E11">
        <w:t xml:space="preserve">party’s </w:t>
      </w:r>
      <w:r w:rsidR="003774D4">
        <w:t>observations</w:t>
      </w:r>
      <w:r w:rsidR="003774D4" w:rsidRPr="00214E11">
        <w:t xml:space="preserve"> </w:t>
      </w:r>
      <w:r w:rsidR="00074883" w:rsidRPr="00214E11">
        <w:t xml:space="preserve">show </w:t>
      </w:r>
      <w:r w:rsidR="00FA222B" w:rsidRPr="00214E11">
        <w:t>total disregard for its commitments under article 18 of the Covenant and the Committee’s jurisprudence</w:t>
      </w:r>
      <w:r w:rsidR="00CC2514" w:rsidRPr="00214E11">
        <w:t xml:space="preserve">, </w:t>
      </w:r>
      <w:r w:rsidR="00074883" w:rsidRPr="00214E11">
        <w:t xml:space="preserve">which </w:t>
      </w:r>
      <w:r w:rsidR="00FA222B" w:rsidRPr="00214E11">
        <w:t>uphold</w:t>
      </w:r>
      <w:r w:rsidR="00074883" w:rsidRPr="00214E11">
        <w:t xml:space="preserve">s </w:t>
      </w:r>
      <w:r w:rsidR="00FA222B" w:rsidRPr="00214E11">
        <w:t>the right to conscientious objection to military service. Furthermore, the State party does not contest the author’s allegations that he has suffered inhuman and degrading treatment at the hands of</w:t>
      </w:r>
      <w:r w:rsidR="00074883" w:rsidRPr="00214E11">
        <w:t xml:space="preserve"> law </w:t>
      </w:r>
      <w:r w:rsidR="00CC2514" w:rsidRPr="00214E11">
        <w:t xml:space="preserve">enforcement officers </w:t>
      </w:r>
      <w:r w:rsidR="005D6FA0" w:rsidRPr="00214E11">
        <w:t>and</w:t>
      </w:r>
      <w:r w:rsidR="00FA222B" w:rsidRPr="00214E11">
        <w:t xml:space="preserve"> prison offic</w:t>
      </w:r>
      <w:r w:rsidR="00CC2514" w:rsidRPr="00214E11">
        <w:t>ers</w:t>
      </w:r>
      <w:r w:rsidR="00FA222B" w:rsidRPr="00214E11">
        <w:t>, contrary to article 7 of the Covenant.</w:t>
      </w:r>
      <w:r w:rsidR="00F776FF" w:rsidRPr="00AB7D36">
        <w:rPr>
          <w:rStyle w:val="FootnoteReference"/>
        </w:rPr>
        <w:footnoteReference w:id="15"/>
      </w:r>
    </w:p>
    <w:p w14:paraId="67311C99" w14:textId="4E741534" w:rsidR="0041165D" w:rsidRDefault="0041165D" w:rsidP="003A52C0">
      <w:pPr>
        <w:pStyle w:val="SingleTxtG"/>
      </w:pPr>
      <w:r>
        <w:t>5.2</w:t>
      </w:r>
      <w:r>
        <w:tab/>
        <w:t xml:space="preserve">The author </w:t>
      </w:r>
      <w:r w:rsidR="003774D4">
        <w:t xml:space="preserve">submits </w:t>
      </w:r>
      <w:r>
        <w:t>that the State party does not contest that on 24 January 2013 at 10 p.m.</w:t>
      </w:r>
      <w:proofErr w:type="gramStart"/>
      <w:r w:rsidR="003774D4">
        <w:t>,</w:t>
      </w:r>
      <w:proofErr w:type="gramEnd"/>
      <w:r>
        <w:t xml:space="preserve"> more than 30 police officers raided </w:t>
      </w:r>
      <w:r w:rsidR="003774D4">
        <w:t xml:space="preserve">his </w:t>
      </w:r>
      <w:r>
        <w:t xml:space="preserve">family home </w:t>
      </w:r>
      <w:r w:rsidR="002F28CC">
        <w:t xml:space="preserve">in order </w:t>
      </w:r>
      <w:r>
        <w:t xml:space="preserve">to punish and intimidate </w:t>
      </w:r>
      <w:r w:rsidR="003774D4">
        <w:t>him. He reiterates that</w:t>
      </w:r>
      <w:r>
        <w:t xml:space="preserve"> the police repeatedly beat </w:t>
      </w:r>
      <w:r w:rsidR="003774D4">
        <w:t xml:space="preserve">his </w:t>
      </w:r>
      <w:r>
        <w:t xml:space="preserve">family and friends, </w:t>
      </w:r>
      <w:r w:rsidR="003774D4">
        <w:t xml:space="preserve">and </w:t>
      </w:r>
      <w:r>
        <w:t xml:space="preserve">threatened </w:t>
      </w:r>
      <w:r w:rsidR="002F28CC">
        <w:t xml:space="preserve">to rape </w:t>
      </w:r>
      <w:r>
        <w:t xml:space="preserve">one of the </w:t>
      </w:r>
      <w:r w:rsidR="003774D4">
        <w:t>guests</w:t>
      </w:r>
      <w:r w:rsidR="002F28CC">
        <w:t>,</w:t>
      </w:r>
      <w:r w:rsidR="003774D4">
        <w:t xml:space="preserve"> a </w:t>
      </w:r>
      <w:r>
        <w:t xml:space="preserve">young married woman, </w:t>
      </w:r>
      <w:r w:rsidR="003774D4">
        <w:t xml:space="preserve">while </w:t>
      </w:r>
      <w:r>
        <w:t>beat</w:t>
      </w:r>
      <w:r w:rsidR="003774D4">
        <w:t>ing</w:t>
      </w:r>
      <w:r>
        <w:t xml:space="preserve"> her husband in her presence. In the author’s view, the State party has not taken any action to punish the police </w:t>
      </w:r>
      <w:r w:rsidR="00781BF8">
        <w:t xml:space="preserve">officers </w:t>
      </w:r>
      <w:r>
        <w:t>who took part in th</w:t>
      </w:r>
      <w:r w:rsidR="002F28CC">
        <w:t>at</w:t>
      </w:r>
      <w:r w:rsidR="00781BF8">
        <w:t xml:space="preserve"> </w:t>
      </w:r>
      <w:r w:rsidR="002F28CC">
        <w:t xml:space="preserve">brutal, </w:t>
      </w:r>
      <w:r>
        <w:t>illegal raid</w:t>
      </w:r>
      <w:r w:rsidR="00781BF8">
        <w:t>.</w:t>
      </w:r>
      <w:r w:rsidR="00DB76BB">
        <w:t xml:space="preserve"> </w:t>
      </w:r>
    </w:p>
    <w:p w14:paraId="6222FFB5" w14:textId="565E4BDF" w:rsidR="00FA222B" w:rsidRDefault="00757824" w:rsidP="002F28CC">
      <w:pPr>
        <w:pStyle w:val="SingleTxtG"/>
      </w:pPr>
      <w:r w:rsidRPr="00214E11">
        <w:t>5</w:t>
      </w:r>
      <w:r w:rsidR="0067314F" w:rsidRPr="00214E11">
        <w:t>.</w:t>
      </w:r>
      <w:r w:rsidR="0041165D">
        <w:t>3</w:t>
      </w:r>
      <w:r w:rsidR="0067314F" w:rsidRPr="00214E11">
        <w:tab/>
      </w:r>
      <w:r w:rsidR="00FA222B" w:rsidRPr="00214E11">
        <w:t xml:space="preserve">The author </w:t>
      </w:r>
      <w:r w:rsidR="00A76440" w:rsidRPr="00214E11">
        <w:t xml:space="preserve">requests that the Committee conclude that </w:t>
      </w:r>
      <w:r w:rsidR="003774D4">
        <w:t>his</w:t>
      </w:r>
      <w:r w:rsidR="003774D4" w:rsidRPr="00214E11">
        <w:t xml:space="preserve"> </w:t>
      </w:r>
      <w:r w:rsidR="00A76440" w:rsidRPr="00214E11">
        <w:t xml:space="preserve">prosecution, conviction and imprisonment </w:t>
      </w:r>
      <w:r w:rsidR="00FA222B" w:rsidRPr="00214E11">
        <w:t>violate</w:t>
      </w:r>
      <w:r w:rsidR="00A76440" w:rsidRPr="00214E11">
        <w:t xml:space="preserve"> </w:t>
      </w:r>
      <w:r w:rsidR="00FA222B" w:rsidRPr="00214E11">
        <w:t>his rights under articles 7</w:t>
      </w:r>
      <w:r w:rsidR="0041165D">
        <w:t>, 14 (7)</w:t>
      </w:r>
      <w:r w:rsidR="005D6FA0" w:rsidRPr="00214E11">
        <w:t xml:space="preserve"> </w:t>
      </w:r>
      <w:r w:rsidR="00FA222B" w:rsidRPr="00214E11">
        <w:t>and 18</w:t>
      </w:r>
      <w:r w:rsidR="0041165D">
        <w:t xml:space="preserve"> (</w:t>
      </w:r>
      <w:r w:rsidR="00FA222B" w:rsidRPr="00214E11">
        <w:t>1</w:t>
      </w:r>
      <w:r w:rsidR="0041165D">
        <w:t xml:space="preserve">) </w:t>
      </w:r>
      <w:r w:rsidR="00FA222B" w:rsidRPr="00214E11">
        <w:t>of the Covenant</w:t>
      </w:r>
      <w:r w:rsidR="003774D4">
        <w:t>, and</w:t>
      </w:r>
      <w:r w:rsidR="00A76440" w:rsidRPr="00214E11">
        <w:t xml:space="preserve"> </w:t>
      </w:r>
      <w:r w:rsidR="00FA3050" w:rsidRPr="00214E11">
        <w:t xml:space="preserve">reiterates </w:t>
      </w:r>
      <w:r w:rsidRPr="00214E11">
        <w:t xml:space="preserve">his </w:t>
      </w:r>
      <w:r w:rsidR="00FA222B" w:rsidRPr="00214E11">
        <w:t>request</w:t>
      </w:r>
      <w:r w:rsidR="00FA3050" w:rsidRPr="00214E11">
        <w:t xml:space="preserve"> </w:t>
      </w:r>
      <w:r w:rsidRPr="00214E11">
        <w:t>for remedies (see para. 3.</w:t>
      </w:r>
      <w:r w:rsidR="0041165D">
        <w:t>5</w:t>
      </w:r>
      <w:r w:rsidR="002F28CC">
        <w:t xml:space="preserve"> above</w:t>
      </w:r>
      <w:r w:rsidRPr="00214E11">
        <w:t>)</w:t>
      </w:r>
      <w:r w:rsidR="00FA222B" w:rsidRPr="00214E11">
        <w:t>.</w:t>
      </w:r>
    </w:p>
    <w:p w14:paraId="73B8B2B2" w14:textId="08806DB3" w:rsidR="00972A9C" w:rsidRPr="00214E11" w:rsidRDefault="00972A9C" w:rsidP="00F23D8B">
      <w:pPr>
        <w:pStyle w:val="SingleTxtG"/>
      </w:pPr>
      <w:r>
        <w:t>5.4</w:t>
      </w:r>
      <w:r w:rsidR="00D90505">
        <w:tab/>
        <w:t>On 22 October 2014, the author submit</w:t>
      </w:r>
      <w:r w:rsidR="002F28CC">
        <w:t>ted</w:t>
      </w:r>
      <w:r w:rsidR="00D90505">
        <w:t xml:space="preserve"> that he </w:t>
      </w:r>
      <w:proofErr w:type="gramStart"/>
      <w:r w:rsidR="002F28CC">
        <w:t>had been</w:t>
      </w:r>
      <w:r w:rsidR="00D90505">
        <w:t xml:space="preserve"> released</w:t>
      </w:r>
      <w:proofErr w:type="gramEnd"/>
      <w:r w:rsidR="00D90505">
        <w:t xml:space="preserve"> from prison on 1 May 2014</w:t>
      </w:r>
      <w:r w:rsidR="00781BF8">
        <w:t xml:space="preserve">, </w:t>
      </w:r>
      <w:r w:rsidR="00D90505">
        <w:t xml:space="preserve">after having served the full term of his </w:t>
      </w:r>
      <w:r w:rsidR="00280AA1">
        <w:t xml:space="preserve">second </w:t>
      </w:r>
      <w:r w:rsidR="00D90505">
        <w:t>two-year sentence</w:t>
      </w:r>
      <w:r w:rsidR="00280AA1">
        <w:t xml:space="preserve"> for conscientious objection</w:t>
      </w:r>
      <w:r w:rsidR="00D90505">
        <w:t xml:space="preserve">. </w:t>
      </w:r>
      <w:r w:rsidR="00280AA1">
        <w:t xml:space="preserve">Upon his release, he </w:t>
      </w:r>
      <w:r w:rsidR="00781BF8">
        <w:t xml:space="preserve">provided further information in </w:t>
      </w:r>
      <w:r w:rsidR="00D90505">
        <w:t xml:space="preserve">support </w:t>
      </w:r>
      <w:r w:rsidR="00781BF8">
        <w:t xml:space="preserve">of </w:t>
      </w:r>
      <w:r w:rsidR="00194EA2">
        <w:t xml:space="preserve">his </w:t>
      </w:r>
      <w:r w:rsidR="00D90505">
        <w:t>claim</w:t>
      </w:r>
      <w:r w:rsidR="00781BF8">
        <w:t>s</w:t>
      </w:r>
      <w:r w:rsidR="00D90505">
        <w:t xml:space="preserve"> that his rights under articles 7, 14 (7) and 18 (1) of the Covenant </w:t>
      </w:r>
      <w:r w:rsidR="00280AA1">
        <w:t xml:space="preserve">had been </w:t>
      </w:r>
      <w:r w:rsidR="00D90505">
        <w:t xml:space="preserve">violated. He </w:t>
      </w:r>
      <w:r w:rsidR="00781BF8">
        <w:t>submit</w:t>
      </w:r>
      <w:r w:rsidR="002F28CC">
        <w:t>ted</w:t>
      </w:r>
      <w:r w:rsidR="00781BF8">
        <w:t xml:space="preserve"> </w:t>
      </w:r>
      <w:r w:rsidR="00D90505">
        <w:t xml:space="preserve">that after the </w:t>
      </w:r>
      <w:r w:rsidR="00D534C3">
        <w:t xml:space="preserve">second </w:t>
      </w:r>
      <w:r w:rsidR="00D90505">
        <w:t xml:space="preserve">trial, he spent 21 days in </w:t>
      </w:r>
      <w:r w:rsidR="003A52C0">
        <w:t xml:space="preserve">the </w:t>
      </w:r>
      <w:r w:rsidR="00D90505">
        <w:t>DZD</w:t>
      </w:r>
      <w:r w:rsidR="003A52C0">
        <w:t>-</w:t>
      </w:r>
      <w:r w:rsidR="00D90505">
        <w:t xml:space="preserve">7 </w:t>
      </w:r>
      <w:r w:rsidR="003A52C0">
        <w:t xml:space="preserve">detention facility </w:t>
      </w:r>
      <w:r w:rsidR="00D90505">
        <w:t xml:space="preserve">in the city of </w:t>
      </w:r>
      <w:proofErr w:type="spellStart"/>
      <w:r w:rsidR="00D90505">
        <w:t>Dashoguz</w:t>
      </w:r>
      <w:proofErr w:type="spellEnd"/>
      <w:r w:rsidR="00280AA1">
        <w:t>, where he arrived on 2 May 2012. That day, t</w:t>
      </w:r>
      <w:r w:rsidR="00D90505">
        <w:t>he chief of the operative department</w:t>
      </w:r>
      <w:r w:rsidR="00280AA1">
        <w:t xml:space="preserve"> ordered </w:t>
      </w:r>
      <w:r w:rsidR="00D90505">
        <w:t>three cellmates</w:t>
      </w:r>
      <w:r w:rsidR="00280AA1">
        <w:t xml:space="preserve"> to</w:t>
      </w:r>
      <w:r w:rsidR="00D90505">
        <w:t xml:space="preserve"> beat him in the head, the kidneys and the chest. On 23 May 2012, he </w:t>
      </w:r>
      <w:proofErr w:type="gramStart"/>
      <w:r w:rsidR="00D90505">
        <w:t>was transferred</w:t>
      </w:r>
      <w:proofErr w:type="gramEnd"/>
      <w:r w:rsidR="00D90505">
        <w:t xml:space="preserve"> to </w:t>
      </w:r>
      <w:r w:rsidR="00F23D8B">
        <w:t xml:space="preserve">the </w:t>
      </w:r>
      <w:r w:rsidR="00D90505">
        <w:t>LBK</w:t>
      </w:r>
      <w:r w:rsidR="003A52C0">
        <w:t>-</w:t>
      </w:r>
      <w:r w:rsidR="00D90505">
        <w:t xml:space="preserve">11 </w:t>
      </w:r>
      <w:r w:rsidR="00F23D8B">
        <w:t xml:space="preserve">colony </w:t>
      </w:r>
      <w:r w:rsidR="00D90505">
        <w:t xml:space="preserve">in the city of </w:t>
      </w:r>
      <w:proofErr w:type="spellStart"/>
      <w:r w:rsidR="00D90505">
        <w:t>Seydi</w:t>
      </w:r>
      <w:proofErr w:type="spellEnd"/>
      <w:r w:rsidR="00D90505">
        <w:t xml:space="preserve">. Upon his arrival, he </w:t>
      </w:r>
      <w:proofErr w:type="gramStart"/>
      <w:r w:rsidR="00D90505">
        <w:t>was p</w:t>
      </w:r>
      <w:r w:rsidR="000619CA">
        <w:t>laced</w:t>
      </w:r>
      <w:proofErr w:type="gramEnd"/>
      <w:r w:rsidR="00D90505">
        <w:t xml:space="preserve"> in isolation for 10 days. </w:t>
      </w:r>
      <w:r w:rsidR="00662ABF">
        <w:t xml:space="preserve">There he was beaten and threatened by </w:t>
      </w:r>
      <w:r w:rsidR="00194EA2">
        <w:t xml:space="preserve">one of the </w:t>
      </w:r>
      <w:r w:rsidR="00662ABF">
        <w:t>sergeant</w:t>
      </w:r>
      <w:r w:rsidR="00194EA2">
        <w:t>s</w:t>
      </w:r>
      <w:r w:rsidR="00662ABF">
        <w:t xml:space="preserve">. </w:t>
      </w:r>
      <w:r w:rsidR="00194EA2">
        <w:t xml:space="preserve">On </w:t>
      </w:r>
      <w:r w:rsidR="00662ABF">
        <w:t xml:space="preserve">13 September 2012, he was working in the industrial zone </w:t>
      </w:r>
      <w:r w:rsidR="00194EA2">
        <w:t xml:space="preserve">when </w:t>
      </w:r>
      <w:r w:rsidR="00662ABF">
        <w:t xml:space="preserve">an operative tossed him a broom, and told him to sweep </w:t>
      </w:r>
      <w:r w:rsidR="000619CA">
        <w:t xml:space="preserve">a </w:t>
      </w:r>
      <w:r w:rsidR="00662ABF">
        <w:t xml:space="preserve">certain area, </w:t>
      </w:r>
      <w:r w:rsidR="000619CA">
        <w:t xml:space="preserve">which </w:t>
      </w:r>
      <w:proofErr w:type="gramStart"/>
      <w:r w:rsidR="000619CA">
        <w:t>is considered</w:t>
      </w:r>
      <w:proofErr w:type="gramEnd"/>
      <w:r w:rsidR="000619CA">
        <w:t xml:space="preserve"> the most degrading work, </w:t>
      </w:r>
      <w:r w:rsidR="00194EA2">
        <w:t>which he did</w:t>
      </w:r>
      <w:r w:rsidR="00662ABF">
        <w:t xml:space="preserve">. As soon as he </w:t>
      </w:r>
      <w:r w:rsidR="00F23D8B">
        <w:t>had finished</w:t>
      </w:r>
      <w:r w:rsidR="00662ABF">
        <w:t xml:space="preserve">, he </w:t>
      </w:r>
      <w:proofErr w:type="gramStart"/>
      <w:r w:rsidR="00662ABF">
        <w:t>was called</w:t>
      </w:r>
      <w:proofErr w:type="gramEnd"/>
      <w:r w:rsidR="00662ABF">
        <w:t xml:space="preserve"> to the operative department and was </w:t>
      </w:r>
      <w:r w:rsidR="000619CA">
        <w:t xml:space="preserve">accused </w:t>
      </w:r>
      <w:r w:rsidR="00662ABF">
        <w:t xml:space="preserve">of </w:t>
      </w:r>
      <w:r w:rsidR="00F23D8B">
        <w:t xml:space="preserve">having </w:t>
      </w:r>
      <w:r w:rsidR="00662ABF">
        <w:t>talk</w:t>
      </w:r>
      <w:r w:rsidR="00F23D8B">
        <w:t>ed</w:t>
      </w:r>
      <w:r w:rsidR="00662ABF">
        <w:t xml:space="preserve"> to a soldier in the lookout tower. He explained that he had been working all day</w:t>
      </w:r>
      <w:r w:rsidR="000619CA">
        <w:t xml:space="preserve"> and</w:t>
      </w:r>
      <w:r w:rsidR="00662ABF">
        <w:t xml:space="preserve"> had not talked to anyone. Still, he was threatened and </w:t>
      </w:r>
      <w:r w:rsidR="003C03B9">
        <w:t>requested</w:t>
      </w:r>
      <w:r w:rsidR="00662ABF">
        <w:t xml:space="preserve"> to sign a falsified document.</w:t>
      </w:r>
      <w:r w:rsidR="00194EA2" w:rsidRPr="00AB7D36">
        <w:rPr>
          <w:rStyle w:val="FootnoteReference"/>
        </w:rPr>
        <w:footnoteReference w:id="16"/>
      </w:r>
      <w:r w:rsidR="00662ABF">
        <w:t xml:space="preserve"> </w:t>
      </w:r>
      <w:r w:rsidR="00250F49">
        <w:t xml:space="preserve">As </w:t>
      </w:r>
      <w:r w:rsidR="00662ABF">
        <w:t xml:space="preserve">he refused, he </w:t>
      </w:r>
      <w:proofErr w:type="gramStart"/>
      <w:r w:rsidR="00662ABF">
        <w:t>was put</w:t>
      </w:r>
      <w:proofErr w:type="gramEnd"/>
      <w:r w:rsidR="00662ABF">
        <w:t xml:space="preserve"> in th</w:t>
      </w:r>
      <w:r w:rsidR="00AB2CEB">
        <w:t xml:space="preserve">e punishment cell for five days, </w:t>
      </w:r>
      <w:r w:rsidR="00662ABF">
        <w:t>from 13 to 18 September 2012. There he had to</w:t>
      </w:r>
      <w:r w:rsidR="003C03B9">
        <w:t xml:space="preserve"> remain</w:t>
      </w:r>
      <w:r w:rsidR="00662ABF">
        <w:t xml:space="preserve"> s</w:t>
      </w:r>
      <w:r w:rsidR="007225E7">
        <w:t xml:space="preserve">eated </w:t>
      </w:r>
      <w:r w:rsidR="003C03B9">
        <w:t xml:space="preserve">or </w:t>
      </w:r>
      <w:r w:rsidR="00662ABF">
        <w:t>stand</w:t>
      </w:r>
      <w:r w:rsidR="003C03B9">
        <w:t>ing</w:t>
      </w:r>
      <w:r w:rsidR="00662ABF">
        <w:t xml:space="preserve"> because the walls and floor were </w:t>
      </w:r>
      <w:r w:rsidR="003F7C7A">
        <w:t xml:space="preserve">bare </w:t>
      </w:r>
      <w:r w:rsidR="00662ABF">
        <w:t xml:space="preserve">concrete. He had to report </w:t>
      </w:r>
      <w:r w:rsidR="00C95794">
        <w:t xml:space="preserve">to the authorities </w:t>
      </w:r>
      <w:r w:rsidR="003C03B9">
        <w:t>on various occasions, as</w:t>
      </w:r>
      <w:r w:rsidR="00662ABF">
        <w:t xml:space="preserve"> </w:t>
      </w:r>
      <w:r w:rsidR="00250F49">
        <w:t xml:space="preserve">if he </w:t>
      </w:r>
      <w:r w:rsidR="00F23D8B">
        <w:t>were</w:t>
      </w:r>
      <w:r w:rsidR="003C03B9">
        <w:t xml:space="preserve"> </w:t>
      </w:r>
      <w:r w:rsidR="00250F49">
        <w:t xml:space="preserve">an </w:t>
      </w:r>
      <w:r w:rsidR="00662ABF">
        <w:t xml:space="preserve">especially dangerous inmate. In May 2013, while working in the industrial zone, he </w:t>
      </w:r>
      <w:proofErr w:type="gramStart"/>
      <w:r w:rsidR="00662ABF">
        <w:t xml:space="preserve">was </w:t>
      </w:r>
      <w:r w:rsidR="00AB2CEB">
        <w:t>led</w:t>
      </w:r>
      <w:proofErr w:type="gramEnd"/>
      <w:r w:rsidR="00AB2CEB">
        <w:t xml:space="preserve"> a</w:t>
      </w:r>
      <w:r w:rsidR="00662ABF">
        <w:t xml:space="preserve">way by </w:t>
      </w:r>
      <w:r w:rsidR="00250F49">
        <w:t xml:space="preserve">the </w:t>
      </w:r>
      <w:r w:rsidR="003C03B9">
        <w:t xml:space="preserve">prison </w:t>
      </w:r>
      <w:r w:rsidR="00662ABF">
        <w:t>officers</w:t>
      </w:r>
      <w:r w:rsidR="00250F49">
        <w:t xml:space="preserve"> </w:t>
      </w:r>
      <w:r w:rsidR="003C03B9">
        <w:t>who</w:t>
      </w:r>
      <w:r w:rsidR="00662ABF">
        <w:t xml:space="preserve"> said</w:t>
      </w:r>
      <w:r w:rsidR="003C03B9">
        <w:t xml:space="preserve"> that</w:t>
      </w:r>
      <w:r w:rsidR="00662ABF">
        <w:t xml:space="preserve"> he had been reading a banned book</w:t>
      </w:r>
      <w:r w:rsidR="003C03B9">
        <w:t>. He</w:t>
      </w:r>
      <w:r w:rsidR="00662ABF">
        <w:t xml:space="preserve"> </w:t>
      </w:r>
      <w:proofErr w:type="gramStart"/>
      <w:r w:rsidR="00662ABF">
        <w:t>was put</w:t>
      </w:r>
      <w:proofErr w:type="gramEnd"/>
      <w:r w:rsidR="00662ABF">
        <w:t xml:space="preserve"> in a punishment cell for three days. </w:t>
      </w:r>
      <w:r w:rsidR="003C03B9">
        <w:t xml:space="preserve">Since his release on </w:t>
      </w:r>
      <w:r w:rsidR="00662ABF">
        <w:t>1 May 2014</w:t>
      </w:r>
      <w:r w:rsidR="00250F49">
        <w:t xml:space="preserve">, he </w:t>
      </w:r>
      <w:r w:rsidR="00394C0B" w:rsidRPr="00394C0B">
        <w:t>has been required to report to the local police department for a</w:t>
      </w:r>
      <w:r w:rsidR="00250F49">
        <w:t xml:space="preserve">n undetermined </w:t>
      </w:r>
      <w:proofErr w:type="gramStart"/>
      <w:r w:rsidR="00394C0B">
        <w:t>period of time</w:t>
      </w:r>
      <w:proofErr w:type="gramEnd"/>
      <w:r w:rsidR="00394C0B">
        <w:t xml:space="preserve">. </w:t>
      </w:r>
      <w:r w:rsidR="003C03B9">
        <w:t>The author has had health problems, especially because of</w:t>
      </w:r>
      <w:r w:rsidR="00394C0B">
        <w:t xml:space="preserve"> the intracranial pressure resulting from beatings to his head in colony DZD</w:t>
      </w:r>
      <w:r w:rsidR="003A52C0">
        <w:t>-</w:t>
      </w:r>
      <w:r w:rsidR="00394C0B">
        <w:t xml:space="preserve">7. </w:t>
      </w:r>
    </w:p>
    <w:p w14:paraId="0FAC3EBE" w14:textId="77777777" w:rsidR="00FA222B" w:rsidRPr="00214E11" w:rsidRDefault="0067314F" w:rsidP="0067314F">
      <w:pPr>
        <w:pStyle w:val="H23G"/>
      </w:pPr>
      <w:r w:rsidRPr="00214E11">
        <w:tab/>
      </w:r>
      <w:r w:rsidRPr="00214E11">
        <w:tab/>
      </w:r>
      <w:r w:rsidR="00FA222B" w:rsidRPr="00214E11">
        <w:t>Issues and proceedings before the Committee</w:t>
      </w:r>
    </w:p>
    <w:p w14:paraId="5DEFBE09" w14:textId="77777777" w:rsidR="00DE1990" w:rsidRDefault="0067314F" w:rsidP="00DF23AC">
      <w:pPr>
        <w:pStyle w:val="H4G"/>
      </w:pPr>
      <w:r w:rsidRPr="00214E11">
        <w:tab/>
      </w:r>
      <w:r w:rsidRPr="00214E11">
        <w:tab/>
      </w:r>
      <w:r w:rsidR="00DE1990" w:rsidRPr="00DE1990">
        <w:t>Protection against intimidation and reprisals</w:t>
      </w:r>
    </w:p>
    <w:p w14:paraId="515A5641" w14:textId="731A256F" w:rsidR="009A56F8" w:rsidRPr="000D5D5E" w:rsidRDefault="00DE1990" w:rsidP="005A51E5">
      <w:pPr>
        <w:pStyle w:val="SingleTxtG"/>
      </w:pPr>
      <w:r>
        <w:t>6.</w:t>
      </w:r>
      <w:r>
        <w:tab/>
      </w:r>
      <w:r w:rsidRPr="00DE1990">
        <w:t>The Committee notes with concern the information provided by the author that</w:t>
      </w:r>
      <w:r>
        <w:t>,</w:t>
      </w:r>
      <w:r w:rsidRPr="00DE1990">
        <w:t xml:space="preserve"> on 24 January 2013</w:t>
      </w:r>
      <w:r>
        <w:t>,</w:t>
      </w:r>
      <w:r w:rsidRPr="00DE1990">
        <w:t xml:space="preserve"> </w:t>
      </w:r>
      <w:proofErr w:type="gramStart"/>
      <w:r w:rsidRPr="00DE1990">
        <w:t>h</w:t>
      </w:r>
      <w:r w:rsidR="000619CA">
        <w:t>is</w:t>
      </w:r>
      <w:r w:rsidRPr="00DE1990">
        <w:t xml:space="preserve"> family home was raided by police officers and that family members and guests</w:t>
      </w:r>
      <w:proofErr w:type="gramEnd"/>
      <w:r w:rsidRPr="00DE1990">
        <w:t xml:space="preserve"> were subjected to mistreatment. The Committee also notes that the State party did not </w:t>
      </w:r>
      <w:r>
        <w:t xml:space="preserve">provide any information to the contrary following </w:t>
      </w:r>
      <w:r w:rsidRPr="00DE1990">
        <w:t xml:space="preserve">the call from the Special Rapporteur on </w:t>
      </w:r>
      <w:r w:rsidR="000619CA">
        <w:t>n</w:t>
      </w:r>
      <w:r w:rsidRPr="00DE1990">
        <w:t xml:space="preserve">ew </w:t>
      </w:r>
      <w:r w:rsidR="000619CA">
        <w:t>c</w:t>
      </w:r>
      <w:r w:rsidRPr="00DE1990">
        <w:t xml:space="preserve">ommunications and </w:t>
      </w:r>
      <w:r w:rsidR="000619CA">
        <w:t>i</w:t>
      </w:r>
      <w:r w:rsidRPr="00DE1990">
        <w:t xml:space="preserve">nterim </w:t>
      </w:r>
      <w:r w:rsidR="000619CA">
        <w:t>m</w:t>
      </w:r>
      <w:r w:rsidRPr="00DE1990">
        <w:t>easures dated 8 February 2013 to abstain from acts of pressure, intimidation or reprisal against the author of the communication and his relatives. The Committee recalls that any act of pressure, intimidation or reprisal against a person who has submitted a communication or his</w:t>
      </w:r>
      <w:r w:rsidR="000619CA">
        <w:t xml:space="preserve"> or </w:t>
      </w:r>
      <w:r w:rsidRPr="00DE1990">
        <w:t>her relatives constitutes a breach of the State party’s obligations under the Optional Protocol to cooperate with the Committee in good faith in the implementation of the provisions of the Covenant.</w:t>
      </w:r>
    </w:p>
    <w:p w14:paraId="11ABE68A" w14:textId="77777777" w:rsidR="00FA222B" w:rsidRPr="00214E11" w:rsidRDefault="009A56F8" w:rsidP="0067314F">
      <w:pPr>
        <w:pStyle w:val="H4G"/>
      </w:pPr>
      <w:r>
        <w:tab/>
      </w:r>
      <w:r>
        <w:tab/>
      </w:r>
      <w:r w:rsidR="00FA222B" w:rsidRPr="00214E11">
        <w:t>Consideration of admissibility</w:t>
      </w:r>
    </w:p>
    <w:p w14:paraId="0AB7F754" w14:textId="72FA8EC6" w:rsidR="00FA222B" w:rsidRPr="00214E11" w:rsidRDefault="00F53397" w:rsidP="00D07DA4">
      <w:pPr>
        <w:pStyle w:val="SingleTxtG"/>
      </w:pPr>
      <w:proofErr w:type="gramStart"/>
      <w:r>
        <w:t>7.1</w:t>
      </w:r>
      <w:r w:rsidR="00FA222B" w:rsidRPr="00214E11">
        <w:tab/>
        <w:t>Before considering any claim contained in a communication, the Committee must</w:t>
      </w:r>
      <w:r w:rsidR="00D07DA4">
        <w:t xml:space="preserve"> </w:t>
      </w:r>
      <w:r w:rsidR="00D07DA4" w:rsidRPr="00214E11">
        <w:t>decide</w:t>
      </w:r>
      <w:r w:rsidR="00FA222B" w:rsidRPr="00214E11">
        <w:t>, in accordance with rule 93 of its rules of procedure, whether the case is admissible under the Optional Protocol.</w:t>
      </w:r>
      <w:proofErr w:type="gramEnd"/>
    </w:p>
    <w:p w14:paraId="4E981806" w14:textId="397BA279" w:rsidR="00FA222B" w:rsidRPr="00214E11" w:rsidRDefault="00F53397" w:rsidP="00D07DA4">
      <w:pPr>
        <w:pStyle w:val="SingleTxtG"/>
      </w:pPr>
      <w:r>
        <w:t>7.2</w:t>
      </w:r>
      <w:r w:rsidR="00FA222B" w:rsidRPr="00214E11">
        <w:tab/>
        <w:t>The Committee has ascertained, as required under article 5</w:t>
      </w:r>
      <w:r w:rsidR="00D07DA4">
        <w:t xml:space="preserve"> (</w:t>
      </w:r>
      <w:r w:rsidR="00FA222B" w:rsidRPr="00214E11">
        <w:t>2</w:t>
      </w:r>
      <w:r w:rsidR="00D07DA4">
        <w:t>)</w:t>
      </w:r>
      <w:r w:rsidR="00FA222B" w:rsidRPr="00214E11">
        <w:t xml:space="preserve"> (a) of the Optional Protocol</w:t>
      </w:r>
      <w:r w:rsidR="00F23D8B">
        <w:t>,</w:t>
      </w:r>
      <w:r w:rsidR="00FA222B" w:rsidRPr="00214E11">
        <w:t xml:space="preserve"> that the same matter is not being examined under another procedure of international investigation or settlement. </w:t>
      </w:r>
    </w:p>
    <w:p w14:paraId="3BDE7519" w14:textId="36DF1DA9" w:rsidR="0075709C" w:rsidRPr="00214E11" w:rsidRDefault="00F53397" w:rsidP="00F23D8B">
      <w:pPr>
        <w:pStyle w:val="SingleTxtG"/>
      </w:pPr>
      <w:r>
        <w:t>7.3</w:t>
      </w:r>
      <w:r w:rsidR="00FA222B" w:rsidRPr="00214E11">
        <w:tab/>
        <w:t>The Committee recalls its jurisprudence to the effect that authors must avail themselves of all domestic remedies in order to fulfil the requirement of article 5 </w:t>
      </w:r>
      <w:r w:rsidR="000619CA">
        <w:t>(</w:t>
      </w:r>
      <w:r w:rsidR="00FA222B" w:rsidRPr="00214E11">
        <w:t>2</w:t>
      </w:r>
      <w:r w:rsidR="000619CA">
        <w:t>)</w:t>
      </w:r>
      <w:r w:rsidR="00FA222B" w:rsidRPr="00214E11">
        <w:t xml:space="preserve"> (b) of the Optional Protocol, insofar as such remedies appear to be effective in the given case and are </w:t>
      </w:r>
      <w:r w:rsidR="00FA222B" w:rsidRPr="00214E11">
        <w:rPr>
          <w:iCs/>
        </w:rPr>
        <w:t>de facto</w:t>
      </w:r>
      <w:r w:rsidR="00FA222B" w:rsidRPr="00214E11">
        <w:t xml:space="preserve"> available to the author.</w:t>
      </w:r>
      <w:r w:rsidR="00FA222B" w:rsidRPr="00AB7D36">
        <w:rPr>
          <w:rStyle w:val="FootnoteReference"/>
        </w:rPr>
        <w:footnoteReference w:id="17"/>
      </w:r>
      <w:r w:rsidR="00FA222B" w:rsidRPr="00214E11">
        <w:t xml:space="preserve"> </w:t>
      </w:r>
      <w:proofErr w:type="gramStart"/>
      <w:r w:rsidR="00FA222B" w:rsidRPr="00214E11">
        <w:t>The Committee notes the author’s submission that there are no effective remedies available to him</w:t>
      </w:r>
      <w:r w:rsidR="00BF43D7">
        <w:t xml:space="preserve"> in the State party </w:t>
      </w:r>
      <w:r w:rsidR="005E681C">
        <w:t>with</w:t>
      </w:r>
      <w:r w:rsidR="00BF43D7">
        <w:t xml:space="preserve"> regard to </w:t>
      </w:r>
      <w:r w:rsidR="00BF43D7" w:rsidRPr="00BF43D7">
        <w:t>his claims under articles 7, 10 and 1</w:t>
      </w:r>
      <w:r w:rsidR="00970686">
        <w:t>4</w:t>
      </w:r>
      <w:r w:rsidR="00BF43D7" w:rsidRPr="00BF43D7">
        <w:t xml:space="preserve"> </w:t>
      </w:r>
      <w:r w:rsidR="00E446A0">
        <w:t xml:space="preserve">(7) </w:t>
      </w:r>
      <w:r w:rsidR="00BF43D7" w:rsidRPr="00BF43D7">
        <w:t>of the Covenant</w:t>
      </w:r>
      <w:r w:rsidR="00E446A0">
        <w:t xml:space="preserve">, and that </w:t>
      </w:r>
      <w:r w:rsidR="00F04D7A">
        <w:t xml:space="preserve">he has exhausted the </w:t>
      </w:r>
      <w:r w:rsidR="00E446A0" w:rsidRPr="00E446A0">
        <w:t>available domestic remedies</w:t>
      </w:r>
      <w:r w:rsidR="00E47302">
        <w:t xml:space="preserve"> in regard to his claim under article 18 (1) of the Covenant</w:t>
      </w:r>
      <w:r w:rsidR="00F04D7A">
        <w:t xml:space="preserve">, </w:t>
      </w:r>
      <w:r w:rsidR="00E446A0">
        <w:t xml:space="preserve">with the decisions of </w:t>
      </w:r>
      <w:proofErr w:type="spellStart"/>
      <w:r w:rsidR="00E446A0" w:rsidRPr="00E446A0">
        <w:t>Dashoguz</w:t>
      </w:r>
      <w:proofErr w:type="spellEnd"/>
      <w:r w:rsidR="00E446A0" w:rsidRPr="00E446A0">
        <w:t xml:space="preserve"> Regional Court </w:t>
      </w:r>
      <w:r w:rsidR="00E446A0">
        <w:t xml:space="preserve">and of </w:t>
      </w:r>
      <w:r w:rsidR="00E446A0" w:rsidRPr="00E446A0">
        <w:t>the Supreme Court of Turkmenistan</w:t>
      </w:r>
      <w:r w:rsidR="000619CA">
        <w:t>,</w:t>
      </w:r>
      <w:r w:rsidR="00E446A0">
        <w:t xml:space="preserve"> </w:t>
      </w:r>
      <w:r w:rsidR="00E446A0" w:rsidRPr="00E446A0">
        <w:t>which upheld his convictions and sentence</w:t>
      </w:r>
      <w:r w:rsidR="00E446A0">
        <w:t>s</w:t>
      </w:r>
      <w:r w:rsidR="00FA222B" w:rsidRPr="00214E11">
        <w:t>.</w:t>
      </w:r>
      <w:proofErr w:type="gramEnd"/>
      <w:r w:rsidR="00FD10BA" w:rsidRPr="00214E11">
        <w:t xml:space="preserve"> </w:t>
      </w:r>
      <w:r w:rsidR="00EF4ADD" w:rsidRPr="00214E11">
        <w:t>T</w:t>
      </w:r>
      <w:r w:rsidR="00FA222B" w:rsidRPr="00214E11">
        <w:t xml:space="preserve">he Committee </w:t>
      </w:r>
      <w:r w:rsidR="000619CA">
        <w:t>also</w:t>
      </w:r>
      <w:r w:rsidR="000619CA" w:rsidRPr="00214E11">
        <w:t xml:space="preserve"> </w:t>
      </w:r>
      <w:r w:rsidR="00FA222B" w:rsidRPr="00214E11">
        <w:t xml:space="preserve">notes </w:t>
      </w:r>
      <w:r w:rsidR="004826DE">
        <w:t xml:space="preserve">the State party’s assertion of 17 March 2014 that the </w:t>
      </w:r>
      <w:r w:rsidR="004826DE" w:rsidRPr="00214E11">
        <w:t>author’s case ha</w:t>
      </w:r>
      <w:r w:rsidR="00D701CD">
        <w:t>d</w:t>
      </w:r>
      <w:r w:rsidR="004826DE" w:rsidRPr="00214E11">
        <w:t xml:space="preserve"> been carefully considered by the relevant law enforcement bodies of Turkmenistan and no reason had been found to appeal the court decision</w:t>
      </w:r>
      <w:r w:rsidR="00F23D8B">
        <w:t>,</w:t>
      </w:r>
      <w:r w:rsidR="004826DE">
        <w:t xml:space="preserve"> and </w:t>
      </w:r>
      <w:r w:rsidR="00FA222B" w:rsidRPr="00214E11">
        <w:t xml:space="preserve">that </w:t>
      </w:r>
      <w:r w:rsidR="00F23D8B">
        <w:t>the State party</w:t>
      </w:r>
      <w:r w:rsidR="00FA222B" w:rsidRPr="00214E11">
        <w:t xml:space="preserve"> has not contested the author’s argumentation</w:t>
      </w:r>
      <w:r w:rsidR="004114A9" w:rsidRPr="00214E11">
        <w:t xml:space="preserve"> </w:t>
      </w:r>
      <w:r w:rsidR="00552E24">
        <w:t>concerning the exhaustion of domestic remedies</w:t>
      </w:r>
      <w:r w:rsidR="00FA222B" w:rsidRPr="00214E11">
        <w:t>. In these circumstances, the Committee considers that in the present case it is not precluded by article 5</w:t>
      </w:r>
      <w:r w:rsidR="000619CA">
        <w:t xml:space="preserve"> (</w:t>
      </w:r>
      <w:r w:rsidR="00FA222B" w:rsidRPr="00214E11">
        <w:t>2</w:t>
      </w:r>
      <w:r w:rsidR="000619CA">
        <w:t>)</w:t>
      </w:r>
      <w:r w:rsidR="00FA222B" w:rsidRPr="00214E11">
        <w:t xml:space="preserve"> (b) of the Optional Protocol from examining the communication.</w:t>
      </w:r>
    </w:p>
    <w:p w14:paraId="603F0E88" w14:textId="7D5FFBBA" w:rsidR="00FA222B" w:rsidRPr="00214E11" w:rsidRDefault="00F53397" w:rsidP="00FA222B">
      <w:pPr>
        <w:pStyle w:val="SingleTxtG"/>
      </w:pPr>
      <w:r>
        <w:t>7.4</w:t>
      </w:r>
      <w:r w:rsidR="0067314F" w:rsidRPr="00214E11">
        <w:tab/>
      </w:r>
      <w:r w:rsidR="00FA222B" w:rsidRPr="00214E11">
        <w:t>The Committee considers that the author’s claims raising issues under articles 7</w:t>
      </w:r>
      <w:r w:rsidR="004114A9" w:rsidRPr="00214E11">
        <w:t>, 10</w:t>
      </w:r>
      <w:r w:rsidR="00970686">
        <w:t>, 14 (7)</w:t>
      </w:r>
      <w:r w:rsidR="00FA3050" w:rsidRPr="00214E11">
        <w:t xml:space="preserve"> and </w:t>
      </w:r>
      <w:r w:rsidR="00FA222B" w:rsidRPr="00214E11">
        <w:t>18</w:t>
      </w:r>
      <w:r w:rsidR="00970686">
        <w:t xml:space="preserve"> (</w:t>
      </w:r>
      <w:r w:rsidR="00FA222B" w:rsidRPr="00214E11">
        <w:t>1</w:t>
      </w:r>
      <w:r w:rsidR="00970686">
        <w:t>)</w:t>
      </w:r>
      <w:r w:rsidR="00FA222B" w:rsidRPr="00214E11">
        <w:t xml:space="preserve"> of the Covenant are sufficiently substantiated for </w:t>
      </w:r>
      <w:r w:rsidR="00FE0243">
        <w:t xml:space="preserve">the </w:t>
      </w:r>
      <w:r w:rsidR="00FA222B" w:rsidRPr="00214E11">
        <w:t>purposes of admissibility, declares them admissible and proceeds to their examination on the merits.</w:t>
      </w:r>
    </w:p>
    <w:p w14:paraId="6E1D5810" w14:textId="77777777" w:rsidR="00FA222B" w:rsidRPr="00214E11" w:rsidRDefault="00891D98" w:rsidP="00891D98">
      <w:pPr>
        <w:pStyle w:val="H4G"/>
      </w:pPr>
      <w:r>
        <w:tab/>
      </w:r>
      <w:r>
        <w:tab/>
      </w:r>
      <w:r w:rsidR="00FA222B" w:rsidRPr="00214E11">
        <w:t xml:space="preserve">Consideration of </w:t>
      </w:r>
      <w:r w:rsidR="000619CA">
        <w:t xml:space="preserve">the </w:t>
      </w:r>
      <w:r w:rsidR="00FA222B" w:rsidRPr="00214E11">
        <w:t>merits</w:t>
      </w:r>
    </w:p>
    <w:p w14:paraId="76C843C9" w14:textId="1B611856" w:rsidR="00FA222B" w:rsidRPr="00214E11" w:rsidRDefault="00F53397" w:rsidP="000619CA">
      <w:pPr>
        <w:pStyle w:val="SingleTxtG"/>
      </w:pPr>
      <w:r>
        <w:t>8</w:t>
      </w:r>
      <w:r w:rsidR="00FA222B" w:rsidRPr="00214E11">
        <w:t>.1</w:t>
      </w:r>
      <w:r w:rsidR="00FA222B" w:rsidRPr="00214E11">
        <w:tab/>
        <w:t>The Committee has considered the communication in the light of all the information made available to it by the parties, as provided for under article 5</w:t>
      </w:r>
      <w:r w:rsidR="00643442">
        <w:t xml:space="preserve"> (</w:t>
      </w:r>
      <w:r w:rsidR="00FA222B" w:rsidRPr="00214E11">
        <w:t>1</w:t>
      </w:r>
      <w:r w:rsidR="00643442">
        <w:t xml:space="preserve">) </w:t>
      </w:r>
      <w:r w:rsidR="00FA222B" w:rsidRPr="00214E11">
        <w:t>of the Optional Protocol.</w:t>
      </w:r>
    </w:p>
    <w:p w14:paraId="7BDD7E76" w14:textId="7A4D9606" w:rsidR="009E58E0" w:rsidRPr="00214E11" w:rsidRDefault="00F53397" w:rsidP="00B057F5">
      <w:pPr>
        <w:pStyle w:val="SingleTxtG"/>
      </w:pPr>
      <w:r>
        <w:t>8</w:t>
      </w:r>
      <w:r w:rsidR="0067314F" w:rsidRPr="00214E11">
        <w:t>.</w:t>
      </w:r>
      <w:r w:rsidR="0079683A" w:rsidRPr="00214E11">
        <w:t>2</w:t>
      </w:r>
      <w:r w:rsidR="0067314F" w:rsidRPr="00214E11">
        <w:tab/>
      </w:r>
      <w:r w:rsidR="004412A2" w:rsidRPr="00214E11">
        <w:t>The Committee note</w:t>
      </w:r>
      <w:r w:rsidR="004412A2">
        <w:t>s</w:t>
      </w:r>
      <w:r w:rsidR="004412A2" w:rsidRPr="00214E11">
        <w:t xml:space="preserve"> the author’s claim that</w:t>
      </w:r>
      <w:r w:rsidR="004412A2">
        <w:t xml:space="preserve">, </w:t>
      </w:r>
      <w:r w:rsidR="004412A2" w:rsidRPr="00F16556">
        <w:t xml:space="preserve">after his conviction, </w:t>
      </w:r>
      <w:r w:rsidR="004412A2">
        <w:t xml:space="preserve">he </w:t>
      </w:r>
      <w:proofErr w:type="gramStart"/>
      <w:r w:rsidR="004412A2">
        <w:t>was singled out</w:t>
      </w:r>
      <w:proofErr w:type="gramEnd"/>
      <w:r w:rsidR="004412A2">
        <w:t xml:space="preserve"> </w:t>
      </w:r>
      <w:r w:rsidR="004412A2" w:rsidRPr="00F16556">
        <w:t xml:space="preserve">as </w:t>
      </w:r>
      <w:r w:rsidR="000619CA">
        <w:t xml:space="preserve">a </w:t>
      </w:r>
      <w:r w:rsidR="004412A2" w:rsidRPr="00F16556">
        <w:t>Jehovah’s Witness</w:t>
      </w:r>
      <w:r w:rsidR="004412A2">
        <w:t xml:space="preserve"> for harsh treatment </w:t>
      </w:r>
      <w:r w:rsidR="004412A2" w:rsidRPr="00214E11">
        <w:t>during the first 1</w:t>
      </w:r>
      <w:r w:rsidR="004412A2">
        <w:t>0</w:t>
      </w:r>
      <w:r w:rsidR="004412A2" w:rsidRPr="00214E11">
        <w:t xml:space="preserve"> days of his detention </w:t>
      </w:r>
      <w:r w:rsidR="004412A2">
        <w:t xml:space="preserve">in quarantine, and </w:t>
      </w:r>
      <w:r w:rsidR="004412A2" w:rsidRPr="00214E11">
        <w:t xml:space="preserve">he was </w:t>
      </w:r>
      <w:r w:rsidR="004412A2">
        <w:t xml:space="preserve">put into a punishment cell for periods of two to three days. The Committee </w:t>
      </w:r>
      <w:r w:rsidR="000619CA">
        <w:t xml:space="preserve">also </w:t>
      </w:r>
      <w:r w:rsidR="004412A2">
        <w:t xml:space="preserve">notes that on </w:t>
      </w:r>
      <w:r w:rsidR="000619CA">
        <w:t>an</w:t>
      </w:r>
      <w:r w:rsidR="004412A2">
        <w:t xml:space="preserve">other occasion, the author was isolated in a </w:t>
      </w:r>
      <w:r w:rsidR="000619CA">
        <w:t>“</w:t>
      </w:r>
      <w:r w:rsidR="004412A2">
        <w:t>control unit</w:t>
      </w:r>
      <w:r w:rsidR="000619CA">
        <w:t>”</w:t>
      </w:r>
      <w:r w:rsidR="004412A2">
        <w:t xml:space="preserve">, a type of punishment cell, for one month, and that </w:t>
      </w:r>
      <w:r w:rsidR="000619CA">
        <w:t xml:space="preserve">once </w:t>
      </w:r>
      <w:r w:rsidR="004412A2">
        <w:t>during th</w:t>
      </w:r>
      <w:r w:rsidR="000619CA">
        <w:t>at</w:t>
      </w:r>
      <w:r w:rsidR="004412A2">
        <w:t xml:space="preserve"> </w:t>
      </w:r>
      <w:proofErr w:type="gramStart"/>
      <w:r w:rsidR="004412A2">
        <w:t>period</w:t>
      </w:r>
      <w:r w:rsidR="00A92580">
        <w:t>,</w:t>
      </w:r>
      <w:proofErr w:type="gramEnd"/>
      <w:r w:rsidR="004412A2" w:rsidRPr="00214E11">
        <w:t xml:space="preserve"> </w:t>
      </w:r>
      <w:r w:rsidR="004412A2">
        <w:t xml:space="preserve">four </w:t>
      </w:r>
      <w:r w:rsidR="00A92580">
        <w:t xml:space="preserve">masked </w:t>
      </w:r>
      <w:r w:rsidR="004412A2">
        <w:t xml:space="preserve">officers from the </w:t>
      </w:r>
      <w:proofErr w:type="spellStart"/>
      <w:r w:rsidR="004412A2">
        <w:t>Ashgabad</w:t>
      </w:r>
      <w:proofErr w:type="spellEnd"/>
      <w:r w:rsidR="004412A2">
        <w:t xml:space="preserve"> special police forces entered the cell and severely beat him. In addition, following his transfer on 23 May 2012 to the LBK-11 prison, the author was beaten and </w:t>
      </w:r>
      <w:proofErr w:type="gramStart"/>
      <w:r w:rsidR="004412A2">
        <w:t>ill-treated</w:t>
      </w:r>
      <w:proofErr w:type="gramEnd"/>
      <w:r w:rsidR="004412A2">
        <w:t xml:space="preserve"> during his placement in isolation for 10 days. The author claims that he </w:t>
      </w:r>
      <w:proofErr w:type="gramStart"/>
      <w:r w:rsidR="004412A2">
        <w:t>was repeatedly placed</w:t>
      </w:r>
      <w:proofErr w:type="gramEnd"/>
      <w:r w:rsidR="004412A2">
        <w:t xml:space="preserve"> in the punishment cell. The Committee notes the author’s allegations regarding the lack of adequate mechanisms for investigation of the claims of torture in Turkmenistan, and recalls that </w:t>
      </w:r>
      <w:proofErr w:type="gramStart"/>
      <w:r w:rsidR="004412A2">
        <w:t>complaints of ill-treatment must be investigated promptly and impartially by competent authorities</w:t>
      </w:r>
      <w:proofErr w:type="gramEnd"/>
      <w:r w:rsidR="004412A2">
        <w:t>.</w:t>
      </w:r>
      <w:r w:rsidR="004412A2" w:rsidRPr="00AB7D36">
        <w:rPr>
          <w:rStyle w:val="FootnoteReference"/>
        </w:rPr>
        <w:footnoteReference w:id="18"/>
      </w:r>
      <w:r w:rsidR="004412A2">
        <w:t xml:space="preserve"> </w:t>
      </w:r>
      <w:r w:rsidR="00EF4380">
        <w:t xml:space="preserve">The </w:t>
      </w:r>
      <w:r w:rsidR="009E58E0" w:rsidRPr="00214E11">
        <w:t>State party has not refute</w:t>
      </w:r>
      <w:r w:rsidR="00572ABF">
        <w:t>d</w:t>
      </w:r>
      <w:r w:rsidR="009E58E0" w:rsidRPr="00214E11">
        <w:t xml:space="preserve"> th</w:t>
      </w:r>
      <w:r w:rsidR="00A92580">
        <w:t>o</w:t>
      </w:r>
      <w:r w:rsidR="009E58E0" w:rsidRPr="00214E11">
        <w:t>se allegations, nor provided any information in th</w:t>
      </w:r>
      <w:r w:rsidR="00A92580">
        <w:t>at</w:t>
      </w:r>
      <w:r w:rsidR="009E58E0" w:rsidRPr="00214E11">
        <w:t xml:space="preserve"> respect</w:t>
      </w:r>
      <w:r w:rsidR="00EF4380">
        <w:t>. In the circumstances</w:t>
      </w:r>
      <w:r w:rsidR="0007569B">
        <w:t xml:space="preserve"> of the present case</w:t>
      </w:r>
      <w:r w:rsidR="00F02625">
        <w:t xml:space="preserve">, the Committee decides that </w:t>
      </w:r>
      <w:r w:rsidR="009E58E0" w:rsidRPr="00214E11">
        <w:t>due weight must be given to the author’s allegations. Accordingly, the Committee concludes that the facts as presented reveal a violation of the author’s rights u</w:t>
      </w:r>
      <w:r w:rsidR="00214E11" w:rsidRPr="00214E11">
        <w:t>nder article 7 of the Covenant.</w:t>
      </w:r>
    </w:p>
    <w:p w14:paraId="7B496C3A" w14:textId="626315C4" w:rsidR="00FA222B" w:rsidRPr="00214E11" w:rsidRDefault="00F53397" w:rsidP="005F137D">
      <w:pPr>
        <w:pStyle w:val="SingleTxtG"/>
        <w:rPr>
          <w:lang w:bidi="he-IL"/>
        </w:rPr>
      </w:pPr>
      <w:r>
        <w:t>8</w:t>
      </w:r>
      <w:r w:rsidR="00891D98">
        <w:t>.3</w:t>
      </w:r>
      <w:r w:rsidR="00891D98">
        <w:tab/>
      </w:r>
      <w:r w:rsidR="00FA222B" w:rsidRPr="00214E11">
        <w:t xml:space="preserve">The Committee notes the author’s claims </w:t>
      </w:r>
      <w:r w:rsidR="009E58E0" w:rsidRPr="00214E11">
        <w:rPr>
          <w:lang w:eastAsia="en-GB"/>
        </w:rPr>
        <w:t xml:space="preserve">concerning </w:t>
      </w:r>
      <w:r w:rsidR="00845A2E" w:rsidRPr="00214E11">
        <w:rPr>
          <w:lang w:eastAsia="en-GB"/>
        </w:rPr>
        <w:t xml:space="preserve">the </w:t>
      </w:r>
      <w:r w:rsidR="00845A2E" w:rsidRPr="00214E11">
        <w:t xml:space="preserve">deplorable prison </w:t>
      </w:r>
      <w:r w:rsidR="003058CF">
        <w:t xml:space="preserve">conditions at the LBK-12 prison. He claimed, for example, that he </w:t>
      </w:r>
      <w:proofErr w:type="gramStart"/>
      <w:r w:rsidR="003058CF">
        <w:t xml:space="preserve">was </w:t>
      </w:r>
      <w:r w:rsidR="00845A2E" w:rsidRPr="00214E11">
        <w:rPr>
          <w:lang w:eastAsia="en-GB"/>
        </w:rPr>
        <w:t>confine</w:t>
      </w:r>
      <w:r w:rsidR="005F137D">
        <w:rPr>
          <w:lang w:eastAsia="en-GB"/>
        </w:rPr>
        <w:t>d</w:t>
      </w:r>
      <w:proofErr w:type="gramEnd"/>
      <w:r w:rsidR="00845A2E" w:rsidRPr="00214E11">
        <w:rPr>
          <w:lang w:eastAsia="en-GB"/>
        </w:rPr>
        <w:t xml:space="preserve"> in a bare concrete cell for </w:t>
      </w:r>
      <w:r w:rsidR="00F9110A">
        <w:rPr>
          <w:lang w:eastAsia="en-GB"/>
        </w:rPr>
        <w:t xml:space="preserve">repeated </w:t>
      </w:r>
      <w:r w:rsidR="005F137D">
        <w:rPr>
          <w:lang w:eastAsia="en-GB"/>
        </w:rPr>
        <w:t>periods</w:t>
      </w:r>
      <w:r w:rsidR="00F9110A">
        <w:rPr>
          <w:lang w:eastAsia="en-GB"/>
        </w:rPr>
        <w:t xml:space="preserve"> of several </w:t>
      </w:r>
      <w:r w:rsidR="00845A2E" w:rsidRPr="00214E11">
        <w:rPr>
          <w:lang w:eastAsia="en-GB"/>
        </w:rPr>
        <w:t>days</w:t>
      </w:r>
      <w:r w:rsidR="003C2FFC" w:rsidRPr="00214E11">
        <w:rPr>
          <w:lang w:eastAsia="en-GB"/>
        </w:rPr>
        <w:t xml:space="preserve">, </w:t>
      </w:r>
      <w:r w:rsidR="00F9110A">
        <w:rPr>
          <w:lang w:eastAsia="en-GB"/>
        </w:rPr>
        <w:t xml:space="preserve">and that in the cells </w:t>
      </w:r>
      <w:r w:rsidR="00156D06">
        <w:rPr>
          <w:lang w:eastAsia="en-GB"/>
        </w:rPr>
        <w:t xml:space="preserve">under </w:t>
      </w:r>
      <w:r w:rsidR="00A92580">
        <w:rPr>
          <w:lang w:eastAsia="en-GB"/>
        </w:rPr>
        <w:t xml:space="preserve">the </w:t>
      </w:r>
      <w:r w:rsidR="00845A2E" w:rsidRPr="00214E11">
        <w:rPr>
          <w:lang w:eastAsia="en-GB"/>
        </w:rPr>
        <w:t xml:space="preserve">general prison regime, he </w:t>
      </w:r>
      <w:r w:rsidR="005F137D">
        <w:rPr>
          <w:lang w:eastAsia="en-GB"/>
        </w:rPr>
        <w:t>was</w:t>
      </w:r>
      <w:r w:rsidR="003C2FFC" w:rsidRPr="00214E11">
        <w:t xml:space="preserve"> expose</w:t>
      </w:r>
      <w:r w:rsidR="005F137D">
        <w:t>d</w:t>
      </w:r>
      <w:r w:rsidR="003C2FFC" w:rsidRPr="00214E11">
        <w:t xml:space="preserve"> </w:t>
      </w:r>
      <w:r w:rsidR="005F137D">
        <w:t>to extreme heat in</w:t>
      </w:r>
      <w:r w:rsidR="003C2FFC" w:rsidRPr="00214E11">
        <w:t xml:space="preserve"> summer and </w:t>
      </w:r>
      <w:r w:rsidR="005F137D">
        <w:t>extreme</w:t>
      </w:r>
      <w:r w:rsidR="00A92580">
        <w:t xml:space="preserve"> </w:t>
      </w:r>
      <w:r w:rsidR="003C2FFC" w:rsidRPr="00214E11">
        <w:t xml:space="preserve">cold </w:t>
      </w:r>
      <w:r w:rsidR="005F137D">
        <w:t xml:space="preserve">in </w:t>
      </w:r>
      <w:r w:rsidR="003C2FFC" w:rsidRPr="00214E11">
        <w:t>winter</w:t>
      </w:r>
      <w:r w:rsidR="003C2FFC" w:rsidRPr="00214E11">
        <w:rPr>
          <w:lang w:eastAsia="en-GB"/>
        </w:rPr>
        <w:t xml:space="preserve">. </w:t>
      </w:r>
      <w:r w:rsidR="008A0F57">
        <w:rPr>
          <w:lang w:eastAsia="en-GB"/>
        </w:rPr>
        <w:t xml:space="preserve">He also </w:t>
      </w:r>
      <w:r w:rsidR="00F9110A">
        <w:rPr>
          <w:lang w:eastAsia="en-GB"/>
        </w:rPr>
        <w:t xml:space="preserve">claimed that the prison </w:t>
      </w:r>
      <w:r w:rsidR="00A92580">
        <w:rPr>
          <w:lang w:eastAsia="en-GB"/>
        </w:rPr>
        <w:t>wa</w:t>
      </w:r>
      <w:r w:rsidR="00F9110A">
        <w:rPr>
          <w:lang w:eastAsia="en-GB"/>
        </w:rPr>
        <w:t xml:space="preserve">s overcrowded and </w:t>
      </w:r>
      <w:r w:rsidR="00156D06">
        <w:rPr>
          <w:lang w:eastAsia="en-GB"/>
        </w:rPr>
        <w:t xml:space="preserve">that </w:t>
      </w:r>
      <w:r w:rsidR="00F9110A">
        <w:rPr>
          <w:lang w:eastAsia="en-GB"/>
        </w:rPr>
        <w:t xml:space="preserve">prisoners infected with tuberculosis and skin diseases </w:t>
      </w:r>
      <w:proofErr w:type="gramStart"/>
      <w:r w:rsidR="00A92580">
        <w:rPr>
          <w:lang w:eastAsia="en-GB"/>
        </w:rPr>
        <w:t>we</w:t>
      </w:r>
      <w:r w:rsidR="00F9110A">
        <w:rPr>
          <w:lang w:eastAsia="en-GB"/>
        </w:rPr>
        <w:t>re kept</w:t>
      </w:r>
      <w:proofErr w:type="gramEnd"/>
      <w:r w:rsidR="00F9110A">
        <w:rPr>
          <w:lang w:eastAsia="en-GB"/>
        </w:rPr>
        <w:t xml:space="preserve"> together with healthy inmates,</w:t>
      </w:r>
      <w:r w:rsidR="00156D06">
        <w:rPr>
          <w:lang w:eastAsia="en-GB"/>
        </w:rPr>
        <w:t xml:space="preserve"> </w:t>
      </w:r>
      <w:r w:rsidR="00F9110A">
        <w:rPr>
          <w:lang w:eastAsia="en-GB"/>
        </w:rPr>
        <w:t>put</w:t>
      </w:r>
      <w:r w:rsidR="00156D06">
        <w:rPr>
          <w:lang w:eastAsia="en-GB"/>
        </w:rPr>
        <w:t>ting</w:t>
      </w:r>
      <w:r w:rsidR="00F9110A">
        <w:rPr>
          <w:lang w:eastAsia="en-GB"/>
        </w:rPr>
        <w:t xml:space="preserve"> </w:t>
      </w:r>
      <w:r w:rsidR="00156D06">
        <w:rPr>
          <w:lang w:eastAsia="en-GB"/>
        </w:rPr>
        <w:t>him</w:t>
      </w:r>
      <w:r w:rsidR="00F9110A">
        <w:rPr>
          <w:lang w:eastAsia="en-GB"/>
        </w:rPr>
        <w:t xml:space="preserve"> at </w:t>
      </w:r>
      <w:r w:rsidR="00A92580">
        <w:rPr>
          <w:lang w:eastAsia="en-GB"/>
        </w:rPr>
        <w:t xml:space="preserve">a </w:t>
      </w:r>
      <w:r w:rsidR="00F9110A">
        <w:rPr>
          <w:lang w:eastAsia="en-GB"/>
        </w:rPr>
        <w:t>high risk of contracting tuberculosis.</w:t>
      </w:r>
      <w:r w:rsidR="008A0F57">
        <w:rPr>
          <w:lang w:eastAsia="en-GB"/>
        </w:rPr>
        <w:t xml:space="preserve"> </w:t>
      </w:r>
      <w:r w:rsidR="003C2FFC" w:rsidRPr="00214E11">
        <w:t xml:space="preserve">The Committee notes that </w:t>
      </w:r>
      <w:r w:rsidR="001002BF" w:rsidRPr="00214E11">
        <w:t xml:space="preserve">the State party did not contest </w:t>
      </w:r>
      <w:r w:rsidR="00000BDC" w:rsidRPr="00214E11">
        <w:t>th</w:t>
      </w:r>
      <w:r w:rsidR="00A92580">
        <w:t>o</w:t>
      </w:r>
      <w:r w:rsidR="008A0F57">
        <w:t>se</w:t>
      </w:r>
      <w:r w:rsidR="00000BDC" w:rsidRPr="00214E11">
        <w:t xml:space="preserve"> </w:t>
      </w:r>
      <w:r w:rsidR="00E12CCE">
        <w:rPr>
          <w:lang w:bidi="he-IL"/>
        </w:rPr>
        <w:t>allegations</w:t>
      </w:r>
      <w:r w:rsidR="00156D06">
        <w:rPr>
          <w:lang w:bidi="he-IL"/>
        </w:rPr>
        <w:t>.</w:t>
      </w:r>
      <w:r w:rsidR="00DB4089">
        <w:rPr>
          <w:lang w:bidi="he-IL"/>
        </w:rPr>
        <w:t xml:space="preserve"> </w:t>
      </w:r>
      <w:r w:rsidR="00FA222B" w:rsidRPr="00214E11">
        <w:t>The Committee recalls that persons deprived of their liberty may not be subjected to any hardship or constraint other than that resulting from the deprivation of liberty; they must be treated in accordance with, inter alia, the Standard Minimum Rules for the Treatment of Prisoners</w:t>
      </w:r>
      <w:r w:rsidR="0067314F" w:rsidRPr="00214E11">
        <w:t>.</w:t>
      </w:r>
      <w:r w:rsidR="00FA222B" w:rsidRPr="00AB7D36">
        <w:rPr>
          <w:rStyle w:val="FootnoteReference"/>
        </w:rPr>
        <w:footnoteReference w:id="19"/>
      </w:r>
      <w:r w:rsidR="00FA222B" w:rsidRPr="00214E11">
        <w:t xml:space="preserve"> In the absence of any other pertinent information on file, the Committee decides that due weight must be given to the author’s allegations. Accordingly, the Committee finds that confining the author in such conditions constitutes a violation of his right to be treated with humanity and with respect for the inherent dignity of the human person under article 10</w:t>
      </w:r>
      <w:r w:rsidR="008A0F57">
        <w:t xml:space="preserve"> (</w:t>
      </w:r>
      <w:r w:rsidR="00FA222B" w:rsidRPr="00214E11">
        <w:t>1</w:t>
      </w:r>
      <w:r w:rsidR="008A0F57">
        <w:t>)</w:t>
      </w:r>
      <w:r w:rsidR="00FA222B" w:rsidRPr="00214E11">
        <w:t xml:space="preserve"> of the Covenant.</w:t>
      </w:r>
      <w:r w:rsidR="00FA222B" w:rsidRPr="00AB7D36">
        <w:rPr>
          <w:rStyle w:val="FootnoteReference"/>
        </w:rPr>
        <w:footnoteReference w:id="20"/>
      </w:r>
      <w:r w:rsidR="00FA222B" w:rsidRPr="00214E11">
        <w:t xml:space="preserve"> </w:t>
      </w:r>
    </w:p>
    <w:p w14:paraId="4AC9D48C" w14:textId="766DF542" w:rsidR="00DC385B" w:rsidRPr="00DC385B" w:rsidRDefault="00F53397" w:rsidP="001B2535">
      <w:pPr>
        <w:pStyle w:val="SingleTxtG"/>
      </w:pPr>
      <w:r>
        <w:t>8</w:t>
      </w:r>
      <w:r w:rsidR="0067314F" w:rsidRPr="00214E11">
        <w:t>.</w:t>
      </w:r>
      <w:r w:rsidR="00891D98">
        <w:t>4</w:t>
      </w:r>
      <w:r w:rsidR="0067314F" w:rsidRPr="00214E11">
        <w:tab/>
      </w:r>
      <w:r w:rsidR="00DC385B" w:rsidRPr="00F83DD8">
        <w:t>The Committee notes the author’s claim under article 14 (7) of the Covenant that he has been convicted and punished twice for his objection to perform</w:t>
      </w:r>
      <w:r w:rsidR="00CE6F6F">
        <w:t>ing</w:t>
      </w:r>
      <w:r w:rsidR="00DC385B" w:rsidRPr="00F83DD8">
        <w:t xml:space="preserve"> compulsory military service</w:t>
      </w:r>
      <w:r w:rsidR="0007569B" w:rsidRPr="00F83DD8">
        <w:t xml:space="preserve">, </w:t>
      </w:r>
      <w:r w:rsidR="004510DF" w:rsidRPr="00F83DD8">
        <w:t>which is based on the same constant resolve grounded in reasons of conscience</w:t>
      </w:r>
      <w:r w:rsidR="00DC385B" w:rsidRPr="00F83DD8">
        <w:t>.</w:t>
      </w:r>
      <w:r w:rsidR="00DC385B" w:rsidRPr="00DC385B">
        <w:t xml:space="preserve"> </w:t>
      </w:r>
      <w:proofErr w:type="gramStart"/>
      <w:r w:rsidR="00DC385B" w:rsidRPr="00DC385B">
        <w:t xml:space="preserve">The Committee also notes that, on </w:t>
      </w:r>
      <w:r w:rsidR="004510DF">
        <w:t xml:space="preserve">7 December </w:t>
      </w:r>
      <w:r w:rsidR="00DC385B" w:rsidRPr="00DC385B">
        <w:t xml:space="preserve">2009, </w:t>
      </w:r>
      <w:proofErr w:type="spellStart"/>
      <w:r w:rsidR="00DC385B" w:rsidRPr="00DC385B">
        <w:rPr>
          <w:lang w:eastAsia="en-GB"/>
        </w:rPr>
        <w:t>Dashoguz</w:t>
      </w:r>
      <w:proofErr w:type="spellEnd"/>
      <w:r w:rsidR="00DC385B" w:rsidRPr="00DC385B">
        <w:rPr>
          <w:lang w:eastAsia="en-GB"/>
        </w:rPr>
        <w:t xml:space="preserve"> City Court convicted </w:t>
      </w:r>
      <w:r w:rsidR="004510DF">
        <w:rPr>
          <w:lang w:eastAsia="en-GB"/>
        </w:rPr>
        <w:t xml:space="preserve">and sentenced </w:t>
      </w:r>
      <w:r w:rsidR="00DC385B" w:rsidRPr="00DC385B">
        <w:rPr>
          <w:lang w:eastAsia="en-GB"/>
        </w:rPr>
        <w:t xml:space="preserve">the author </w:t>
      </w:r>
      <w:r w:rsidR="004510DF">
        <w:rPr>
          <w:lang w:eastAsia="en-GB"/>
        </w:rPr>
        <w:t xml:space="preserve">to </w:t>
      </w:r>
      <w:r w:rsidR="00DC385B" w:rsidRPr="00DC385B">
        <w:rPr>
          <w:lang w:eastAsia="en-GB"/>
        </w:rPr>
        <w:t>24</w:t>
      </w:r>
      <w:r w:rsidR="004510DF">
        <w:rPr>
          <w:lang w:eastAsia="en-GB"/>
        </w:rPr>
        <w:t xml:space="preserve"> months of imprisonment </w:t>
      </w:r>
      <w:r w:rsidR="004510DF" w:rsidRPr="004510DF">
        <w:rPr>
          <w:lang w:eastAsia="en-GB"/>
        </w:rPr>
        <w:t xml:space="preserve">under article 219 (1) of the Criminal Code for his refusal to perform </w:t>
      </w:r>
      <w:r w:rsidR="004510DF">
        <w:rPr>
          <w:lang w:eastAsia="en-GB"/>
        </w:rPr>
        <w:t xml:space="preserve">compulsory military service, and </w:t>
      </w:r>
      <w:r w:rsidR="00DC385B" w:rsidRPr="00DC385B">
        <w:rPr>
          <w:lang w:eastAsia="en-GB"/>
        </w:rPr>
        <w:t xml:space="preserve">that </w:t>
      </w:r>
      <w:r w:rsidR="001B2535" w:rsidRPr="00DC385B">
        <w:rPr>
          <w:lang w:eastAsia="en-GB"/>
        </w:rPr>
        <w:t xml:space="preserve">on </w:t>
      </w:r>
      <w:r w:rsidR="001B2535">
        <w:rPr>
          <w:lang w:eastAsia="en-GB"/>
        </w:rPr>
        <w:t xml:space="preserve">1 May 2012 </w:t>
      </w:r>
      <w:r w:rsidR="00DC385B" w:rsidRPr="00DC385B">
        <w:rPr>
          <w:lang w:eastAsia="en-GB"/>
        </w:rPr>
        <w:t xml:space="preserve">he was again convicted by the </w:t>
      </w:r>
      <w:r w:rsidR="00DC385B" w:rsidRPr="00DC385B">
        <w:t>same court</w:t>
      </w:r>
      <w:r w:rsidR="00DC385B" w:rsidRPr="00DC385B">
        <w:rPr>
          <w:lang w:eastAsia="en-GB"/>
        </w:rPr>
        <w:t xml:space="preserve"> under article 219 (1) of the Criminal Code and sentenced to 24 months of imprisonment.</w:t>
      </w:r>
      <w:proofErr w:type="gramEnd"/>
      <w:r w:rsidR="00DC385B" w:rsidRPr="00DC385B">
        <w:rPr>
          <w:lang w:eastAsia="en-GB"/>
        </w:rPr>
        <w:t xml:space="preserve"> The Committee further notes the author’s submission that </w:t>
      </w:r>
      <w:r w:rsidR="00DC385B" w:rsidRPr="00DC385B">
        <w:t xml:space="preserve">article 18 (4) of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r w:rsidR="0080221F" w:rsidRPr="00214E11">
        <w:t xml:space="preserve"> </w:t>
      </w:r>
      <w:r w:rsidR="00DC385B" w:rsidRPr="00DC385B">
        <w:t xml:space="preserve">permits repeated call-up for military service and stipulates that a person refusing military service is exempt from further call-up only after he has received and served two criminal sentences. It notes in addition that </w:t>
      </w:r>
      <w:proofErr w:type="gramStart"/>
      <w:r w:rsidR="00DC385B" w:rsidRPr="00DC385B">
        <w:t>th</w:t>
      </w:r>
      <w:r w:rsidR="00D86BD4">
        <w:t>o</w:t>
      </w:r>
      <w:r w:rsidR="00DC385B" w:rsidRPr="00DC385B">
        <w:t>se claims were not refuted by the State party</w:t>
      </w:r>
      <w:proofErr w:type="gramEnd"/>
      <w:r w:rsidR="00DC385B" w:rsidRPr="00DC385B">
        <w:t xml:space="preserve">. </w:t>
      </w:r>
    </w:p>
    <w:p w14:paraId="3BEBD2DB" w14:textId="7BA60A39" w:rsidR="00DC385B" w:rsidRPr="00DC385B" w:rsidRDefault="00F53397" w:rsidP="001B2535">
      <w:pPr>
        <w:spacing w:after="120"/>
        <w:ind w:left="1134" w:right="1134"/>
        <w:jc w:val="both"/>
      </w:pPr>
      <w:proofErr w:type="gramStart"/>
      <w:r>
        <w:t>8</w:t>
      </w:r>
      <w:r w:rsidR="00DC385B" w:rsidRPr="00DC385B">
        <w:t>.5</w:t>
      </w:r>
      <w:r w:rsidR="00DC385B" w:rsidRPr="00DC385B">
        <w:tab/>
        <w:t>The Committee recalls its general comment No. 32</w:t>
      </w:r>
      <w:r w:rsidR="00ED1526">
        <w:t xml:space="preserve"> </w:t>
      </w:r>
      <w:r w:rsidR="00ED1526">
        <w:rPr>
          <w:snapToGrid w:val="0"/>
          <w:szCs w:val="24"/>
        </w:rPr>
        <w:t>(2007) on the r</w:t>
      </w:r>
      <w:r w:rsidR="00ED1526" w:rsidRPr="0055162C">
        <w:rPr>
          <w:snapToGrid w:val="0"/>
          <w:szCs w:val="24"/>
        </w:rPr>
        <w:t>ight to equality before courts and tribunals and to a fair trial</w:t>
      </w:r>
      <w:r w:rsidR="00DC385B" w:rsidRPr="00DC385B">
        <w:t>, in</w:t>
      </w:r>
      <w:r w:rsidR="00D86BD4">
        <w:t xml:space="preserve"> which</w:t>
      </w:r>
      <w:r w:rsidR="00DC385B" w:rsidRPr="00DC385B">
        <w:t xml:space="preserve"> it state</w:t>
      </w:r>
      <w:r w:rsidR="00D86BD4">
        <w:t>s</w:t>
      </w:r>
      <w:r w:rsidR="00DC385B" w:rsidRPr="00DC385B">
        <w:t xml:space="preserve"> that article 14 (7) of the Covenant provides that no one shall be liable to be tried or punished again for an offence of which they have already been finally convicted in a</w:t>
      </w:r>
      <w:r w:rsidR="00DC385B" w:rsidRPr="00125FAA">
        <w:t>ccordance with the law and penal procedure of each country</w:t>
      </w:r>
      <w:r w:rsidR="00DC385B" w:rsidRPr="00125FAA">
        <w:rPr>
          <w:iCs/>
        </w:rPr>
        <w:t>.</w:t>
      </w:r>
      <w:proofErr w:type="gramEnd"/>
      <w:r w:rsidR="00DC385B" w:rsidRPr="00125FAA">
        <w:rPr>
          <w:iCs/>
        </w:rPr>
        <w:t xml:space="preserve"> Furthermore, </w:t>
      </w:r>
      <w:r w:rsidR="00DC385B" w:rsidRPr="00125FAA">
        <w:rPr>
          <w:bCs/>
        </w:rPr>
        <w:t>r</w:t>
      </w:r>
      <w:r w:rsidR="00DC385B" w:rsidRPr="00DC385B">
        <w:rPr>
          <w:bCs/>
        </w:rPr>
        <w:t xml:space="preserve">epeated punishment of conscientious objectors for not obeying a renewed order to serve in the military may amount to punishment for the same crime if such subsequent refusal </w:t>
      </w:r>
      <w:proofErr w:type="gramStart"/>
      <w:r w:rsidR="00DC385B" w:rsidRPr="00DC385B">
        <w:rPr>
          <w:bCs/>
        </w:rPr>
        <w:t>is based</w:t>
      </w:r>
      <w:proofErr w:type="gramEnd"/>
      <w:r w:rsidR="00DC385B" w:rsidRPr="00DC385B">
        <w:rPr>
          <w:bCs/>
        </w:rPr>
        <w:t xml:space="preserve"> on the same constant resolve grounded in reasons of conscience</w:t>
      </w:r>
      <w:r w:rsidR="00D86BD4">
        <w:rPr>
          <w:bCs/>
        </w:rPr>
        <w:t xml:space="preserve"> </w:t>
      </w:r>
      <w:r w:rsidR="00D86BD4">
        <w:rPr>
          <w:bCs/>
          <w:lang w:val="en-US"/>
        </w:rPr>
        <w:t>(</w:t>
      </w:r>
      <w:r w:rsidR="00D86BD4" w:rsidRPr="00E942A3">
        <w:t>paras. 54</w:t>
      </w:r>
      <w:r w:rsidR="00D86BD4">
        <w:t>-</w:t>
      </w:r>
      <w:r w:rsidR="00D86BD4" w:rsidRPr="00E942A3">
        <w:t>55</w:t>
      </w:r>
      <w:r w:rsidR="00D86BD4">
        <w:rPr>
          <w:lang w:val="en-US"/>
        </w:rPr>
        <w:t>)</w:t>
      </w:r>
      <w:r w:rsidR="00DC385B" w:rsidRPr="00DC385B">
        <w:rPr>
          <w:bCs/>
        </w:rPr>
        <w:t xml:space="preserve">. The Committee notes that in the present case, the author has been tried and punished twice </w:t>
      </w:r>
      <w:r w:rsidR="00552E24">
        <w:rPr>
          <w:bCs/>
        </w:rPr>
        <w:t xml:space="preserve">with lengthy prison sentences </w:t>
      </w:r>
      <w:r w:rsidR="00DC385B" w:rsidRPr="00DC385B">
        <w:rPr>
          <w:bCs/>
        </w:rPr>
        <w:t xml:space="preserve">under the same provision of </w:t>
      </w:r>
      <w:r w:rsidR="00DC385B" w:rsidRPr="00DC385B">
        <w:rPr>
          <w:lang w:eastAsia="en-GB"/>
        </w:rPr>
        <w:t xml:space="preserve">the Criminal Code </w:t>
      </w:r>
      <w:r w:rsidR="004510DF">
        <w:rPr>
          <w:lang w:eastAsia="en-GB"/>
        </w:rPr>
        <w:t xml:space="preserve">of </w:t>
      </w:r>
      <w:r w:rsidR="004510DF" w:rsidRPr="004510DF">
        <w:rPr>
          <w:lang w:eastAsia="en-GB"/>
        </w:rPr>
        <w:t>Turkmen</w:t>
      </w:r>
      <w:r w:rsidR="004510DF">
        <w:rPr>
          <w:lang w:eastAsia="en-GB"/>
        </w:rPr>
        <w:t>istan</w:t>
      </w:r>
      <w:r w:rsidR="004510DF" w:rsidRPr="004510DF">
        <w:rPr>
          <w:lang w:eastAsia="en-GB"/>
        </w:rPr>
        <w:t xml:space="preserve"> </w:t>
      </w:r>
      <w:r w:rsidR="00DC385B" w:rsidRPr="00DC385B">
        <w:rPr>
          <w:lang w:eastAsia="en-GB"/>
        </w:rPr>
        <w:t>on account of the fact that, as a Jehovah’s Witness, he objected to and refused to perform</w:t>
      </w:r>
      <w:r w:rsidR="001B2535">
        <w:rPr>
          <w:lang w:eastAsia="en-GB"/>
        </w:rPr>
        <w:t xml:space="preserve"> </w:t>
      </w:r>
      <w:r w:rsidR="00DC385B" w:rsidRPr="00DC385B">
        <w:rPr>
          <w:lang w:eastAsia="en-GB"/>
        </w:rPr>
        <w:t xml:space="preserve">his compulsory military service. In the circumstances of the present case, and in the absence of contrary information from the State party, the Committee </w:t>
      </w:r>
      <w:r w:rsidR="00DC385B" w:rsidRPr="00DC385B">
        <w:t>concludes that the author’s rights under article 14 (7) of t</w:t>
      </w:r>
      <w:r w:rsidR="00E8362D">
        <w:t>he Covenant have been violated.</w:t>
      </w:r>
    </w:p>
    <w:p w14:paraId="6104E6C9" w14:textId="4AB07CE4" w:rsidR="00FA222B" w:rsidRPr="00214E11" w:rsidRDefault="00F53397" w:rsidP="005F137D">
      <w:pPr>
        <w:pStyle w:val="SingleTxtG"/>
      </w:pPr>
      <w:r>
        <w:t>8</w:t>
      </w:r>
      <w:r w:rsidR="004510DF">
        <w:t>.6</w:t>
      </w:r>
      <w:r w:rsidR="004510DF">
        <w:tab/>
      </w:r>
      <w:r w:rsidR="00FA222B" w:rsidRPr="00214E11">
        <w:t>The Committee notes the author’s claim that his rights under article 18</w:t>
      </w:r>
      <w:r w:rsidR="00D86BD4">
        <w:t xml:space="preserve"> (</w:t>
      </w:r>
      <w:r w:rsidR="00FA222B" w:rsidRPr="00214E11">
        <w:t>1</w:t>
      </w:r>
      <w:r w:rsidR="00D86BD4">
        <w:t>)</w:t>
      </w:r>
      <w:r w:rsidR="00FA222B" w:rsidRPr="00214E11">
        <w:t xml:space="preserve"> of the Covenant have been violated due to the absence in the State party of an alternative to compulsory military service, as a result of which his refusal to perform military service </w:t>
      </w:r>
      <w:r w:rsidR="00D86BD4">
        <w:t>because</w:t>
      </w:r>
      <w:r w:rsidR="00FA222B" w:rsidRPr="00214E11">
        <w:t xml:space="preserve"> of his religious </w:t>
      </w:r>
      <w:r w:rsidR="00D86BD4">
        <w:t>beliefs</w:t>
      </w:r>
      <w:r w:rsidR="00FA222B" w:rsidRPr="00214E11">
        <w:t xml:space="preserve"> led to his criminal prosecution and subsequent imprisonment. The Committee takes note of the State party’s submission that the criminal offence committed by the author was determined accurately according to the Criminal Code of Turkmenistan</w:t>
      </w:r>
      <w:r w:rsidR="00D86BD4">
        <w:t>,</w:t>
      </w:r>
      <w:r w:rsidR="00FA222B" w:rsidRPr="00214E11">
        <w:t xml:space="preserve"> that</w:t>
      </w:r>
      <w:r w:rsidR="004510DF">
        <w:t xml:space="preserve">, </w:t>
      </w:r>
      <w:r w:rsidR="00FA222B" w:rsidRPr="00214E11">
        <w:t>pursuant to article 41 of the Constitution</w:t>
      </w:r>
      <w:r w:rsidR="004510DF">
        <w:t xml:space="preserve">, </w:t>
      </w:r>
      <w:r w:rsidR="00D86BD4">
        <w:t>the p</w:t>
      </w:r>
      <w:r w:rsidR="00FA222B" w:rsidRPr="00214E11">
        <w:t>rotection of Turkmenistan is the sacred duty of every citizen and that general conscription is</w:t>
      </w:r>
      <w:r w:rsidR="0067314F" w:rsidRPr="00214E11">
        <w:t xml:space="preserve"> compulsory for male citizens. </w:t>
      </w:r>
    </w:p>
    <w:p w14:paraId="141694F3" w14:textId="6CFB3EBE" w:rsidR="00FA222B" w:rsidRPr="00214E11" w:rsidRDefault="00F53397" w:rsidP="001B2535">
      <w:pPr>
        <w:pStyle w:val="SingleTxtG"/>
      </w:pPr>
      <w:proofErr w:type="gramStart"/>
      <w:r>
        <w:t>8</w:t>
      </w:r>
      <w:r w:rsidR="0067314F" w:rsidRPr="00214E11">
        <w:t>.</w:t>
      </w:r>
      <w:r w:rsidR="00550028">
        <w:t>7</w:t>
      </w:r>
      <w:r w:rsidR="0067314F" w:rsidRPr="00214E11">
        <w:tab/>
      </w:r>
      <w:r w:rsidR="00FA222B" w:rsidRPr="00214E11">
        <w:t>The Committee recalls its general comment No. 22</w:t>
      </w:r>
      <w:r w:rsidR="00ED1526">
        <w:t xml:space="preserve"> </w:t>
      </w:r>
      <w:r w:rsidR="00ED1526" w:rsidRPr="008765F8">
        <w:rPr>
          <w:szCs w:val="24"/>
        </w:rPr>
        <w:t>(</w:t>
      </w:r>
      <w:r w:rsidR="00ED1526">
        <w:rPr>
          <w:szCs w:val="24"/>
        </w:rPr>
        <w:t>1993</w:t>
      </w:r>
      <w:r w:rsidR="00ED1526" w:rsidRPr="008765F8">
        <w:rPr>
          <w:szCs w:val="24"/>
        </w:rPr>
        <w:t xml:space="preserve">) </w:t>
      </w:r>
      <w:r w:rsidR="00ED1526">
        <w:rPr>
          <w:szCs w:val="24"/>
        </w:rPr>
        <w:t>on t</w:t>
      </w:r>
      <w:r w:rsidR="00ED1526" w:rsidRPr="001A6945">
        <w:rPr>
          <w:szCs w:val="24"/>
        </w:rPr>
        <w:t>he right to freedom of thought, conscience and religion</w:t>
      </w:r>
      <w:r w:rsidR="00FA222B" w:rsidRPr="00214E11">
        <w:t>, in which it considers that the fundamental character of the freedoms enshrined in article 18</w:t>
      </w:r>
      <w:r w:rsidR="0099032B">
        <w:t xml:space="preserve"> (</w:t>
      </w:r>
      <w:r w:rsidR="00FA222B" w:rsidRPr="00214E11">
        <w:t>1</w:t>
      </w:r>
      <w:r w:rsidR="0099032B">
        <w:t xml:space="preserve">) </w:t>
      </w:r>
      <w:r w:rsidR="00FA222B" w:rsidRPr="00214E11">
        <w:t>is reflected in the fact that this provision cannot be derogated from, even in time of public emergency, as stated in article 4</w:t>
      </w:r>
      <w:r w:rsidR="0099032B">
        <w:t xml:space="preserve"> (</w:t>
      </w:r>
      <w:r w:rsidR="00FA222B" w:rsidRPr="00214E11">
        <w:t>2</w:t>
      </w:r>
      <w:r w:rsidR="0099032B">
        <w:t xml:space="preserve">) </w:t>
      </w:r>
      <w:r w:rsidR="00FA222B" w:rsidRPr="00214E11">
        <w:t>of the Covenant.</w:t>
      </w:r>
      <w:proofErr w:type="gramEnd"/>
      <w:r w:rsidR="00FA222B" w:rsidRPr="00214E11">
        <w:t xml:space="preserve"> The Committee recalls its prior jurisprudence </w:t>
      </w:r>
      <w:r w:rsidR="00CB3209">
        <w:t xml:space="preserve">stating </w:t>
      </w:r>
      <w:r w:rsidR="00FA222B" w:rsidRPr="00214E11">
        <w:t xml:space="preserve">that although the Covenant does not explicitly refer to a right of conscientious objection, such a right derives from article 18, inasmuch as the obligation to be involved in the use of lethal force may seriously conflict with the freedom of </w:t>
      </w:r>
      <w:r w:rsidR="0079787F">
        <w:t xml:space="preserve">thought, </w:t>
      </w:r>
      <w:r w:rsidR="00FA222B" w:rsidRPr="00214E11">
        <w:t>conscience</w:t>
      </w:r>
      <w:r w:rsidR="0079787F">
        <w:t xml:space="preserve"> and religion</w:t>
      </w:r>
      <w:r w:rsidR="00FA222B" w:rsidRPr="00214E11">
        <w:t>.</w:t>
      </w:r>
      <w:r w:rsidR="00FA222B" w:rsidRPr="00AB7D36">
        <w:rPr>
          <w:rStyle w:val="FootnoteReference"/>
        </w:rPr>
        <w:footnoteReference w:id="21"/>
      </w:r>
      <w:r w:rsidR="00FA222B" w:rsidRPr="00214E11">
        <w:t xml:space="preserve"> The right to conscientious objection to military service inheres in the right to freedom of thought, conscience and religion</w:t>
      </w:r>
      <w:r w:rsidR="001E1393">
        <w:t>.</w:t>
      </w:r>
      <w:r w:rsidR="002529A3">
        <w:rPr>
          <w:lang w:bidi="he-IL"/>
        </w:rPr>
        <w:t xml:space="preserve"> </w:t>
      </w:r>
      <w:r w:rsidR="00FA222B" w:rsidRPr="00214E11">
        <w:t xml:space="preserve">It entitles any individual to an exemption from compulsory military service if such service cannot be reconciled with that individual’s religion or beliefs. The right </w:t>
      </w:r>
      <w:proofErr w:type="gramStart"/>
      <w:r w:rsidR="00FA222B" w:rsidRPr="00214E11">
        <w:t>must not be impaired</w:t>
      </w:r>
      <w:proofErr w:type="gramEnd"/>
      <w:r w:rsidR="00FA222B" w:rsidRPr="00214E11">
        <w:t xml:space="preserve"> by coercion. A State </w:t>
      </w:r>
      <w:proofErr w:type="gramStart"/>
      <w:r w:rsidR="00FA222B" w:rsidRPr="00214E11">
        <w:t>may, if it wishes, compel</w:t>
      </w:r>
      <w:proofErr w:type="gramEnd"/>
      <w:r w:rsidR="00FA222B" w:rsidRPr="00214E11">
        <w:t xml:space="preserve"> the objector to undertake a civilian alternative to military service, outside the military sphere and not under military command. The alternative service must not be of a punitive nature. It must be a real service to the community and compatible with respect for human rights.</w:t>
      </w:r>
      <w:r w:rsidR="00FA222B" w:rsidRPr="00AB7D36">
        <w:rPr>
          <w:rStyle w:val="FootnoteReference"/>
        </w:rPr>
        <w:footnoteReference w:id="22"/>
      </w:r>
      <w:r w:rsidR="0067314F" w:rsidRPr="00214E11">
        <w:t xml:space="preserve"> </w:t>
      </w:r>
    </w:p>
    <w:p w14:paraId="415CDF48" w14:textId="621B406B" w:rsidR="00FA222B" w:rsidRPr="00214E11" w:rsidRDefault="00F53397" w:rsidP="0080221F">
      <w:pPr>
        <w:pStyle w:val="SingleTxtG"/>
      </w:pPr>
      <w:r>
        <w:t>8</w:t>
      </w:r>
      <w:r w:rsidR="00FA222B" w:rsidRPr="00214E11">
        <w:t>.</w:t>
      </w:r>
      <w:r w:rsidR="0099032B">
        <w:t>8</w:t>
      </w:r>
      <w:r w:rsidR="00FA222B" w:rsidRPr="00214E11">
        <w:tab/>
        <w:t xml:space="preserve">In the present case, the Committee considers that the author’s refusal to be drafted for compulsory military service derives from his religious beliefs and that the author’s subsequent conviction and sentence amounted to an infringement of his freedom of </w:t>
      </w:r>
      <w:r w:rsidR="0037453E">
        <w:t xml:space="preserve">thought, </w:t>
      </w:r>
      <w:r w:rsidR="00FA222B" w:rsidRPr="00214E11">
        <w:t xml:space="preserve">conscience </w:t>
      </w:r>
      <w:r w:rsidR="0037453E">
        <w:t xml:space="preserve">and religion </w:t>
      </w:r>
      <w:r w:rsidR="00FA222B" w:rsidRPr="00214E11">
        <w:t>in breach of article 18</w:t>
      </w:r>
      <w:r w:rsidR="0099032B">
        <w:t xml:space="preserve"> (</w:t>
      </w:r>
      <w:r w:rsidR="00FA222B" w:rsidRPr="00214E11">
        <w:t>1</w:t>
      </w:r>
      <w:r w:rsidR="0099032B">
        <w:t xml:space="preserve">) </w:t>
      </w:r>
      <w:r w:rsidR="00FA222B" w:rsidRPr="00214E11">
        <w:t>of the Covenant. In this context, the Committee recalls that repression of the refusal to be drafted for compulsory military service, exercised against persons whose conscience or religion prohibit the use of arms, is incompatible with article 18</w:t>
      </w:r>
      <w:r w:rsidR="0099032B">
        <w:t xml:space="preserve"> (</w:t>
      </w:r>
      <w:r w:rsidR="00FA222B" w:rsidRPr="00214E11">
        <w:t>1</w:t>
      </w:r>
      <w:r w:rsidR="0099032B">
        <w:t xml:space="preserve">) </w:t>
      </w:r>
      <w:r w:rsidR="00FA222B" w:rsidRPr="00214E11">
        <w:t>of the Covenant.</w:t>
      </w:r>
      <w:r w:rsidR="00FA222B" w:rsidRPr="00AB7D36">
        <w:rPr>
          <w:rStyle w:val="FootnoteReference"/>
        </w:rPr>
        <w:footnoteReference w:id="23"/>
      </w:r>
      <w:r w:rsidR="00FA222B" w:rsidRPr="00214E11">
        <w:t xml:space="preserve"> </w:t>
      </w:r>
      <w:proofErr w:type="gramStart"/>
      <w:r w:rsidR="00FA222B" w:rsidRPr="00214E11">
        <w:t xml:space="preserve">It also recalls that during the consideration of the State party’s initial report under article 40 of the Covenant, </w:t>
      </w:r>
      <w:r w:rsidR="007D265D">
        <w:t>the Committee</w:t>
      </w:r>
      <w:r w:rsidR="00FA222B" w:rsidRPr="00214E11">
        <w:t xml:space="preserve"> expressed its concern that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r w:rsidR="00FA222B" w:rsidRPr="00214E11">
        <w:t>, as amended on 25 September 2010, does not recognize a person’s right to exercise conscientious objection to military service and does not provide for any alternative m</w:t>
      </w:r>
      <w:r w:rsidR="007A5564" w:rsidRPr="00214E11">
        <w:t>ilitary service and recommended</w:t>
      </w:r>
      <w:r w:rsidR="00FA222B" w:rsidRPr="00214E11">
        <w:t xml:space="preserve"> that the State party, </w:t>
      </w:r>
      <w:r w:rsidR="00FA222B" w:rsidRPr="005A51E5">
        <w:rPr>
          <w:iCs/>
        </w:rPr>
        <w:t>inter alia</w:t>
      </w:r>
      <w:r w:rsidR="00FA222B" w:rsidRPr="00214E11">
        <w:t>, take all necessary measures to review its legislation with a view to providing for alternative service</w:t>
      </w:r>
      <w:r w:rsidR="0067314F" w:rsidRPr="00214E11">
        <w:t>.</w:t>
      </w:r>
      <w:r w:rsidR="00FA222B" w:rsidRPr="00AB7D36">
        <w:rPr>
          <w:rStyle w:val="FootnoteReference"/>
        </w:rPr>
        <w:footnoteReference w:id="24"/>
      </w:r>
      <w:proofErr w:type="gramEnd"/>
      <w:r w:rsidR="00F1092F">
        <w:t xml:space="preserve"> </w:t>
      </w:r>
      <w:r w:rsidR="00F1092F" w:rsidRPr="00B03C03">
        <w:t xml:space="preserve">Accordingly, the Committee </w:t>
      </w:r>
      <w:r w:rsidR="00F1092F">
        <w:t>finds that, by prosecuting and convicting the author for the refusal to perform compulsory military service due to his religious beliefs and conscientious objection, the State party has violated his rights under article 18 (1) of the Covenant.</w:t>
      </w:r>
    </w:p>
    <w:p w14:paraId="22EE9F0E" w14:textId="091E3E59" w:rsidR="00FA222B" w:rsidRPr="00214E11" w:rsidRDefault="000E3A56" w:rsidP="00D07DA4">
      <w:pPr>
        <w:pStyle w:val="SingleTxtG"/>
      </w:pPr>
      <w:r>
        <w:t>9</w:t>
      </w:r>
      <w:r w:rsidR="00FA222B" w:rsidRPr="00214E11">
        <w:t>.</w:t>
      </w:r>
      <w:r w:rsidR="00FA222B" w:rsidRPr="00214E11">
        <w:tab/>
        <w:t>The Committee, acting under article 5</w:t>
      </w:r>
      <w:r w:rsidR="00D07DA4">
        <w:t xml:space="preserve"> </w:t>
      </w:r>
      <w:r w:rsidR="00B37A97">
        <w:t>(</w:t>
      </w:r>
      <w:r w:rsidR="00FA222B" w:rsidRPr="00214E11">
        <w:t>4</w:t>
      </w:r>
      <w:r w:rsidR="00B37A97">
        <w:t>)</w:t>
      </w:r>
      <w:r w:rsidR="00FA222B" w:rsidRPr="00214E11">
        <w:t xml:space="preserve"> of the Optional Protocol, is of the view that the </w:t>
      </w:r>
      <w:r w:rsidR="0037453E">
        <w:t xml:space="preserve">facts before it disclose a violation of </w:t>
      </w:r>
      <w:r w:rsidR="00FA222B" w:rsidRPr="00214E11">
        <w:t xml:space="preserve">the author’s rights under articles </w:t>
      </w:r>
      <w:r w:rsidR="00214E11" w:rsidRPr="00214E11">
        <w:t>7</w:t>
      </w:r>
      <w:r w:rsidR="0099032B">
        <w:t>,</w:t>
      </w:r>
      <w:r w:rsidR="005245DB" w:rsidRPr="00214E11">
        <w:t xml:space="preserve"> </w:t>
      </w:r>
      <w:r w:rsidR="00FA222B" w:rsidRPr="00214E11">
        <w:t>10</w:t>
      </w:r>
      <w:r w:rsidR="0099032B">
        <w:t xml:space="preserve"> (</w:t>
      </w:r>
      <w:r w:rsidR="00FA222B" w:rsidRPr="00214E11">
        <w:t>1</w:t>
      </w:r>
      <w:r w:rsidR="0099032B">
        <w:t>), 14</w:t>
      </w:r>
      <w:r w:rsidR="0046499B">
        <w:t> </w:t>
      </w:r>
      <w:r w:rsidR="0099032B">
        <w:t xml:space="preserve">(7) and </w:t>
      </w:r>
      <w:r w:rsidR="00FA222B" w:rsidRPr="00214E11">
        <w:t>18</w:t>
      </w:r>
      <w:r w:rsidR="0099032B">
        <w:t xml:space="preserve"> (</w:t>
      </w:r>
      <w:r w:rsidR="00FA222B" w:rsidRPr="00214E11">
        <w:t>1</w:t>
      </w:r>
      <w:r w:rsidR="0099032B">
        <w:t xml:space="preserve">) </w:t>
      </w:r>
      <w:r w:rsidR="00FA222B" w:rsidRPr="00214E11">
        <w:t>of the Covenant.</w:t>
      </w:r>
    </w:p>
    <w:p w14:paraId="3758A405" w14:textId="32331943" w:rsidR="00EF4380" w:rsidRDefault="000E3A56" w:rsidP="0080221F">
      <w:pPr>
        <w:pStyle w:val="SingleTxtG"/>
      </w:pPr>
      <w:r>
        <w:t>10</w:t>
      </w:r>
      <w:r w:rsidR="00FA222B" w:rsidRPr="00214E11">
        <w:t>.</w:t>
      </w:r>
      <w:r w:rsidR="00FA222B" w:rsidRPr="00214E11">
        <w:tab/>
        <w:t>In accordance with article 2</w:t>
      </w:r>
      <w:r w:rsidR="00EF4380">
        <w:t xml:space="preserve"> (</w:t>
      </w:r>
      <w:r w:rsidR="00FA222B" w:rsidRPr="00214E11">
        <w:t>3</w:t>
      </w:r>
      <w:r w:rsidR="00EF4380">
        <w:t xml:space="preserve">) </w:t>
      </w:r>
      <w:r w:rsidR="00FA222B" w:rsidRPr="00214E11">
        <w:t>(a) of the Covenant, the State party is under an obligation to provide the author with an effective remedy</w:t>
      </w:r>
      <w:r w:rsidR="00CA51EA">
        <w:t xml:space="preserve">. </w:t>
      </w:r>
      <w:r w:rsidR="00CA51EA" w:rsidRPr="00CA51EA">
        <w:t xml:space="preserve">This requires it to make full reparation to individuals whose Covenant rights </w:t>
      </w:r>
      <w:proofErr w:type="gramStart"/>
      <w:r w:rsidR="00CA51EA" w:rsidRPr="00CA51EA">
        <w:t>have been violated</w:t>
      </w:r>
      <w:proofErr w:type="gramEnd"/>
      <w:r w:rsidR="00CA51EA" w:rsidRPr="00CA51EA">
        <w:t xml:space="preserve">. Accordingly, the State party is obligated, inter alia, </w:t>
      </w:r>
      <w:proofErr w:type="gramStart"/>
      <w:r w:rsidR="00EF4380">
        <w:t>to impartially, effectively and thoroughly investigate</w:t>
      </w:r>
      <w:proofErr w:type="gramEnd"/>
      <w:r w:rsidR="00EF4380">
        <w:t xml:space="preserve"> the author’s claims under article 7; to prosecute any person</w:t>
      </w:r>
      <w:r w:rsidR="008F1442">
        <w:t xml:space="preserve"> or persons</w:t>
      </w:r>
      <w:r w:rsidR="00EF4380">
        <w:t xml:space="preserve"> found to be responsible; </w:t>
      </w:r>
      <w:r w:rsidR="00CA51EA" w:rsidRPr="00CA51EA">
        <w:t xml:space="preserve">to </w:t>
      </w:r>
      <w:r w:rsidR="00FA222B" w:rsidRPr="00214E11">
        <w:t>expung</w:t>
      </w:r>
      <w:r w:rsidR="007D1CE5">
        <w:t>e</w:t>
      </w:r>
      <w:r w:rsidR="00FA222B" w:rsidRPr="00214E11">
        <w:t xml:space="preserve"> </w:t>
      </w:r>
      <w:r w:rsidR="005E681C">
        <w:t xml:space="preserve">the </w:t>
      </w:r>
      <w:r w:rsidR="007D1CE5">
        <w:t>author’s</w:t>
      </w:r>
      <w:r w:rsidR="00FA222B" w:rsidRPr="00214E11">
        <w:t xml:space="preserve"> criminal record</w:t>
      </w:r>
      <w:r w:rsidR="00EF4380">
        <w:t>;</w:t>
      </w:r>
      <w:r w:rsidR="005E681C" w:rsidRPr="00214E11">
        <w:t xml:space="preserve"> </w:t>
      </w:r>
      <w:r w:rsidR="00FA222B" w:rsidRPr="00214E11">
        <w:t xml:space="preserve">and </w:t>
      </w:r>
      <w:r w:rsidR="005E681C">
        <w:t xml:space="preserve">to </w:t>
      </w:r>
      <w:r w:rsidR="007D1CE5">
        <w:t>provide him</w:t>
      </w:r>
      <w:r w:rsidR="005E681C">
        <w:t xml:space="preserve"> with</w:t>
      </w:r>
      <w:r w:rsidR="007D1CE5">
        <w:t xml:space="preserve"> </w:t>
      </w:r>
      <w:r w:rsidR="0053274F">
        <w:t>adequate</w:t>
      </w:r>
      <w:r w:rsidR="0053274F" w:rsidRPr="00214E11">
        <w:t xml:space="preserve"> </w:t>
      </w:r>
      <w:r w:rsidR="00FA222B" w:rsidRPr="00214E11">
        <w:t>compensation. The State party is under an obligation to avoid similar violations of the Covenant in the future</w:t>
      </w:r>
      <w:r w:rsidR="00524054">
        <w:t>.</w:t>
      </w:r>
      <w:r w:rsidR="00FA222B" w:rsidRPr="00214E11">
        <w:t xml:space="preserve"> </w:t>
      </w:r>
      <w:r w:rsidR="00524054" w:rsidRPr="00524054">
        <w:t>In this connection, the Committee reiterates that the S</w:t>
      </w:r>
      <w:r w:rsidR="009C33E8">
        <w:t>tate party</w:t>
      </w:r>
      <w:r w:rsidR="00524054" w:rsidRPr="00524054">
        <w:t xml:space="preserve"> should revise its legislation in accordance with its obligation under article 2</w:t>
      </w:r>
      <w:r w:rsidR="00E47302">
        <w:t xml:space="preserve"> </w:t>
      </w:r>
      <w:r w:rsidR="00524054" w:rsidRPr="00524054">
        <w:t xml:space="preserve">(2), in particular the </w:t>
      </w:r>
      <w:r w:rsidR="0080221F" w:rsidRPr="00214E11">
        <w:t>Military Service</w:t>
      </w:r>
      <w:r w:rsidR="0080221F">
        <w:t xml:space="preserve"> </w:t>
      </w:r>
      <w:r w:rsidR="0080221F" w:rsidRPr="00214E11">
        <w:t>and</w:t>
      </w:r>
      <w:r w:rsidR="0080221F">
        <w:t xml:space="preserve"> </w:t>
      </w:r>
      <w:r w:rsidR="0080221F" w:rsidRPr="00214E11">
        <w:t xml:space="preserve">Military Duty </w:t>
      </w:r>
      <w:r w:rsidR="0080221F">
        <w:t>Act</w:t>
      </w:r>
      <w:r w:rsidR="00524054" w:rsidRPr="00524054">
        <w:t>, as amended on 25 September 2010, with a view to ensuring the effective guarantee of the right to conscientious objection under article 18</w:t>
      </w:r>
      <w:r w:rsidR="00E47302">
        <w:t xml:space="preserve"> </w:t>
      </w:r>
      <w:r w:rsidR="00524054" w:rsidRPr="00524054">
        <w:t>(1) of the Covenant.</w:t>
      </w:r>
      <w:r w:rsidR="00524054" w:rsidRPr="00AB7D36">
        <w:rPr>
          <w:rStyle w:val="FootnoteReference"/>
        </w:rPr>
        <w:footnoteReference w:id="25"/>
      </w:r>
    </w:p>
    <w:p w14:paraId="5E9915AD" w14:textId="0E063BEB" w:rsidR="0067314F" w:rsidRDefault="007A5564" w:rsidP="007F5E52">
      <w:pPr>
        <w:pStyle w:val="SingleTxtG"/>
      </w:pPr>
      <w:proofErr w:type="gramStart"/>
      <w:r w:rsidRPr="00214E11">
        <w:t>1</w:t>
      </w:r>
      <w:r w:rsidR="000E3A56">
        <w:t>1</w:t>
      </w:r>
      <w:r w:rsidR="00FA222B" w:rsidRPr="00214E11">
        <w:t>.</w:t>
      </w:r>
      <w:r w:rsidR="00FA222B" w:rsidRPr="00214E11">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w:t>
      </w:r>
      <w:proofErr w:type="gramEnd"/>
      <w:r w:rsidR="00FA222B" w:rsidRPr="00214E11">
        <w:t xml:space="preserve"> The State party </w:t>
      </w:r>
      <w:proofErr w:type="gramStart"/>
      <w:r w:rsidR="00FA222B" w:rsidRPr="00214E11">
        <w:t>is also requested</w:t>
      </w:r>
      <w:proofErr w:type="gramEnd"/>
      <w:r w:rsidR="00FA222B" w:rsidRPr="00214E11">
        <w:t xml:space="preserve"> to</w:t>
      </w:r>
      <w:r w:rsidR="0067314F" w:rsidRPr="00214E11">
        <w:t xml:space="preserve"> publish the </w:t>
      </w:r>
      <w:r w:rsidR="008F1442">
        <w:t xml:space="preserve">present </w:t>
      </w:r>
      <w:r w:rsidR="0067314F" w:rsidRPr="00214E11">
        <w:t>Views</w:t>
      </w:r>
      <w:r w:rsidR="008F1442">
        <w:t xml:space="preserve"> </w:t>
      </w:r>
      <w:r w:rsidR="008F1442" w:rsidRPr="00324427">
        <w:t xml:space="preserve">and to have them widely disseminated in </w:t>
      </w:r>
      <w:r w:rsidR="008F1442">
        <w:t xml:space="preserve">the official </w:t>
      </w:r>
      <w:r w:rsidR="008F1442" w:rsidRPr="00D3370A">
        <w:rPr>
          <w:color w:val="000000" w:themeColor="text1"/>
        </w:rPr>
        <w:t xml:space="preserve">language </w:t>
      </w:r>
      <w:r w:rsidR="008F1442" w:rsidRPr="00324427">
        <w:t>of the State party</w:t>
      </w:r>
      <w:r w:rsidR="0067314F" w:rsidRPr="00214E11">
        <w:t>.</w:t>
      </w:r>
    </w:p>
    <w:p w14:paraId="31E18117" w14:textId="77777777" w:rsidR="00344A40" w:rsidRDefault="00344A40" w:rsidP="007F5E52">
      <w:pPr>
        <w:pStyle w:val="SingleTxtG"/>
        <w:sectPr w:rsidR="00344A40" w:rsidSect="00810AB3">
          <w:headerReference w:type="even" r:id="rId13"/>
          <w:headerReference w:type="default" r:id="rId14"/>
          <w:footerReference w:type="even" r:id="rId15"/>
          <w:footerReference w:type="default" r:id="rId16"/>
          <w:footerReference w:type="first" r:id="rId17"/>
          <w:footnotePr>
            <w:numRestart w:val="eachSect"/>
          </w:footnotePr>
          <w:endnotePr>
            <w:numFmt w:val="decimal"/>
          </w:endnotePr>
          <w:pgSz w:w="11907" w:h="16840" w:code="9"/>
          <w:pgMar w:top="1701" w:right="1134" w:bottom="2268" w:left="1134" w:header="1134" w:footer="1701" w:gutter="0"/>
          <w:cols w:space="720"/>
          <w:titlePg/>
          <w:docGrid w:linePitch="272"/>
        </w:sectPr>
      </w:pPr>
    </w:p>
    <w:p w14:paraId="332210C5" w14:textId="77777777" w:rsidR="00344A40" w:rsidRDefault="00344A40" w:rsidP="005A51E5">
      <w:pPr>
        <w:pStyle w:val="HChG"/>
      </w:pPr>
      <w:r>
        <w:t xml:space="preserve">Annex </w:t>
      </w:r>
    </w:p>
    <w:p w14:paraId="3CEA1EFF" w14:textId="20356204" w:rsidR="00344A40" w:rsidRDefault="00344A40" w:rsidP="005A51E5">
      <w:pPr>
        <w:pStyle w:val="HChG"/>
        <w:rPr>
          <w:lang w:eastAsia="en-GB"/>
        </w:rPr>
      </w:pPr>
      <w:r>
        <w:rPr>
          <w:lang w:eastAsia="en-GB"/>
        </w:rPr>
        <w:tab/>
      </w:r>
      <w:r>
        <w:rPr>
          <w:lang w:eastAsia="en-GB"/>
        </w:rPr>
        <w:tab/>
        <w:t xml:space="preserve">Joint opinion of Committee members </w:t>
      </w:r>
      <w:r w:rsidRPr="00344A40">
        <w:rPr>
          <w:lang w:eastAsia="en-GB"/>
        </w:rPr>
        <w:t xml:space="preserve">Yuji </w:t>
      </w:r>
      <w:proofErr w:type="spellStart"/>
      <w:r w:rsidRPr="00344A40">
        <w:rPr>
          <w:lang w:eastAsia="en-GB"/>
        </w:rPr>
        <w:t>Iwasawa</w:t>
      </w:r>
      <w:proofErr w:type="spellEnd"/>
      <w:r w:rsidRPr="00344A40">
        <w:rPr>
          <w:lang w:eastAsia="en-GB"/>
        </w:rPr>
        <w:t xml:space="preserve"> </w:t>
      </w:r>
      <w:r>
        <w:rPr>
          <w:lang w:eastAsia="en-GB"/>
        </w:rPr>
        <w:t xml:space="preserve">and </w:t>
      </w:r>
      <w:r w:rsidRPr="00453C8E">
        <w:rPr>
          <w:lang w:val="en-US" w:eastAsia="en-GB"/>
        </w:rPr>
        <w:t xml:space="preserve">Yuval </w:t>
      </w:r>
      <w:proofErr w:type="spellStart"/>
      <w:r w:rsidRPr="00453C8E">
        <w:rPr>
          <w:lang w:val="en-US" w:eastAsia="en-GB"/>
        </w:rPr>
        <w:t>Shany</w:t>
      </w:r>
      <w:proofErr w:type="spellEnd"/>
      <w:r>
        <w:rPr>
          <w:lang w:val="en-US" w:eastAsia="en-GB"/>
        </w:rPr>
        <w:t xml:space="preserve"> (concurring)</w:t>
      </w:r>
    </w:p>
    <w:p w14:paraId="7CB3F6C6" w14:textId="3CEF6356" w:rsidR="00344A40" w:rsidRDefault="00344A40" w:rsidP="00806E45">
      <w:pPr>
        <w:pStyle w:val="SingleTxtG"/>
      </w:pPr>
      <w:r>
        <w:tab/>
      </w:r>
      <w:r w:rsidRPr="00344A40">
        <w:t>We concur with the Committee’s conclusion that the State party has violated the rights of the author under article</w:t>
      </w:r>
      <w:r w:rsidRPr="00344A40">
        <w:rPr>
          <w:rFonts w:hint="eastAsia"/>
        </w:rPr>
        <w:t xml:space="preserve"> </w:t>
      </w:r>
      <w:r w:rsidRPr="00344A40">
        <w:t>18</w:t>
      </w:r>
      <w:r w:rsidRPr="00344A40">
        <w:rPr>
          <w:rFonts w:hint="eastAsia"/>
        </w:rPr>
        <w:t xml:space="preserve"> </w:t>
      </w:r>
      <w:r w:rsidR="00806E45">
        <w:t>(</w:t>
      </w:r>
      <w:r w:rsidRPr="00344A40">
        <w:rPr>
          <w:rFonts w:hint="eastAsia"/>
        </w:rPr>
        <w:t>1</w:t>
      </w:r>
      <w:r w:rsidR="00806E45">
        <w:t>)</w:t>
      </w:r>
      <w:r w:rsidRPr="00344A40">
        <w:t xml:space="preserve"> of the Covenant, but for reasons</w:t>
      </w:r>
      <w:r w:rsidRPr="00344A40">
        <w:rPr>
          <w:rFonts w:hint="eastAsia"/>
        </w:rPr>
        <w:t xml:space="preserve"> different from the majority of the Committee</w:t>
      </w:r>
      <w:r w:rsidRPr="00344A40">
        <w:t>.</w:t>
      </w:r>
      <w:r w:rsidRPr="005A51E5">
        <w:rPr>
          <w:rStyle w:val="FootnoteReference"/>
        </w:rPr>
        <w:footnoteReference w:id="26"/>
      </w:r>
      <w:r>
        <w:rPr>
          <w:rFonts w:hint="eastAsia"/>
        </w:rPr>
        <w:t xml:space="preserve"> </w:t>
      </w:r>
      <w:r w:rsidRPr="00344A40">
        <w:t xml:space="preserve">We will retain our reasoning even though we may not find it compelling to repeat it in future </w:t>
      </w:r>
      <w:r w:rsidRPr="00344A40">
        <w:rPr>
          <w:rFonts w:hint="eastAsia"/>
        </w:rPr>
        <w:t>communication</w:t>
      </w:r>
      <w:r w:rsidRPr="00344A40">
        <w:t>s</w:t>
      </w:r>
      <w:r w:rsidRPr="00344A40">
        <w:rPr>
          <w:rFonts w:hint="eastAsia"/>
        </w:rPr>
        <w:t>.</w:t>
      </w:r>
    </w:p>
    <w:p w14:paraId="1F0EF77A" w14:textId="77777777" w:rsidR="007F5E52" w:rsidRPr="00F21D25" w:rsidRDefault="00F21D25" w:rsidP="00F21D25">
      <w:pPr>
        <w:pStyle w:val="SingleTxtG"/>
        <w:spacing w:before="240" w:after="0"/>
        <w:jc w:val="center"/>
        <w:rPr>
          <w:u w:val="single"/>
        </w:rPr>
      </w:pPr>
      <w:r>
        <w:rPr>
          <w:u w:val="single"/>
        </w:rPr>
        <w:tab/>
      </w:r>
      <w:r>
        <w:rPr>
          <w:u w:val="single"/>
        </w:rPr>
        <w:tab/>
      </w:r>
      <w:r>
        <w:rPr>
          <w:u w:val="single"/>
        </w:rPr>
        <w:tab/>
      </w:r>
    </w:p>
    <w:sectPr w:rsidR="007F5E52" w:rsidRPr="00F21D25" w:rsidSect="005A51E5">
      <w:footnotePr>
        <w:numFmt w:val="lowerLetter"/>
        <w:numRestart w:val="eachSect"/>
      </w:footnotePr>
      <w:endnotePr>
        <w:numFmt w:val="decimal"/>
      </w:endnotePr>
      <w:pgSz w:w="11907" w:h="16840" w:code="9"/>
      <w:pgMar w:top="1701" w:right="1134" w:bottom="2268" w:left="1134" w:header="1134" w:footer="1411"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8BC27" w15:done="0"/>
  <w15:commentEx w15:paraId="2936F757" w15:done="0"/>
  <w15:commentEx w15:paraId="3CBB8FE9" w15:done="0"/>
  <w15:commentEx w15:paraId="028CA62E" w15:done="0"/>
  <w15:commentEx w15:paraId="68CFDF97" w15:done="0"/>
  <w15:commentEx w15:paraId="09C19C7F" w15:done="0"/>
  <w15:commentEx w15:paraId="639D692F" w15:done="0"/>
  <w15:commentEx w15:paraId="28D920FE" w15:done="0"/>
  <w15:commentEx w15:paraId="2CD37FD9" w15:done="0"/>
  <w15:commentEx w15:paraId="48DC7DED" w15:done="0"/>
  <w15:commentEx w15:paraId="4DD7BB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43FC8" w14:textId="77777777" w:rsidR="00254916" w:rsidRDefault="00254916"/>
  </w:endnote>
  <w:endnote w:type="continuationSeparator" w:id="0">
    <w:p w14:paraId="31D3EA96" w14:textId="77777777" w:rsidR="00254916" w:rsidRDefault="00254916"/>
  </w:endnote>
  <w:endnote w:type="continuationNotice" w:id="1">
    <w:p w14:paraId="5F15C657" w14:textId="77777777" w:rsidR="00254916" w:rsidRDefault="00254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2E9B0" w14:textId="00CC59DD" w:rsidR="00254916" w:rsidRPr="00FA222B" w:rsidRDefault="00254916" w:rsidP="00FA222B">
    <w:pPr>
      <w:pStyle w:val="Footer"/>
      <w:tabs>
        <w:tab w:val="right" w:pos="9638"/>
      </w:tabs>
    </w:pPr>
    <w:r w:rsidRPr="00FA222B">
      <w:rPr>
        <w:b/>
        <w:sz w:val="18"/>
      </w:rPr>
      <w:fldChar w:fldCharType="begin"/>
    </w:r>
    <w:r w:rsidRPr="00FA222B">
      <w:rPr>
        <w:b/>
        <w:sz w:val="18"/>
      </w:rPr>
      <w:instrText xml:space="preserve"> PAGE  \* MERGEFORMAT </w:instrText>
    </w:r>
    <w:r w:rsidRPr="00FA222B">
      <w:rPr>
        <w:b/>
        <w:sz w:val="18"/>
      </w:rPr>
      <w:fldChar w:fldCharType="separate"/>
    </w:r>
    <w:r w:rsidR="00214FC0">
      <w:rPr>
        <w:b/>
        <w:noProof/>
        <w:sz w:val="18"/>
      </w:rPr>
      <w:t>2</w:t>
    </w:r>
    <w:r w:rsidRPr="00FA222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4AFF" w14:textId="0AD9C9C4" w:rsidR="00254916" w:rsidRPr="00FA222B" w:rsidRDefault="00254916" w:rsidP="00FA222B">
    <w:pPr>
      <w:pStyle w:val="Footer"/>
      <w:tabs>
        <w:tab w:val="right" w:pos="9638"/>
      </w:tabs>
      <w:rPr>
        <w:b/>
        <w:sz w:val="18"/>
      </w:rPr>
    </w:pPr>
    <w:r>
      <w:tab/>
    </w:r>
    <w:r w:rsidRPr="00FA222B">
      <w:rPr>
        <w:b/>
        <w:sz w:val="18"/>
      </w:rPr>
      <w:fldChar w:fldCharType="begin"/>
    </w:r>
    <w:r w:rsidRPr="00FA222B">
      <w:rPr>
        <w:b/>
        <w:sz w:val="18"/>
      </w:rPr>
      <w:instrText xml:space="preserve"> PAGE  \* MERGEFORMAT </w:instrText>
    </w:r>
    <w:r w:rsidRPr="00FA222B">
      <w:rPr>
        <w:b/>
        <w:sz w:val="18"/>
      </w:rPr>
      <w:fldChar w:fldCharType="separate"/>
    </w:r>
    <w:r w:rsidR="00214FC0">
      <w:rPr>
        <w:b/>
        <w:noProof/>
        <w:sz w:val="18"/>
      </w:rPr>
      <w:t>11</w:t>
    </w:r>
    <w:r w:rsidRPr="00FA222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A9E0" w14:textId="21CE5372" w:rsidR="00254916" w:rsidRDefault="00214FC0" w:rsidP="00214FC0">
    <w:pPr>
      <w:pStyle w:val="Footer"/>
      <w:ind w:right="1134"/>
      <w:rPr>
        <w:rFonts w:ascii="C39T30Lfz" w:hAnsi="C39T30Lfz"/>
        <w:sz w:val="20"/>
      </w:rPr>
    </w:pPr>
    <w:r w:rsidRPr="00214FC0">
      <w:rPr>
        <w:rFonts w:ascii="C39T30Lfz" w:hAnsi="C39T30Lfz"/>
        <w:noProof/>
        <w:sz w:val="56"/>
        <w:u w:val="single"/>
        <w:lang w:val="en-US"/>
      </w:rPr>
      <w:drawing>
        <wp:anchor distT="0" distB="0" distL="114300" distR="114300" simplePos="0" relativeHeight="251659264" behindDoc="0" locked="0" layoutInCell="1" allowOverlap="1" wp14:anchorId="180DDEB4" wp14:editId="67256CDD">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03640B3E" w14:textId="0FD4BFCF" w:rsidR="00214FC0" w:rsidRPr="00214FC0" w:rsidRDefault="00214FC0" w:rsidP="00214FC0">
    <w:pPr>
      <w:pStyle w:val="Footer"/>
      <w:ind w:right="1134"/>
      <w:rPr>
        <w:sz w:val="20"/>
      </w:rPr>
    </w:pPr>
    <w:r w:rsidRPr="00214FC0">
      <w:rPr>
        <w:sz w:val="20"/>
      </w:rPr>
      <w:t>GE.16-16479(E)</w:t>
    </w:r>
  </w:p>
  <w:p w14:paraId="6FCF17C7" w14:textId="3E347466" w:rsidR="00214FC0" w:rsidRPr="00214FC0" w:rsidRDefault="00214FC0" w:rsidP="00214FC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zh-CN"/>
      </w:rPr>
      <w:drawing>
        <wp:anchor distT="0" distB="0" distL="114300" distR="114300" simplePos="0" relativeHeight="251660288" behindDoc="0" locked="0" layoutInCell="1" allowOverlap="1" wp14:anchorId="6E8272EB" wp14:editId="4C8387A8">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CCPR/C/117/D/2219/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7/D/2219/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79D2" w14:textId="77777777" w:rsidR="00254916" w:rsidRPr="000B175B" w:rsidRDefault="00254916" w:rsidP="000B175B">
      <w:pPr>
        <w:tabs>
          <w:tab w:val="right" w:pos="2155"/>
        </w:tabs>
        <w:spacing w:after="80"/>
        <w:ind w:left="680"/>
        <w:rPr>
          <w:u w:val="single"/>
        </w:rPr>
      </w:pPr>
      <w:r>
        <w:rPr>
          <w:u w:val="single"/>
        </w:rPr>
        <w:tab/>
      </w:r>
    </w:p>
  </w:footnote>
  <w:footnote w:type="continuationSeparator" w:id="0">
    <w:p w14:paraId="6BA93FEA" w14:textId="77777777" w:rsidR="00254916" w:rsidRPr="00FC68B7" w:rsidRDefault="00254916" w:rsidP="00FC68B7">
      <w:pPr>
        <w:tabs>
          <w:tab w:val="left" w:pos="2155"/>
        </w:tabs>
        <w:spacing w:after="80"/>
        <w:ind w:left="680"/>
        <w:rPr>
          <w:u w:val="single"/>
        </w:rPr>
      </w:pPr>
      <w:r>
        <w:rPr>
          <w:u w:val="single"/>
        </w:rPr>
        <w:tab/>
      </w:r>
    </w:p>
  </w:footnote>
  <w:footnote w:type="continuationNotice" w:id="1">
    <w:p w14:paraId="18FB1E70" w14:textId="77777777" w:rsidR="00254916" w:rsidRDefault="00254916"/>
  </w:footnote>
  <w:footnote w:id="2">
    <w:p w14:paraId="39E66E59" w14:textId="77777777" w:rsidR="00254916" w:rsidRPr="0059501B" w:rsidRDefault="00254916" w:rsidP="00DF23AC">
      <w:pPr>
        <w:pStyle w:val="FootnoteText"/>
      </w:pPr>
      <w:r w:rsidRPr="005A51E5">
        <w:rPr>
          <w:rStyle w:val="FootnoteReference"/>
          <w:sz w:val="20"/>
          <w:vertAlign w:val="baseline"/>
        </w:rPr>
        <w:tab/>
        <w:t>*</w:t>
      </w:r>
      <w:r>
        <w:rPr>
          <w:rStyle w:val="FootnoteReference"/>
          <w:sz w:val="20"/>
          <w:vertAlign w:val="baseline"/>
        </w:rPr>
        <w:tab/>
      </w:r>
      <w:proofErr w:type="gramStart"/>
      <w:r>
        <w:t xml:space="preserve">Adopted by the Committee </w:t>
      </w:r>
      <w:r w:rsidRPr="009E4187">
        <w:t xml:space="preserve">at its </w:t>
      </w:r>
      <w:r w:rsidRPr="0059501B">
        <w:t>11</w:t>
      </w:r>
      <w:r w:rsidRPr="00C32180">
        <w:t>7</w:t>
      </w:r>
      <w:r w:rsidRPr="0059501B">
        <w:t>th</w:t>
      </w:r>
      <w:r w:rsidRPr="009E4187">
        <w:t xml:space="preserve"> session (</w:t>
      </w:r>
      <w:r>
        <w:t>20 June-</w:t>
      </w:r>
      <w:r w:rsidRPr="001147E8">
        <w:t>15 July 2016</w:t>
      </w:r>
      <w:r w:rsidRPr="009E4187">
        <w:t>).</w:t>
      </w:r>
      <w:proofErr w:type="gramEnd"/>
    </w:p>
  </w:footnote>
  <w:footnote w:id="3">
    <w:p w14:paraId="58242F03" w14:textId="746EABB3" w:rsidR="00254916" w:rsidRDefault="00254916" w:rsidP="007640A2">
      <w:pPr>
        <w:pStyle w:val="FootnoteText"/>
        <w:rPr>
          <w:bCs/>
          <w:lang w:val="en-US"/>
        </w:rPr>
      </w:pPr>
      <w:r w:rsidRPr="004256A1">
        <w:rPr>
          <w:rStyle w:val="FootnoteReference"/>
          <w:sz w:val="20"/>
        </w:rPr>
        <w:tab/>
      </w:r>
      <w:r w:rsidRPr="005A51E5">
        <w:rPr>
          <w:rStyle w:val="FootnoteReference"/>
          <w:bCs/>
          <w:sz w:val="20"/>
          <w:vertAlign w:val="baseline"/>
        </w:rPr>
        <w:t>**</w:t>
      </w:r>
      <w:r>
        <w:tab/>
      </w:r>
      <w:r w:rsidRPr="00DF23AC">
        <w:t xml:space="preserve">The following members of the Committee participated in the examination of the communication: </w:t>
      </w:r>
      <w:proofErr w:type="spellStart"/>
      <w:r w:rsidRPr="00DF23AC">
        <w:t>Lazhari</w:t>
      </w:r>
      <w:proofErr w:type="spellEnd"/>
      <w:r w:rsidRPr="00DF23AC">
        <w:t xml:space="preserve"> </w:t>
      </w:r>
      <w:proofErr w:type="spellStart"/>
      <w:r w:rsidRPr="00DF23AC">
        <w:t>Bouzid</w:t>
      </w:r>
      <w:proofErr w:type="spellEnd"/>
      <w:r w:rsidRPr="00DF23AC">
        <w:t xml:space="preserve">, Sarah Cleveland, Ahmed Amin </w:t>
      </w:r>
      <w:proofErr w:type="spellStart"/>
      <w:r w:rsidRPr="00DF23AC">
        <w:t>Fathalla</w:t>
      </w:r>
      <w:proofErr w:type="spellEnd"/>
      <w:r w:rsidRPr="00DF23AC">
        <w:t xml:space="preserve">, Olivier de </w:t>
      </w:r>
      <w:proofErr w:type="spellStart"/>
      <w:r w:rsidRPr="00DF23AC">
        <w:t>Frouville</w:t>
      </w:r>
      <w:proofErr w:type="spellEnd"/>
      <w:r w:rsidRPr="00DF23AC">
        <w:t xml:space="preserve">, Yuji </w:t>
      </w:r>
      <w:proofErr w:type="spellStart"/>
      <w:r w:rsidRPr="00DF23AC">
        <w:t>Iwasawa</w:t>
      </w:r>
      <w:proofErr w:type="spellEnd"/>
      <w:r w:rsidRPr="00DF23AC">
        <w:t xml:space="preserve">, </w:t>
      </w:r>
      <w:proofErr w:type="spellStart"/>
      <w:r w:rsidRPr="00DF23AC">
        <w:t>Photini</w:t>
      </w:r>
      <w:proofErr w:type="spellEnd"/>
      <w:r w:rsidR="009517FD">
        <w:t> </w:t>
      </w:r>
      <w:proofErr w:type="spellStart"/>
      <w:r w:rsidRPr="00DF23AC">
        <w:t>Pazartzis</w:t>
      </w:r>
      <w:proofErr w:type="spellEnd"/>
      <w:r w:rsidRPr="00DF23AC">
        <w:t xml:space="preserve">, Mauro </w:t>
      </w:r>
      <w:proofErr w:type="spellStart"/>
      <w:r w:rsidRPr="00DF23AC">
        <w:t>Politi</w:t>
      </w:r>
      <w:proofErr w:type="spellEnd"/>
      <w:r w:rsidRPr="00DF23AC">
        <w:t xml:space="preserve">, Sir Nigel </w:t>
      </w:r>
      <w:proofErr w:type="spellStart"/>
      <w:r w:rsidRPr="00DF23AC">
        <w:t>Rodley</w:t>
      </w:r>
      <w:proofErr w:type="spellEnd"/>
      <w:r w:rsidRPr="00DF23AC">
        <w:t>, V</w:t>
      </w:r>
      <w:r>
        <w:t>í</w:t>
      </w:r>
      <w:r w:rsidRPr="00DF23AC">
        <w:t>ctor Manuel Rodríguez-</w:t>
      </w:r>
      <w:proofErr w:type="spellStart"/>
      <w:r w:rsidRPr="00DF23AC">
        <w:t>Rescia</w:t>
      </w:r>
      <w:proofErr w:type="spellEnd"/>
      <w:r w:rsidRPr="00DF23AC">
        <w:t xml:space="preserve">, </w:t>
      </w:r>
      <w:proofErr w:type="spellStart"/>
      <w:r w:rsidRPr="00DF23AC">
        <w:t>Fabián</w:t>
      </w:r>
      <w:proofErr w:type="spellEnd"/>
      <w:r w:rsidRPr="00DF23AC">
        <w:t xml:space="preserve"> Omar </w:t>
      </w:r>
      <w:proofErr w:type="spellStart"/>
      <w:r w:rsidRPr="00DF23AC">
        <w:t>Salvioli</w:t>
      </w:r>
      <w:proofErr w:type="spellEnd"/>
      <w:r w:rsidRPr="00DF23AC">
        <w:t xml:space="preserve">, </w:t>
      </w:r>
      <w:proofErr w:type="spellStart"/>
      <w:r w:rsidRPr="00DF23AC">
        <w:t>Dheerujlall</w:t>
      </w:r>
      <w:proofErr w:type="spellEnd"/>
      <w:r w:rsidRPr="00DF23AC">
        <w:t xml:space="preserve"> </w:t>
      </w:r>
      <w:proofErr w:type="spellStart"/>
      <w:r w:rsidRPr="00DF23AC">
        <w:t>Seetulsingh</w:t>
      </w:r>
      <w:proofErr w:type="spellEnd"/>
      <w:r w:rsidRPr="00DF23AC">
        <w:t xml:space="preserve">, Yuval </w:t>
      </w:r>
      <w:proofErr w:type="spellStart"/>
      <w:r w:rsidRPr="00DF23AC">
        <w:t>Shany</w:t>
      </w:r>
      <w:proofErr w:type="spellEnd"/>
      <w:r w:rsidRPr="00DF23AC">
        <w:t xml:space="preserve"> and Margo </w:t>
      </w:r>
      <w:proofErr w:type="spellStart"/>
      <w:r w:rsidRPr="00DF23AC">
        <w:t>Waterval</w:t>
      </w:r>
      <w:proofErr w:type="spellEnd"/>
      <w:r w:rsidRPr="004256A1">
        <w:rPr>
          <w:bCs/>
          <w:lang w:val="en-US"/>
        </w:rPr>
        <w:t>.</w:t>
      </w:r>
      <w:r>
        <w:rPr>
          <w:bCs/>
          <w:lang w:val="en-US"/>
        </w:rPr>
        <w:t xml:space="preserve"> </w:t>
      </w:r>
    </w:p>
    <w:p w14:paraId="7F2C6864" w14:textId="54BDD8AE" w:rsidR="00254916" w:rsidRPr="005A51E5" w:rsidRDefault="00254916" w:rsidP="006F5776">
      <w:pPr>
        <w:pStyle w:val="FootnoteText"/>
        <w:rPr>
          <w:bCs/>
          <w:lang w:val="en-US"/>
        </w:rPr>
      </w:pPr>
      <w:r>
        <w:rPr>
          <w:rStyle w:val="FootnoteReference"/>
          <w:bCs/>
          <w:sz w:val="20"/>
        </w:rPr>
        <w:tab/>
      </w:r>
      <w:r>
        <w:rPr>
          <w:rStyle w:val="FootnoteReference"/>
          <w:bCs/>
          <w:sz w:val="20"/>
        </w:rPr>
        <w:tab/>
      </w:r>
      <w:r>
        <w:rPr>
          <w:bCs/>
          <w:lang w:val="en-US"/>
        </w:rPr>
        <w:t xml:space="preserve">A joint opinion by Committee members </w:t>
      </w:r>
      <w:r w:rsidRPr="00DF23AC">
        <w:t xml:space="preserve">Yuji </w:t>
      </w:r>
      <w:proofErr w:type="spellStart"/>
      <w:r w:rsidRPr="00DF23AC">
        <w:t>Iwasawa</w:t>
      </w:r>
      <w:proofErr w:type="spellEnd"/>
      <w:r>
        <w:t xml:space="preserve"> and Yuval </w:t>
      </w:r>
      <w:proofErr w:type="spellStart"/>
      <w:r>
        <w:t>Shany</w:t>
      </w:r>
      <w:proofErr w:type="spellEnd"/>
      <w:r>
        <w:t xml:space="preserve"> </w:t>
      </w:r>
      <w:proofErr w:type="gramStart"/>
      <w:r>
        <w:t>is annexed</w:t>
      </w:r>
      <w:proofErr w:type="gramEnd"/>
      <w:r>
        <w:t xml:space="preserve"> to the present Views.</w:t>
      </w:r>
    </w:p>
  </w:footnote>
  <w:footnote w:id="4">
    <w:p w14:paraId="7E896F4F" w14:textId="3FABD2EB" w:rsidR="00254916" w:rsidRPr="007D12E4" w:rsidRDefault="00254916" w:rsidP="00D534C3">
      <w:pPr>
        <w:pStyle w:val="FootnoteText"/>
        <w:rPr>
          <w:lang w:val="en-US"/>
        </w:rPr>
      </w:pPr>
      <w:r>
        <w:tab/>
      </w:r>
      <w:r w:rsidRPr="00AB7D36">
        <w:rPr>
          <w:rStyle w:val="FootnoteReference"/>
        </w:rPr>
        <w:footnoteRef/>
      </w:r>
      <w:r>
        <w:tab/>
        <w:t xml:space="preserve">See, for example, the </w:t>
      </w:r>
      <w:proofErr w:type="gramStart"/>
      <w:r w:rsidR="008470EA">
        <w:t>Committee’s</w:t>
      </w:r>
      <w:proofErr w:type="gramEnd"/>
      <w:r w:rsidR="008470EA">
        <w:t xml:space="preserve"> </w:t>
      </w:r>
      <w:r>
        <w:t xml:space="preserve">concluding observations </w:t>
      </w:r>
      <w:r w:rsidR="008470EA" w:rsidRPr="00B02753">
        <w:t>on the initial report of Turkmenistan</w:t>
      </w:r>
      <w:r w:rsidR="008470EA">
        <w:t xml:space="preserve"> </w:t>
      </w:r>
      <w:r>
        <w:t xml:space="preserve">(CCPR/C/TKM/CO/1), para. 16, in which </w:t>
      </w:r>
      <w:r w:rsidR="008470EA">
        <w:t>i</w:t>
      </w:r>
      <w:r>
        <w:t>t expressed concern that the Act, as amended on 25</w:t>
      </w:r>
      <w:r w:rsidR="0077559B">
        <w:t> </w:t>
      </w:r>
      <w:r>
        <w:t xml:space="preserve">September 2010, did not recognize a person’s right to exercise conscientious objection to military service and did not provide for any alternative military service. The Committee regretted that due to the law, a number of Jehovah’s Witnesses </w:t>
      </w:r>
      <w:proofErr w:type="gramStart"/>
      <w:r>
        <w:t>had been repeatedly prosecuted and imprisoned for refusing to perform compulsory military service</w:t>
      </w:r>
      <w:proofErr w:type="gramEnd"/>
      <w:r>
        <w:t xml:space="preserve">. </w:t>
      </w:r>
      <w:proofErr w:type="gramStart"/>
      <w:r>
        <w:t>It requested that the State party take all necessary measures to review its legislation with a view to providing for alternative military service; ensure that the law clearly stipulated that individuals had the right to conscientious objection to military service; and halt all prosecutions of individuals who refused to perform military service on grounds of conscience and release those individuals who were currently serving prison sentences.</w:t>
      </w:r>
      <w:proofErr w:type="gramEnd"/>
      <w:r>
        <w:t xml:space="preserve"> </w:t>
      </w:r>
    </w:p>
  </w:footnote>
  <w:footnote w:id="5">
    <w:p w14:paraId="79801525" w14:textId="2F6C10C5" w:rsidR="00254916" w:rsidRPr="000E16E7" w:rsidRDefault="00254916" w:rsidP="00196B14">
      <w:pPr>
        <w:pStyle w:val="FootnoteText"/>
        <w:rPr>
          <w:lang w:val="en-US"/>
        </w:rPr>
      </w:pPr>
      <w:r>
        <w:tab/>
      </w:r>
      <w:r w:rsidRPr="00AB7D36">
        <w:rPr>
          <w:rStyle w:val="FootnoteReference"/>
        </w:rPr>
        <w:footnoteRef/>
      </w:r>
      <w:r>
        <w:tab/>
        <w:t xml:space="preserve">Article 18 (4) of the </w:t>
      </w:r>
      <w:r w:rsidRPr="00214E11">
        <w:t>Military Service</w:t>
      </w:r>
      <w:r>
        <w:t xml:space="preserve"> </w:t>
      </w:r>
      <w:r w:rsidRPr="00214E11">
        <w:t>and</w:t>
      </w:r>
      <w:r>
        <w:t xml:space="preserve"> </w:t>
      </w:r>
      <w:r w:rsidRPr="00214E11">
        <w:t xml:space="preserve">Military Duty </w:t>
      </w:r>
      <w:r>
        <w:t>Act permits repeated call-up for military service and stipulates that a person refusing military service is exempt from further call-up only after he has received and served two criminal sentences. At the same time, articles 12 and 21 of the Constitution of Turkmenistan guarantee freedom of religion and conscience and stipulate that that right is subject to limitation only if it violates morality, law or public order or endangers national security.</w:t>
      </w:r>
    </w:p>
  </w:footnote>
  <w:footnote w:id="6">
    <w:p w14:paraId="4E932A59" w14:textId="2AF510F9" w:rsidR="00254916" w:rsidRPr="007C7E4A" w:rsidRDefault="00254916" w:rsidP="00D534C3">
      <w:pPr>
        <w:pStyle w:val="FootnoteText"/>
        <w:rPr>
          <w:lang w:val="en-US"/>
        </w:rPr>
      </w:pPr>
      <w:r>
        <w:tab/>
      </w:r>
      <w:r w:rsidRPr="00AB7D36">
        <w:rPr>
          <w:rStyle w:val="FootnoteReference"/>
        </w:rPr>
        <w:footnoteRef/>
      </w:r>
      <w:r>
        <w:tab/>
      </w:r>
      <w:r w:rsidRPr="00DB76BB">
        <w:t>See</w:t>
      </w:r>
      <w:r>
        <w:t>, for example,</w:t>
      </w:r>
      <w:r w:rsidR="00941ADB">
        <w:t xml:space="preserve"> </w:t>
      </w:r>
      <w:r>
        <w:t>c</w:t>
      </w:r>
      <w:r w:rsidRPr="003668AF">
        <w:t>ommunication No. 1100/2002</w:t>
      </w:r>
      <w:r>
        <w:t xml:space="preserve">, </w:t>
      </w:r>
      <w:proofErr w:type="spellStart"/>
      <w:r w:rsidRPr="007C7E4A">
        <w:rPr>
          <w:i/>
        </w:rPr>
        <w:t>Bandajevsky</w:t>
      </w:r>
      <w:proofErr w:type="spellEnd"/>
      <w:r w:rsidRPr="007C7E4A">
        <w:rPr>
          <w:i/>
        </w:rPr>
        <w:t xml:space="preserve"> v. Belarus</w:t>
      </w:r>
      <w:r>
        <w:t>, Views adopted on 28</w:t>
      </w:r>
      <w:r w:rsidR="00F82C4A">
        <w:t> </w:t>
      </w:r>
      <w:r>
        <w:t xml:space="preserve">March 2006, </w:t>
      </w:r>
      <w:proofErr w:type="gramStart"/>
      <w:r>
        <w:t>para</w:t>
      </w:r>
      <w:proofErr w:type="gramEnd"/>
      <w:r>
        <w:t xml:space="preserve">. 10.13. See also </w:t>
      </w:r>
      <w:r w:rsidR="00D534C3">
        <w:t xml:space="preserve">European Court of Human Rights, </w:t>
      </w:r>
      <w:proofErr w:type="spellStart"/>
      <w:r w:rsidRPr="00EF4052">
        <w:rPr>
          <w:i/>
        </w:rPr>
        <w:t>Kolesnik</w:t>
      </w:r>
      <w:proofErr w:type="spellEnd"/>
      <w:r w:rsidRPr="00EF4052">
        <w:rPr>
          <w:i/>
        </w:rPr>
        <w:t xml:space="preserve"> v. Russia</w:t>
      </w:r>
      <w:r>
        <w:t xml:space="preserve"> (</w:t>
      </w:r>
      <w:r w:rsidRPr="007E4C3E">
        <w:t>application</w:t>
      </w:r>
      <w:r>
        <w:t xml:space="preserve"> No. 26876/08), </w:t>
      </w:r>
      <w:proofErr w:type="gramStart"/>
      <w:r>
        <w:t>judgment</w:t>
      </w:r>
      <w:proofErr w:type="gramEnd"/>
      <w:r>
        <w:t xml:space="preserve"> of 17 June 2010, </w:t>
      </w:r>
      <w:r w:rsidRPr="00B457F0">
        <w:t xml:space="preserve">paras. 54-58, 68, 69 and 73), </w:t>
      </w:r>
      <w:r w:rsidR="00D534C3">
        <w:t xml:space="preserve">in which the Court indicated that </w:t>
      </w:r>
      <w:r w:rsidRPr="00B457F0">
        <w:t>appeals to the domestic courts in Turkmenistan are a pointless exercise</w:t>
      </w:r>
      <w:r>
        <w:t xml:space="preserve">. The author notes that Turkmenistan </w:t>
      </w:r>
      <w:proofErr w:type="gramStart"/>
      <w:r>
        <w:t xml:space="preserve">has repeatedly been </w:t>
      </w:r>
      <w:r w:rsidR="005A0BC4">
        <w:t>requested</w:t>
      </w:r>
      <w:proofErr w:type="gramEnd"/>
      <w:r w:rsidR="005A0BC4">
        <w:t xml:space="preserve"> </w:t>
      </w:r>
      <w:r>
        <w:t xml:space="preserve">by the Special Rapporteur on freedom of religion or belief, the Working Group on Arbitrary Detention, the Committee against Torture, the </w:t>
      </w:r>
      <w:r>
        <w:rPr>
          <w:rStyle w:val="preferred"/>
        </w:rPr>
        <w:t>Organization for Security and Cooperation in Europe</w:t>
      </w:r>
      <w:r>
        <w:t xml:space="preserve"> and other international bodies to stop prosecuting conscientious objectors. The State party</w:t>
      </w:r>
      <w:r w:rsidR="005A0BC4">
        <w:t>,</w:t>
      </w:r>
      <w:r>
        <w:t xml:space="preserve"> however</w:t>
      </w:r>
      <w:r w:rsidR="005A0BC4">
        <w:t>,</w:t>
      </w:r>
      <w:r>
        <w:t xml:space="preserve"> continues to prosecute and imprison conscientious objectors. </w:t>
      </w:r>
    </w:p>
  </w:footnote>
  <w:footnote w:id="7">
    <w:p w14:paraId="04087660" w14:textId="6CB4F868" w:rsidR="00254916" w:rsidRPr="00BA1549" w:rsidRDefault="00254916" w:rsidP="00B457F0">
      <w:pPr>
        <w:pStyle w:val="FootnoteText"/>
        <w:rPr>
          <w:lang w:val="en-US"/>
        </w:rPr>
      </w:pPr>
      <w:r>
        <w:tab/>
      </w:r>
      <w:r w:rsidRPr="00AB7D36">
        <w:rPr>
          <w:rStyle w:val="FootnoteReference"/>
        </w:rPr>
        <w:footnoteRef/>
      </w:r>
      <w:r>
        <w:tab/>
        <w:t>In other communications submitted to the Committee by conscientious objectors in Turkmenistan, it</w:t>
      </w:r>
      <w:r w:rsidR="00F82C4A">
        <w:t> </w:t>
      </w:r>
      <w:proofErr w:type="gramStart"/>
      <w:r>
        <w:t>is argued</w:t>
      </w:r>
      <w:proofErr w:type="gramEnd"/>
      <w:r>
        <w:t xml:space="preserve"> </w:t>
      </w:r>
      <w:r w:rsidRPr="0069285F">
        <w:t xml:space="preserve">that the national courts </w:t>
      </w:r>
      <w:r>
        <w:t xml:space="preserve">of Turkmenistan </w:t>
      </w:r>
      <w:r w:rsidRPr="0069285F">
        <w:t>have never ruled in favour of a conscientious objector to military service.</w:t>
      </w:r>
      <w:r>
        <w:t xml:space="preserve"> See, for example, communication No. 2222/2012, </w:t>
      </w:r>
      <w:r w:rsidRPr="00DB5C15">
        <w:rPr>
          <w:i/>
        </w:rPr>
        <w:t xml:space="preserve">Ahmet </w:t>
      </w:r>
      <w:proofErr w:type="spellStart"/>
      <w:r w:rsidRPr="00DB5C15">
        <w:rPr>
          <w:i/>
        </w:rPr>
        <w:t>Hudaybergenov</w:t>
      </w:r>
      <w:proofErr w:type="spellEnd"/>
      <w:r w:rsidRPr="00DB5C15">
        <w:rPr>
          <w:i/>
        </w:rPr>
        <w:t xml:space="preserve"> v. Turkmenistan</w:t>
      </w:r>
      <w:r w:rsidRPr="00DB5C15">
        <w:t xml:space="preserve">, Views adopted on 29 October 2015, </w:t>
      </w:r>
      <w:proofErr w:type="gramStart"/>
      <w:r w:rsidRPr="00DB5C15">
        <w:t>para</w:t>
      </w:r>
      <w:proofErr w:type="gramEnd"/>
      <w:r w:rsidRPr="00DB5C15">
        <w:t xml:space="preserve">. </w:t>
      </w:r>
      <w:r>
        <w:t xml:space="preserve">2.7. </w:t>
      </w:r>
    </w:p>
  </w:footnote>
  <w:footnote w:id="8">
    <w:p w14:paraId="6E622212" w14:textId="696B5512" w:rsidR="00254916" w:rsidRPr="00853F90" w:rsidRDefault="00254916" w:rsidP="00254916">
      <w:pPr>
        <w:pStyle w:val="FootnoteText"/>
        <w:rPr>
          <w:lang w:val="en-US"/>
        </w:rPr>
      </w:pPr>
      <w:r>
        <w:tab/>
      </w:r>
      <w:r w:rsidRPr="00AB7D36">
        <w:rPr>
          <w:rStyle w:val="FootnoteReference"/>
        </w:rPr>
        <w:footnoteRef/>
      </w:r>
      <w:r>
        <w:tab/>
        <w:t xml:space="preserve">See, for example, </w:t>
      </w:r>
      <w:r w:rsidRPr="0086007B">
        <w:rPr>
          <w:lang w:eastAsia="en-GB"/>
        </w:rPr>
        <w:t>European Court</w:t>
      </w:r>
      <w:r>
        <w:rPr>
          <w:lang w:eastAsia="en-GB"/>
        </w:rPr>
        <w:t xml:space="preserve"> of Human Rights,</w:t>
      </w:r>
      <w:r>
        <w:t xml:space="preserve"> </w:t>
      </w:r>
      <w:proofErr w:type="spellStart"/>
      <w:r w:rsidRPr="00853F90">
        <w:rPr>
          <w:i/>
        </w:rPr>
        <w:t>Feti</w:t>
      </w:r>
      <w:proofErr w:type="spellEnd"/>
      <w:r w:rsidRPr="00853F90">
        <w:rPr>
          <w:i/>
        </w:rPr>
        <w:t xml:space="preserve"> </w:t>
      </w:r>
      <w:proofErr w:type="spellStart"/>
      <w:r w:rsidRPr="00853F90">
        <w:rPr>
          <w:i/>
        </w:rPr>
        <w:t>Demirta</w:t>
      </w:r>
      <w:r w:rsidRPr="00254916">
        <w:rPr>
          <w:i/>
        </w:rPr>
        <w:t>ş</w:t>
      </w:r>
      <w:proofErr w:type="spellEnd"/>
      <w:r w:rsidRPr="00853F90">
        <w:rPr>
          <w:i/>
        </w:rPr>
        <w:t xml:space="preserve"> v. Turkey</w:t>
      </w:r>
      <w:r>
        <w:rPr>
          <w:i/>
        </w:rPr>
        <w:t xml:space="preserve"> </w:t>
      </w:r>
      <w:r w:rsidRPr="005A51E5">
        <w:rPr>
          <w:iCs/>
        </w:rPr>
        <w:t>(application No.</w:t>
      </w:r>
      <w:r w:rsidR="00F82C4A">
        <w:rPr>
          <w:iCs/>
        </w:rPr>
        <w:t> </w:t>
      </w:r>
      <w:r>
        <w:rPr>
          <w:iCs/>
        </w:rPr>
        <w:t>5260/07</w:t>
      </w:r>
      <w:r w:rsidRPr="005A51E5">
        <w:rPr>
          <w:iCs/>
        </w:rPr>
        <w:t xml:space="preserve">), judgment of </w:t>
      </w:r>
      <w:r>
        <w:rPr>
          <w:iCs/>
        </w:rPr>
        <w:t>17 January 2012</w:t>
      </w:r>
      <w:r w:rsidRPr="005A51E5">
        <w:rPr>
          <w:iCs/>
        </w:rPr>
        <w:t xml:space="preserve">, </w:t>
      </w:r>
      <w:proofErr w:type="gramStart"/>
      <w:r>
        <w:t>para</w:t>
      </w:r>
      <w:proofErr w:type="gramEnd"/>
      <w:r>
        <w:t xml:space="preserve">. </w:t>
      </w:r>
      <w:proofErr w:type="gramStart"/>
      <w:r>
        <w:t>91</w:t>
      </w:r>
      <w:proofErr w:type="gramEnd"/>
      <w:r>
        <w:t xml:space="preserve">, in which the Court ruled that the applicant suffered inhuman and degrading treatment because he was subjected to “numerous criminal proceedings” and “criminal convictions,” in addition to ill-treatment while in prison. That conclusion applies </w:t>
      </w:r>
      <w:r w:rsidRPr="005A51E5">
        <w:rPr>
          <w:iCs/>
        </w:rPr>
        <w:t>mutatis mutandis</w:t>
      </w:r>
      <w:r>
        <w:t xml:space="preserve"> to the author’s case.</w:t>
      </w:r>
    </w:p>
  </w:footnote>
  <w:footnote w:id="9">
    <w:p w14:paraId="45C1F7C3" w14:textId="4C393623" w:rsidR="00254916" w:rsidRPr="006F4484" w:rsidRDefault="00254916" w:rsidP="005A51E5">
      <w:pPr>
        <w:pStyle w:val="FootnoteText"/>
        <w:rPr>
          <w:lang w:val="en-US"/>
        </w:rPr>
      </w:pPr>
      <w:r>
        <w:tab/>
      </w:r>
      <w:r w:rsidRPr="00AB7D36">
        <w:rPr>
          <w:rStyle w:val="FootnoteReference"/>
        </w:rPr>
        <w:footnoteRef/>
      </w:r>
      <w:r>
        <w:tab/>
        <w:t>See CAT/C/TKM/CO/1, paras. 18 and 19, in which the Committee expresse</w:t>
      </w:r>
      <w:r w:rsidR="00C203DB">
        <w:t>d</w:t>
      </w:r>
      <w:r>
        <w:t xml:space="preserve"> its concern, inter alia, at</w:t>
      </w:r>
      <w:r w:rsidR="00F82C4A">
        <w:t> </w:t>
      </w:r>
      <w:r>
        <w:t>ongoing physical abuse and psychological pressure</w:t>
      </w:r>
      <w:r w:rsidR="00C203DB">
        <w:t xml:space="preserve"> carried out</w:t>
      </w:r>
      <w:r>
        <w:t xml:space="preserve"> by prison staff, including collective punishment, ill-treatment as a “preventive” measure, the use of solitary confinement, and sexual violence and rape by prison officers or </w:t>
      </w:r>
      <w:proofErr w:type="gramStart"/>
      <w:r>
        <w:t xml:space="preserve">inmates, </w:t>
      </w:r>
      <w:r w:rsidR="00C203DB">
        <w:t>that</w:t>
      </w:r>
      <w:proofErr w:type="gramEnd"/>
      <w:r>
        <w:t xml:space="preserve"> ha</w:t>
      </w:r>
      <w:r w:rsidR="00C203DB">
        <w:t>d</w:t>
      </w:r>
      <w:r>
        <w:t xml:space="preserve"> reportedly motivated the suicides of several detainees. The Committee also expressed deep concern about the current material and hygien</w:t>
      </w:r>
      <w:r w:rsidR="00C203DB">
        <w:t>e</w:t>
      </w:r>
      <w:r>
        <w:t xml:space="preserve"> conditions in places of deprivation of liberty, such as inadequate food and health care, severe overcrowding, and unnecessary restrictions on family visits. </w:t>
      </w:r>
    </w:p>
  </w:footnote>
  <w:footnote w:id="10">
    <w:p w14:paraId="3D4ACAFB" w14:textId="2240898A" w:rsidR="00254916" w:rsidRPr="00332C6C" w:rsidRDefault="00254916" w:rsidP="00D534C3">
      <w:pPr>
        <w:pStyle w:val="FootnoteText"/>
        <w:rPr>
          <w:lang w:val="en-US"/>
        </w:rPr>
      </w:pPr>
      <w:r>
        <w:tab/>
      </w:r>
      <w:r w:rsidRPr="00AB7D36">
        <w:rPr>
          <w:rStyle w:val="FootnoteReference"/>
        </w:rPr>
        <w:footnoteRef/>
      </w:r>
      <w:r>
        <w:tab/>
        <w:t xml:space="preserve">The author cites </w:t>
      </w:r>
      <w:proofErr w:type="spellStart"/>
      <w:r w:rsidRPr="00332C6C">
        <w:rPr>
          <w:i/>
        </w:rPr>
        <w:t>Kolesnik</w:t>
      </w:r>
      <w:proofErr w:type="spellEnd"/>
      <w:r w:rsidRPr="00332C6C">
        <w:rPr>
          <w:i/>
        </w:rPr>
        <w:t xml:space="preserve"> v</w:t>
      </w:r>
      <w:r w:rsidR="00C203DB">
        <w:rPr>
          <w:i/>
        </w:rPr>
        <w:t>.</w:t>
      </w:r>
      <w:r w:rsidRPr="00332C6C">
        <w:rPr>
          <w:i/>
        </w:rPr>
        <w:t xml:space="preserve"> Russia</w:t>
      </w:r>
      <w:r>
        <w:t xml:space="preserve"> (application No. 26876/08</w:t>
      </w:r>
      <w:r w:rsidR="00FA6F3E">
        <w:t>),</w:t>
      </w:r>
      <w:r>
        <w:t xml:space="preserve"> 17 June 2010, paras. 68</w:t>
      </w:r>
      <w:r w:rsidR="00C203DB">
        <w:t xml:space="preserve">, </w:t>
      </w:r>
      <w:r>
        <w:t>69 and 72</w:t>
      </w:r>
      <w:r w:rsidR="00C203DB">
        <w:t>,</w:t>
      </w:r>
      <w:r>
        <w:t xml:space="preserve"> in</w:t>
      </w:r>
      <w:r w:rsidR="00F82C4A">
        <w:t> </w:t>
      </w:r>
      <w:r>
        <w:t xml:space="preserve">which the European Court </w:t>
      </w:r>
      <w:r>
        <w:rPr>
          <w:lang w:eastAsia="en-GB"/>
        </w:rPr>
        <w:t xml:space="preserve">of Human Rights </w:t>
      </w:r>
      <w:r>
        <w:t xml:space="preserve">concluded that an extradition order to Turkmenistan for criminal prosecution subjected the applicant in that case to </w:t>
      </w:r>
      <w:r w:rsidR="00C203DB">
        <w:t xml:space="preserve">a </w:t>
      </w:r>
      <w:r>
        <w:t xml:space="preserve">“serious risk” of being subjected to torture or inhuman or degrading treatment. The following factors </w:t>
      </w:r>
      <w:proofErr w:type="gramStart"/>
      <w:r>
        <w:t>were taken</w:t>
      </w:r>
      <w:proofErr w:type="gramEnd"/>
      <w:r>
        <w:t xml:space="preserve"> into account: credible and consistent reports from various reputable sources of widespread torture, beatings and use of force against criminal suspects by the Turkmen law</w:t>
      </w:r>
      <w:r w:rsidR="007D1D8C">
        <w:t xml:space="preserve"> </w:t>
      </w:r>
      <w:r>
        <w:t xml:space="preserve">enforcement authorities, </w:t>
      </w:r>
      <w:r w:rsidR="00C203DB">
        <w:t xml:space="preserve">and </w:t>
      </w:r>
      <w:r>
        <w:t>very poor conditions of detention.</w:t>
      </w:r>
    </w:p>
  </w:footnote>
  <w:footnote w:id="11">
    <w:p w14:paraId="7959E289" w14:textId="52151710" w:rsidR="00254916" w:rsidRPr="00835DAB" w:rsidRDefault="00254916" w:rsidP="004F70B4">
      <w:pPr>
        <w:pStyle w:val="FootnoteText"/>
        <w:rPr>
          <w:lang w:val="en-US"/>
        </w:rPr>
      </w:pPr>
      <w:r>
        <w:tab/>
      </w:r>
      <w:r w:rsidRPr="00AB7D36">
        <w:rPr>
          <w:rStyle w:val="FootnoteReference"/>
        </w:rPr>
        <w:footnoteRef/>
      </w:r>
      <w:r>
        <w:tab/>
      </w:r>
      <w:r w:rsidRPr="003F7C7A">
        <w:t>The report of Turkmenistan Independent Lawyers Association of February 2010 (p</w:t>
      </w:r>
      <w:r w:rsidR="000240E3" w:rsidRPr="003F7C7A">
        <w:t>p.</w:t>
      </w:r>
      <w:r w:rsidRPr="003F7C7A">
        <w:t xml:space="preserve"> 9</w:t>
      </w:r>
      <w:r w:rsidR="000240E3" w:rsidRPr="003F7C7A">
        <w:t>-</w:t>
      </w:r>
      <w:r w:rsidRPr="003F7C7A">
        <w:t>10) describe</w:t>
      </w:r>
      <w:r w:rsidR="000240E3" w:rsidRPr="003F7C7A">
        <w:t>d</w:t>
      </w:r>
      <w:r w:rsidRPr="003F7C7A">
        <w:t xml:space="preserve"> the LBK-12 prison</w:t>
      </w:r>
      <w:r w:rsidR="000240E3" w:rsidRPr="003F7C7A">
        <w:t>,</w:t>
      </w:r>
      <w:r w:rsidRPr="003F7C7A">
        <w:t xml:space="preserve"> popularly referred to as </w:t>
      </w:r>
      <w:proofErr w:type="spellStart"/>
      <w:proofErr w:type="gramStart"/>
      <w:r w:rsidRPr="003F7C7A">
        <w:t>Shagal</w:t>
      </w:r>
      <w:proofErr w:type="spellEnd"/>
      <w:proofErr w:type="gramEnd"/>
      <w:r w:rsidR="000240E3" w:rsidRPr="003F7C7A">
        <w:t>,</w:t>
      </w:r>
      <w:r w:rsidRPr="003F7C7A">
        <w:t xml:space="preserve"> </w:t>
      </w:r>
      <w:r w:rsidR="000240E3" w:rsidRPr="003F7C7A">
        <w:t>a</w:t>
      </w:r>
      <w:r w:rsidRPr="003F7C7A">
        <w:t>s the largest in Turkmenistan in size and prison</w:t>
      </w:r>
      <w:r>
        <w:t xml:space="preserve"> population</w:t>
      </w:r>
      <w:r w:rsidR="000240E3">
        <w:t>,</w:t>
      </w:r>
      <w:r>
        <w:t xml:space="preserve"> designed to accommodate up to 2</w:t>
      </w:r>
      <w:r w:rsidR="000240E3">
        <w:t>,</w:t>
      </w:r>
      <w:r>
        <w:t>100 inmates. At the time of the report, it housed 5</w:t>
      </w:r>
      <w:r w:rsidR="000240E3">
        <w:t>,</w:t>
      </w:r>
      <w:r>
        <w:t>700</w:t>
      </w:r>
      <w:r w:rsidR="00D0054D">
        <w:t> </w:t>
      </w:r>
      <w:r>
        <w:t xml:space="preserve">detainees. Despite the </w:t>
      </w:r>
      <w:proofErr w:type="gramStart"/>
      <w:r>
        <w:t>minimum security</w:t>
      </w:r>
      <w:proofErr w:type="gramEnd"/>
      <w:r>
        <w:t xml:space="preserve"> conditions for first offenders, prison conditions </w:t>
      </w:r>
      <w:r w:rsidR="000240E3">
        <w:t>we</w:t>
      </w:r>
      <w:r>
        <w:t xml:space="preserve">re very tough. The colony </w:t>
      </w:r>
      <w:r w:rsidR="000240E3">
        <w:t>wa</w:t>
      </w:r>
      <w:r>
        <w:t xml:space="preserve">s </w:t>
      </w:r>
      <w:r w:rsidR="000A40AF">
        <w:t>located</w:t>
      </w:r>
      <w:r>
        <w:t xml:space="preserve"> in the lifeless desert w</w:t>
      </w:r>
      <w:r w:rsidR="000A40AF">
        <w:t>here</w:t>
      </w:r>
      <w:r>
        <w:t xml:space="preserve"> </w:t>
      </w:r>
      <w:r w:rsidR="000A40AF">
        <w:t xml:space="preserve">in </w:t>
      </w:r>
      <w:r>
        <w:t>winter</w:t>
      </w:r>
      <w:r w:rsidR="000A40AF">
        <w:t>,</w:t>
      </w:r>
      <w:r>
        <w:t xml:space="preserve"> temperatures reach</w:t>
      </w:r>
      <w:r w:rsidR="000A40AF">
        <w:t>ed</w:t>
      </w:r>
      <w:r>
        <w:t xml:space="preserve"> minus 20</w:t>
      </w:r>
      <w:r w:rsidR="000240E3" w:rsidRPr="000240E3">
        <w:t>°</w:t>
      </w:r>
      <w:r>
        <w:t>C and in the summer</w:t>
      </w:r>
      <w:r w:rsidR="000A40AF">
        <w:t xml:space="preserve">, </w:t>
      </w:r>
      <w:r>
        <w:t>50</w:t>
      </w:r>
      <w:r w:rsidR="000240E3" w:rsidRPr="000240E3">
        <w:t>°</w:t>
      </w:r>
      <w:r>
        <w:t xml:space="preserve">C. Due to the harsh climatic conditions, overcrowding, the fact that prisoners diagnosed with </w:t>
      </w:r>
      <w:r w:rsidR="00D503A8">
        <w:t>tuberculosis</w:t>
      </w:r>
      <w:r>
        <w:t xml:space="preserve"> and skin diseases </w:t>
      </w:r>
      <w:proofErr w:type="gramStart"/>
      <w:r w:rsidR="00D503A8">
        <w:t>we</w:t>
      </w:r>
      <w:r>
        <w:t>re kept</w:t>
      </w:r>
      <w:proofErr w:type="gramEnd"/>
      <w:r>
        <w:t xml:space="preserve"> together with healthy inmates, scarce supplies of food, medication and personal hygiene products, the institution report</w:t>
      </w:r>
      <w:r w:rsidR="00D503A8">
        <w:t>ed</w:t>
      </w:r>
      <w:r>
        <w:t xml:space="preserve"> </w:t>
      </w:r>
      <w:r w:rsidR="004F70B4">
        <w:t xml:space="preserve">a </w:t>
      </w:r>
      <w:r>
        <w:t>mortality rate of 5.2</w:t>
      </w:r>
      <w:r w:rsidR="00D503A8">
        <w:t xml:space="preserve"> per cent</w:t>
      </w:r>
      <w:r w:rsidR="004F70B4">
        <w:t>,</w:t>
      </w:r>
      <w:r>
        <w:t xml:space="preserve"> </w:t>
      </w:r>
      <w:r w:rsidR="004F70B4">
        <w:t xml:space="preserve">the highest </w:t>
      </w:r>
      <w:r>
        <w:t xml:space="preserve">among the country’s penitentiary facilities. </w:t>
      </w:r>
      <w:proofErr w:type="gramStart"/>
      <w:r>
        <w:t>Similar to other penitentiary facilities</w:t>
      </w:r>
      <w:r w:rsidR="00D503A8">
        <w:t xml:space="preserve"> in Turkmenistan</w:t>
      </w:r>
      <w:r>
        <w:t xml:space="preserve">, physical abuse </w:t>
      </w:r>
      <w:r w:rsidR="00D503A8">
        <w:t>wa</w:t>
      </w:r>
      <w:r>
        <w:t>s used against inmates by the colony personnel and other individuals with the consent and often following the instructions of the colony’s administration</w:t>
      </w:r>
      <w:proofErr w:type="gramEnd"/>
      <w:r>
        <w:t xml:space="preserve">. Primarily, detainees who were placed in the colony for the first time and </w:t>
      </w:r>
      <w:r w:rsidR="00D503A8">
        <w:t>we</w:t>
      </w:r>
      <w:r>
        <w:t>re consequently no</w:t>
      </w:r>
      <w:r w:rsidR="00D503A8">
        <w:t>t</w:t>
      </w:r>
      <w:r>
        <w:t xml:space="preserve"> aware of the unofficial prison </w:t>
      </w:r>
      <w:proofErr w:type="gramStart"/>
      <w:r>
        <w:t>rules,</w:t>
      </w:r>
      <w:proofErr w:type="gramEnd"/>
      <w:r>
        <w:t xml:space="preserve"> </w:t>
      </w:r>
      <w:r w:rsidR="00D503A8">
        <w:t>we</w:t>
      </w:r>
      <w:r>
        <w:t>re subjected to violence</w:t>
      </w:r>
      <w:r w:rsidRPr="00805B2C">
        <w:t xml:space="preserve">. Similar observations on </w:t>
      </w:r>
      <w:r w:rsidR="00D503A8" w:rsidRPr="00805B2C">
        <w:t>prison</w:t>
      </w:r>
      <w:r w:rsidRPr="00805B2C">
        <w:t xml:space="preserve"> conditions in Turkmenistan </w:t>
      </w:r>
      <w:proofErr w:type="gramStart"/>
      <w:r w:rsidR="00D503A8">
        <w:t>we</w:t>
      </w:r>
      <w:r w:rsidRPr="00805B2C">
        <w:t>re made</w:t>
      </w:r>
      <w:proofErr w:type="gramEnd"/>
      <w:r w:rsidRPr="00805B2C">
        <w:t xml:space="preserve"> in the U</w:t>
      </w:r>
      <w:r w:rsidR="00D503A8">
        <w:t>nited States of America</w:t>
      </w:r>
      <w:r w:rsidRPr="00805B2C">
        <w:t xml:space="preserve"> State Department 2011 country report and the Amnesty International report of February 2012.</w:t>
      </w:r>
      <w:r>
        <w:t xml:space="preserve"> </w:t>
      </w:r>
    </w:p>
  </w:footnote>
  <w:footnote w:id="12">
    <w:p w14:paraId="08549C6E" w14:textId="5180FC9D" w:rsidR="00254916" w:rsidRPr="004029A1" w:rsidRDefault="00254916" w:rsidP="00547451">
      <w:pPr>
        <w:pStyle w:val="FootnoteText"/>
        <w:rPr>
          <w:lang w:val="en-US"/>
        </w:rPr>
      </w:pPr>
      <w:r>
        <w:tab/>
      </w:r>
      <w:r w:rsidRPr="00AB7D36">
        <w:rPr>
          <w:rStyle w:val="FootnoteReference"/>
        </w:rPr>
        <w:footnoteRef/>
      </w:r>
      <w:r>
        <w:tab/>
      </w:r>
      <w:proofErr w:type="gramStart"/>
      <w:r>
        <w:t xml:space="preserve">See </w:t>
      </w:r>
      <w:r w:rsidR="00547451">
        <w:t xml:space="preserve">the </w:t>
      </w:r>
      <w:r w:rsidRPr="00DB76BB">
        <w:t>Committee’s</w:t>
      </w:r>
      <w:r>
        <w:t xml:space="preserve"> </w:t>
      </w:r>
      <w:r w:rsidR="00D503A8">
        <w:t>g</w:t>
      </w:r>
      <w:r>
        <w:t xml:space="preserve">eneral </w:t>
      </w:r>
      <w:r w:rsidR="00D503A8">
        <w:t>c</w:t>
      </w:r>
      <w:r>
        <w:t xml:space="preserve">omment No. 32 </w:t>
      </w:r>
      <w:r w:rsidR="00D503A8">
        <w:rPr>
          <w:snapToGrid w:val="0"/>
          <w:szCs w:val="24"/>
        </w:rPr>
        <w:t>(2007) on the r</w:t>
      </w:r>
      <w:r w:rsidR="00D503A8" w:rsidRPr="0055162C">
        <w:rPr>
          <w:snapToGrid w:val="0"/>
          <w:szCs w:val="24"/>
        </w:rPr>
        <w:t>ight to equality before courts and tribunals and to a fair trial</w:t>
      </w:r>
      <w:r w:rsidR="00547451">
        <w:rPr>
          <w:snapToGrid w:val="0"/>
          <w:szCs w:val="24"/>
        </w:rPr>
        <w:t xml:space="preserve">, which indicates that </w:t>
      </w:r>
      <w:r w:rsidR="00547451">
        <w:t>r</w:t>
      </w:r>
      <w:r>
        <w:t>epeated punishment of conscientious objectors for not having obeyed a renewed order to serve in the military may amount to punishment for the same crime if such subsequent refusal is based on the same constant resolve grounded in reasons of conscience</w:t>
      </w:r>
      <w:r w:rsidR="00547451">
        <w:t xml:space="preserve"> (para. 55)</w:t>
      </w:r>
      <w:r>
        <w:t>.</w:t>
      </w:r>
      <w:proofErr w:type="gramEnd"/>
      <w:r>
        <w:t xml:space="preserve"> In </w:t>
      </w:r>
      <w:r w:rsidR="00547451">
        <w:t>the</w:t>
      </w:r>
      <w:r>
        <w:t xml:space="preserve"> report on </w:t>
      </w:r>
      <w:r w:rsidR="00547451">
        <w:t xml:space="preserve">her mission to </w:t>
      </w:r>
      <w:r>
        <w:t xml:space="preserve">Turkmenistan </w:t>
      </w:r>
      <w:r w:rsidR="00547451">
        <w:t>in 2008</w:t>
      </w:r>
      <w:r>
        <w:t>, the Special Rapporteur on freedom of religion or belief re</w:t>
      </w:r>
      <w:r w:rsidR="00547451">
        <w:t>call</w:t>
      </w:r>
      <w:r>
        <w:t xml:space="preserve">ed the principle of </w:t>
      </w:r>
      <w:r w:rsidRPr="005A51E5">
        <w:rPr>
          <w:i/>
          <w:iCs/>
        </w:rPr>
        <w:t xml:space="preserve">ne </w:t>
      </w:r>
      <w:proofErr w:type="spellStart"/>
      <w:r w:rsidRPr="005A51E5">
        <w:rPr>
          <w:i/>
          <w:iCs/>
        </w:rPr>
        <w:t>bis</w:t>
      </w:r>
      <w:proofErr w:type="spellEnd"/>
      <w:r w:rsidRPr="005A51E5">
        <w:rPr>
          <w:i/>
          <w:iCs/>
        </w:rPr>
        <w:t xml:space="preserve"> in idem</w:t>
      </w:r>
      <w:r>
        <w:t xml:space="preserve"> and recommended that Turkmenistan revise the </w:t>
      </w:r>
      <w:r w:rsidR="00547451" w:rsidRPr="00214E11">
        <w:t>Military Service</w:t>
      </w:r>
      <w:r w:rsidR="00547451">
        <w:t xml:space="preserve"> </w:t>
      </w:r>
      <w:r w:rsidR="00547451" w:rsidRPr="00214E11">
        <w:t>and</w:t>
      </w:r>
      <w:r w:rsidR="00547451">
        <w:t xml:space="preserve"> </w:t>
      </w:r>
      <w:r w:rsidR="00547451" w:rsidRPr="00214E11">
        <w:t xml:space="preserve">Military Duty </w:t>
      </w:r>
      <w:r w:rsidR="00547451">
        <w:t xml:space="preserve">Act, </w:t>
      </w:r>
      <w:r>
        <w:t>which refer</w:t>
      </w:r>
      <w:r w:rsidR="00547451">
        <w:t>red</w:t>
      </w:r>
      <w:r>
        <w:t xml:space="preserve"> to the possibility of being sanctioned twice for the same offence</w:t>
      </w:r>
      <w:r w:rsidR="00547451">
        <w:t xml:space="preserve"> (A/HRC/10/8/Add.4, para. 68)</w:t>
      </w:r>
      <w:r w:rsidR="004F70B4">
        <w:t>.</w:t>
      </w:r>
    </w:p>
  </w:footnote>
  <w:footnote w:id="13">
    <w:p w14:paraId="3101E8C6" w14:textId="1D7516D4" w:rsidR="00254916" w:rsidRDefault="00254916" w:rsidP="005A51E5">
      <w:pPr>
        <w:pStyle w:val="FootnoteText"/>
      </w:pPr>
      <w:r>
        <w:tab/>
      </w:r>
      <w:r w:rsidRPr="00AB7D36">
        <w:rPr>
          <w:rStyle w:val="FootnoteReference"/>
        </w:rPr>
        <w:footnoteRef/>
      </w:r>
      <w:r>
        <w:tab/>
        <w:t xml:space="preserve">See, for example, </w:t>
      </w:r>
      <w:r w:rsidR="006B6368">
        <w:t xml:space="preserve">communications Nos. 1853/2008 and 1854/2008, </w:t>
      </w:r>
      <w:proofErr w:type="spellStart"/>
      <w:r>
        <w:rPr>
          <w:i/>
        </w:rPr>
        <w:t>Atasoy</w:t>
      </w:r>
      <w:proofErr w:type="spellEnd"/>
      <w:r>
        <w:rPr>
          <w:i/>
        </w:rPr>
        <w:t xml:space="preserve"> and </w:t>
      </w:r>
      <w:proofErr w:type="spellStart"/>
      <w:r>
        <w:rPr>
          <w:i/>
        </w:rPr>
        <w:t>Sarkut</w:t>
      </w:r>
      <w:proofErr w:type="spellEnd"/>
      <w:r>
        <w:rPr>
          <w:i/>
        </w:rPr>
        <w:t xml:space="preserve"> v. </w:t>
      </w:r>
      <w:r w:rsidRPr="00557507">
        <w:rPr>
          <w:i/>
        </w:rPr>
        <w:t>Turkey</w:t>
      </w:r>
      <w:r>
        <w:t xml:space="preserve">, Views adopted on 29 March 2012, </w:t>
      </w:r>
      <w:proofErr w:type="gramStart"/>
      <w:r>
        <w:t>paras</w:t>
      </w:r>
      <w:proofErr w:type="gramEnd"/>
      <w:r>
        <w:t xml:space="preserve">. 10.4 </w:t>
      </w:r>
      <w:proofErr w:type="gramStart"/>
      <w:r>
        <w:t>and</w:t>
      </w:r>
      <w:proofErr w:type="gramEnd"/>
      <w:r>
        <w:t xml:space="preserve"> 10.5.</w:t>
      </w:r>
    </w:p>
  </w:footnote>
  <w:footnote w:id="14">
    <w:p w14:paraId="314BD257" w14:textId="009DAEBE" w:rsidR="00254916" w:rsidRPr="00343B6C" w:rsidRDefault="00254916" w:rsidP="009178A2">
      <w:pPr>
        <w:pStyle w:val="FootnoteText"/>
      </w:pPr>
      <w:r>
        <w:tab/>
      </w:r>
      <w:r w:rsidRPr="00AB7D36">
        <w:rPr>
          <w:rStyle w:val="FootnoteReference"/>
        </w:rPr>
        <w:footnoteRef/>
      </w:r>
      <w:r>
        <w:tab/>
      </w:r>
      <w:proofErr w:type="gramStart"/>
      <w:r w:rsidRPr="00DB76BB">
        <w:t>Article</w:t>
      </w:r>
      <w:r>
        <w:t xml:space="preserve"> 18 of the</w:t>
      </w:r>
      <w:r w:rsidRPr="00343B6C">
        <w:t xml:space="preserve"> </w:t>
      </w:r>
      <w:r w:rsidRPr="00214E11">
        <w:t>Military Service</w:t>
      </w:r>
      <w:r>
        <w:t xml:space="preserve"> </w:t>
      </w:r>
      <w:r w:rsidRPr="00214E11">
        <w:t>and</w:t>
      </w:r>
      <w:r>
        <w:t xml:space="preserve"> </w:t>
      </w:r>
      <w:r w:rsidRPr="00214E11">
        <w:t xml:space="preserve">Military Duty </w:t>
      </w:r>
      <w:r>
        <w:t xml:space="preserve">Act, as amended on 25 </w:t>
      </w:r>
      <w:r w:rsidRPr="00343B6C">
        <w:t xml:space="preserve">September 2010, </w:t>
      </w:r>
      <w:r>
        <w:t xml:space="preserve">stipulates that the following citizens shall be exempted from military service: </w:t>
      </w:r>
      <w:r w:rsidR="009178A2">
        <w:t xml:space="preserve">(a) </w:t>
      </w:r>
      <w:r>
        <w:t xml:space="preserve">those who have been declared unfit for military service for health reasons; </w:t>
      </w:r>
      <w:r w:rsidR="009178A2">
        <w:t>(</w:t>
      </w:r>
      <w:r>
        <w:t xml:space="preserve">b) those who have performed military service; </w:t>
      </w:r>
      <w:r w:rsidR="009178A2">
        <w:t>(</w:t>
      </w:r>
      <w:r>
        <w:t xml:space="preserve">c) those who have performed military or another form of service in the armed forces of another </w:t>
      </w:r>
      <w:r w:rsidR="009178A2">
        <w:t>S</w:t>
      </w:r>
      <w:r>
        <w:t xml:space="preserve">tate in accordance with international agreements </w:t>
      </w:r>
      <w:r w:rsidR="009178A2">
        <w:t>entered into by</w:t>
      </w:r>
      <w:r>
        <w:t xml:space="preserve"> Turkmenistan; </w:t>
      </w:r>
      <w:r w:rsidR="009178A2">
        <w:t>(</w:t>
      </w:r>
      <w:r>
        <w:t xml:space="preserve">d) those who have been convicted twice of committing a minor crime or convicted of a crime of medium gravity, </w:t>
      </w:r>
      <w:r w:rsidR="009178A2">
        <w:t xml:space="preserve">a </w:t>
      </w:r>
      <w:r>
        <w:t xml:space="preserve">grave crime or </w:t>
      </w:r>
      <w:r w:rsidR="009178A2">
        <w:t xml:space="preserve">an </w:t>
      </w:r>
      <w:r>
        <w:t xml:space="preserve">especially grave crime; </w:t>
      </w:r>
      <w:r w:rsidR="009178A2">
        <w:t>(</w:t>
      </w:r>
      <w:r>
        <w:t xml:space="preserve">e) citizens with an academic degree, approved in accordance with the legislation of Turkmenistan; </w:t>
      </w:r>
      <w:r w:rsidR="009178A2">
        <w:t>(</w:t>
      </w:r>
      <w:r>
        <w:t xml:space="preserve">f) sons or brothers of those who died as a result of carrying out military duties during military service or military training; </w:t>
      </w:r>
      <w:r w:rsidR="002F28CC">
        <w:t>and (</w:t>
      </w:r>
      <w:r>
        <w:t>g) sons or brothers of those who, as a result of a disease contracted as a consequence of a wound or as a result of injury or contusion, have died within one year from the day of discharge from military service (after completion of military training) or of those who, as a result of performing military service, have become disabled during military service or military training.</w:t>
      </w:r>
      <w:proofErr w:type="gramEnd"/>
      <w:r>
        <w:t xml:space="preserve"> </w:t>
      </w:r>
    </w:p>
  </w:footnote>
  <w:footnote w:id="15">
    <w:p w14:paraId="44D12859" w14:textId="7341A0BC" w:rsidR="00254916" w:rsidRPr="00F776FF" w:rsidRDefault="00254916" w:rsidP="002F28CC">
      <w:pPr>
        <w:pStyle w:val="FootnoteText"/>
        <w:rPr>
          <w:lang w:val="en-US"/>
        </w:rPr>
      </w:pPr>
      <w:r>
        <w:tab/>
      </w:r>
      <w:r w:rsidRPr="00AB7D36">
        <w:rPr>
          <w:rStyle w:val="FootnoteReference"/>
        </w:rPr>
        <w:footnoteRef/>
      </w:r>
      <w:r>
        <w:tab/>
        <w:t>See, for example, c</w:t>
      </w:r>
      <w:r w:rsidRPr="00DB76BB">
        <w:t>ommunication</w:t>
      </w:r>
      <w:r>
        <w:t xml:space="preserve"> No. 1449/2006, </w:t>
      </w:r>
      <w:proofErr w:type="spellStart"/>
      <w:r w:rsidRPr="00F776FF">
        <w:rPr>
          <w:i/>
        </w:rPr>
        <w:t>Umarova</w:t>
      </w:r>
      <w:proofErr w:type="spellEnd"/>
      <w:r w:rsidRPr="00F776FF">
        <w:rPr>
          <w:i/>
        </w:rPr>
        <w:t xml:space="preserve"> v. Uzbekistan</w:t>
      </w:r>
      <w:r>
        <w:t>, Views adopted on 1</w:t>
      </w:r>
      <w:r w:rsidR="002F28CC">
        <w:t>9</w:t>
      </w:r>
      <w:r w:rsidR="00D0054D">
        <w:t> </w:t>
      </w:r>
      <w:r>
        <w:t xml:space="preserve">October 2010, </w:t>
      </w:r>
      <w:proofErr w:type="gramStart"/>
      <w:r>
        <w:t>para</w:t>
      </w:r>
      <w:proofErr w:type="gramEnd"/>
      <w:r>
        <w:t xml:space="preserve">. 8.3. </w:t>
      </w:r>
    </w:p>
  </w:footnote>
  <w:footnote w:id="16">
    <w:p w14:paraId="2705C8E2" w14:textId="37C03CD7" w:rsidR="00254916" w:rsidRPr="00194EA2" w:rsidRDefault="00254916" w:rsidP="00F23D8B">
      <w:pPr>
        <w:pStyle w:val="FootnoteText"/>
        <w:rPr>
          <w:lang w:val="en-US"/>
        </w:rPr>
      </w:pPr>
      <w:r>
        <w:tab/>
      </w:r>
      <w:r w:rsidRPr="00AB7D36">
        <w:rPr>
          <w:rStyle w:val="FootnoteReference"/>
        </w:rPr>
        <w:footnoteRef/>
      </w:r>
      <w:r>
        <w:tab/>
        <w:t xml:space="preserve">The author does not provide further details on </w:t>
      </w:r>
      <w:r w:rsidR="00F23D8B">
        <w:t xml:space="preserve">the </w:t>
      </w:r>
      <w:r>
        <w:t>contents</w:t>
      </w:r>
      <w:r w:rsidR="00F23D8B">
        <w:t xml:space="preserve"> of the document</w:t>
      </w:r>
      <w:r>
        <w:t xml:space="preserve">. </w:t>
      </w:r>
    </w:p>
  </w:footnote>
  <w:footnote w:id="17">
    <w:p w14:paraId="23F844D2" w14:textId="04E53FBA" w:rsidR="00254916" w:rsidRPr="00921992" w:rsidRDefault="00254916" w:rsidP="00806E45">
      <w:pPr>
        <w:pStyle w:val="FootnoteText"/>
        <w:rPr>
          <w:lang w:val="en-US"/>
        </w:rPr>
      </w:pPr>
      <w:r>
        <w:tab/>
      </w:r>
      <w:r w:rsidRPr="00AB7D36">
        <w:rPr>
          <w:rStyle w:val="FootnoteReference"/>
        </w:rPr>
        <w:footnoteRef/>
      </w:r>
      <w:r>
        <w:tab/>
        <w:t>See, for example, c</w:t>
      </w:r>
      <w:r w:rsidRPr="0067314F">
        <w:t>ommunication</w:t>
      </w:r>
      <w:r w:rsidRPr="00921992">
        <w:t xml:space="preserve"> </w:t>
      </w:r>
      <w:r>
        <w:t>N</w:t>
      </w:r>
      <w:r w:rsidRPr="00921992">
        <w:t xml:space="preserve">o. </w:t>
      </w:r>
      <w:r>
        <w:t>2097/2011</w:t>
      </w:r>
      <w:r w:rsidRPr="00921992">
        <w:t xml:space="preserve">, </w:t>
      </w:r>
      <w:proofErr w:type="spellStart"/>
      <w:r>
        <w:rPr>
          <w:i/>
          <w:iCs/>
        </w:rPr>
        <w:t>Timmer</w:t>
      </w:r>
      <w:proofErr w:type="spellEnd"/>
      <w:r>
        <w:rPr>
          <w:i/>
          <w:iCs/>
        </w:rPr>
        <w:t xml:space="preserve"> v. the Netherlands</w:t>
      </w:r>
      <w:r w:rsidRPr="00921992">
        <w:t xml:space="preserve">, </w:t>
      </w:r>
      <w:r>
        <w:t>Views adopted on 24</w:t>
      </w:r>
      <w:r w:rsidR="00693E6D">
        <w:t> </w:t>
      </w:r>
      <w:r>
        <w:t xml:space="preserve">July 2014, </w:t>
      </w:r>
      <w:proofErr w:type="gramStart"/>
      <w:r>
        <w:t>para</w:t>
      </w:r>
      <w:proofErr w:type="gramEnd"/>
      <w:r>
        <w:t xml:space="preserve">. 6.3. </w:t>
      </w:r>
    </w:p>
  </w:footnote>
  <w:footnote w:id="18">
    <w:p w14:paraId="0674E10B" w14:textId="16142810" w:rsidR="00254916" w:rsidRPr="008E35BE" w:rsidRDefault="00254916" w:rsidP="00ED1526">
      <w:pPr>
        <w:pStyle w:val="FootnoteText"/>
        <w:rPr>
          <w:lang w:val="en-US"/>
        </w:rPr>
      </w:pPr>
      <w:r>
        <w:tab/>
      </w:r>
      <w:r w:rsidRPr="00AB7D36">
        <w:rPr>
          <w:rStyle w:val="FootnoteReference"/>
        </w:rPr>
        <w:footnoteRef/>
      </w:r>
      <w:r>
        <w:tab/>
      </w:r>
      <w:r w:rsidR="00ED1526">
        <w:t>See the</w:t>
      </w:r>
      <w:r w:rsidRPr="008E35BE">
        <w:t xml:space="preserve"> </w:t>
      </w:r>
      <w:r w:rsidRPr="00F21D25">
        <w:t>Committee</w:t>
      </w:r>
      <w:r w:rsidR="00ED1526">
        <w:t>’s</w:t>
      </w:r>
      <w:r w:rsidRPr="008E35BE">
        <w:t xml:space="preserve"> general comment No. 20 (1992) on the prohibition of torture and cruel</w:t>
      </w:r>
      <w:r w:rsidR="00ED1526">
        <w:t>, inhuman or degrading</w:t>
      </w:r>
      <w:r w:rsidRPr="008E35BE">
        <w:t xml:space="preserve"> treatment or punishment.</w:t>
      </w:r>
    </w:p>
  </w:footnote>
  <w:footnote w:id="19">
    <w:p w14:paraId="4CEA11AD" w14:textId="777DBFD0" w:rsidR="00254916" w:rsidRPr="006E3654" w:rsidRDefault="00254916" w:rsidP="00A92580">
      <w:pPr>
        <w:pStyle w:val="FootnoteText"/>
      </w:pPr>
      <w:r>
        <w:tab/>
      </w:r>
      <w:r w:rsidRPr="00AB7D36">
        <w:rPr>
          <w:rStyle w:val="FootnoteReference"/>
        </w:rPr>
        <w:footnoteRef/>
      </w:r>
      <w:r>
        <w:tab/>
      </w:r>
      <w:r w:rsidRPr="0096345C">
        <w:t>See</w:t>
      </w:r>
      <w:r>
        <w:t xml:space="preserve">, for example, </w:t>
      </w:r>
      <w:r w:rsidRPr="0096345C">
        <w:t>communication</w:t>
      </w:r>
      <w:r>
        <w:t>s</w:t>
      </w:r>
      <w:r w:rsidRPr="0096345C">
        <w:t xml:space="preserve"> No. </w:t>
      </w:r>
      <w:r>
        <w:t>1520/</w:t>
      </w:r>
      <w:r w:rsidRPr="0067314F">
        <w:t>2006</w:t>
      </w:r>
      <w:r w:rsidRPr="0096345C">
        <w:t xml:space="preserve">, </w:t>
      </w:r>
      <w:r>
        <w:rPr>
          <w:i/>
        </w:rPr>
        <w:t>Mwamba v. Zambia</w:t>
      </w:r>
      <w:r w:rsidRPr="0096345C">
        <w:t xml:space="preserve">, Views adopted on </w:t>
      </w:r>
      <w:r>
        <w:t>10 March</w:t>
      </w:r>
      <w:r w:rsidRPr="0096345C">
        <w:t xml:space="preserve"> 2010, </w:t>
      </w:r>
      <w:proofErr w:type="gramStart"/>
      <w:r w:rsidRPr="0096345C">
        <w:t>para</w:t>
      </w:r>
      <w:proofErr w:type="gramEnd"/>
      <w:r w:rsidRPr="0096345C">
        <w:t xml:space="preserve">. </w:t>
      </w:r>
      <w:proofErr w:type="gramStart"/>
      <w:r>
        <w:t>6.4</w:t>
      </w:r>
      <w:proofErr w:type="gramEnd"/>
      <w:r>
        <w:t xml:space="preserve">; and No. 2218/2012, </w:t>
      </w:r>
      <w:proofErr w:type="spellStart"/>
      <w:r>
        <w:rPr>
          <w:i/>
        </w:rPr>
        <w:t>Abdullayev</w:t>
      </w:r>
      <w:proofErr w:type="spellEnd"/>
      <w:r>
        <w:rPr>
          <w:i/>
        </w:rPr>
        <w:t xml:space="preserve"> v. Turkmenistan</w:t>
      </w:r>
      <w:r>
        <w:t>, Views adopted on 25 March 2015, para. 7.3.</w:t>
      </w:r>
    </w:p>
  </w:footnote>
  <w:footnote w:id="20">
    <w:p w14:paraId="4AB4F9E8" w14:textId="48B5CAF1" w:rsidR="00254916" w:rsidRPr="0096345C" w:rsidRDefault="00254916" w:rsidP="00A92580">
      <w:pPr>
        <w:pStyle w:val="FootnoteText"/>
      </w:pPr>
      <w:r>
        <w:tab/>
      </w:r>
      <w:r w:rsidRPr="00AB7D36">
        <w:rPr>
          <w:rStyle w:val="FootnoteReference"/>
        </w:rPr>
        <w:footnoteRef/>
      </w:r>
      <w:r>
        <w:tab/>
      </w:r>
      <w:r w:rsidRPr="0096345C">
        <w:t>See</w:t>
      </w:r>
      <w:r>
        <w:t xml:space="preserve">, for example, </w:t>
      </w:r>
      <w:r w:rsidRPr="0067314F">
        <w:t>communication</w:t>
      </w:r>
      <w:r>
        <w:t>s</w:t>
      </w:r>
      <w:r w:rsidRPr="0096345C">
        <w:t xml:space="preserve"> No. 1530/2006, </w:t>
      </w:r>
      <w:proofErr w:type="spellStart"/>
      <w:r w:rsidRPr="0096345C">
        <w:rPr>
          <w:i/>
        </w:rPr>
        <w:t>Bozbey</w:t>
      </w:r>
      <w:proofErr w:type="spellEnd"/>
      <w:r w:rsidRPr="0096345C">
        <w:rPr>
          <w:i/>
        </w:rPr>
        <w:t xml:space="preserve"> v. Turkmenistan</w:t>
      </w:r>
      <w:r w:rsidRPr="0096345C">
        <w:t>, Views adopted on 27</w:t>
      </w:r>
      <w:r w:rsidR="00C3190D">
        <w:t> </w:t>
      </w:r>
      <w:r w:rsidRPr="0096345C">
        <w:t xml:space="preserve">October 2010, </w:t>
      </w:r>
      <w:proofErr w:type="gramStart"/>
      <w:r w:rsidRPr="0096345C">
        <w:t>para</w:t>
      </w:r>
      <w:proofErr w:type="gramEnd"/>
      <w:r w:rsidRPr="0096345C">
        <w:t xml:space="preserve">. </w:t>
      </w:r>
      <w:proofErr w:type="gramStart"/>
      <w:r w:rsidRPr="0096345C">
        <w:t>7.3</w:t>
      </w:r>
      <w:proofErr w:type="gramEnd"/>
      <w:r>
        <w:t>;</w:t>
      </w:r>
      <w:r w:rsidRPr="003C6761">
        <w:t xml:space="preserve"> </w:t>
      </w:r>
      <w:proofErr w:type="spellStart"/>
      <w:r w:rsidRPr="0071562B">
        <w:rPr>
          <w:i/>
        </w:rPr>
        <w:t>Abdullayev</w:t>
      </w:r>
      <w:proofErr w:type="spellEnd"/>
      <w:r w:rsidRPr="0071562B">
        <w:rPr>
          <w:i/>
        </w:rPr>
        <w:t xml:space="preserve"> v. Turkmenistan</w:t>
      </w:r>
      <w:r>
        <w:t xml:space="preserve">, para. </w:t>
      </w:r>
      <w:proofErr w:type="gramStart"/>
      <w:r>
        <w:t>7.3</w:t>
      </w:r>
      <w:proofErr w:type="gramEnd"/>
      <w:r>
        <w:t xml:space="preserve">; </w:t>
      </w:r>
      <w:r w:rsidRPr="00DB5C15">
        <w:t xml:space="preserve">No. 2221/2012, </w:t>
      </w:r>
      <w:r w:rsidRPr="00DB5C15">
        <w:rPr>
          <w:i/>
        </w:rPr>
        <w:t xml:space="preserve">Mahmud </w:t>
      </w:r>
      <w:proofErr w:type="spellStart"/>
      <w:r w:rsidRPr="00DB5C15">
        <w:rPr>
          <w:i/>
        </w:rPr>
        <w:t>Hudaybergenov</w:t>
      </w:r>
      <w:proofErr w:type="spellEnd"/>
      <w:r w:rsidRPr="00DB5C15">
        <w:rPr>
          <w:i/>
        </w:rPr>
        <w:t xml:space="preserve"> v. Turkmenistan</w:t>
      </w:r>
      <w:r w:rsidRPr="00DB5C15">
        <w:t xml:space="preserve">, Views adopted on 29 October 2015, para. </w:t>
      </w:r>
      <w:proofErr w:type="gramStart"/>
      <w:r w:rsidRPr="00DB5C15">
        <w:t>7.3</w:t>
      </w:r>
      <w:proofErr w:type="gramEnd"/>
      <w:r w:rsidRPr="00DB5C15">
        <w:t xml:space="preserve">; No. 2222/2012, </w:t>
      </w:r>
      <w:r w:rsidRPr="00DB5C15">
        <w:rPr>
          <w:i/>
        </w:rPr>
        <w:t xml:space="preserve">Ahmet </w:t>
      </w:r>
      <w:proofErr w:type="spellStart"/>
      <w:r w:rsidRPr="00DB5C15">
        <w:rPr>
          <w:i/>
        </w:rPr>
        <w:t>Hudaybergenov</w:t>
      </w:r>
      <w:proofErr w:type="spellEnd"/>
      <w:r w:rsidRPr="00DB5C15">
        <w:rPr>
          <w:i/>
        </w:rPr>
        <w:t xml:space="preserve"> v. Turkmenistan</w:t>
      </w:r>
      <w:r w:rsidRPr="00DB5C15">
        <w:t xml:space="preserve">, Views adopted on 29 October 2015, para. </w:t>
      </w:r>
      <w:proofErr w:type="gramStart"/>
      <w:r w:rsidRPr="00DB5C15">
        <w:t>7.3</w:t>
      </w:r>
      <w:proofErr w:type="gramEnd"/>
      <w:r w:rsidRPr="00DB5C15">
        <w:t>; and No.</w:t>
      </w:r>
      <w:r w:rsidR="00C3190D">
        <w:t> </w:t>
      </w:r>
      <w:r w:rsidRPr="00DB5C15">
        <w:t xml:space="preserve">2223/2012, </w:t>
      </w:r>
      <w:proofErr w:type="spellStart"/>
      <w:r w:rsidRPr="00DB5C15">
        <w:rPr>
          <w:i/>
        </w:rPr>
        <w:t>Japparow</w:t>
      </w:r>
      <w:proofErr w:type="spellEnd"/>
      <w:r w:rsidRPr="00DB5C15">
        <w:rPr>
          <w:i/>
        </w:rPr>
        <w:t xml:space="preserve"> v. Turkmenistan</w:t>
      </w:r>
      <w:r w:rsidRPr="00DB5C15">
        <w:t>, Views adopted on 29 October 2015, para. 7.3.</w:t>
      </w:r>
    </w:p>
  </w:footnote>
  <w:footnote w:id="21">
    <w:p w14:paraId="16F526FD" w14:textId="511426F1" w:rsidR="00254916" w:rsidRPr="003E2AC2" w:rsidRDefault="00254916" w:rsidP="00A5649B">
      <w:pPr>
        <w:pStyle w:val="FootnoteText"/>
      </w:pPr>
      <w:r>
        <w:tab/>
      </w:r>
      <w:r w:rsidRPr="00AB7D36">
        <w:rPr>
          <w:rStyle w:val="FootnoteReference"/>
        </w:rPr>
        <w:footnoteRef/>
      </w:r>
      <w:r>
        <w:tab/>
      </w:r>
      <w:r w:rsidRPr="003E2AC2">
        <w:t>See communication</w:t>
      </w:r>
      <w:r>
        <w:t>s</w:t>
      </w:r>
      <w:r w:rsidRPr="003E2AC2">
        <w:t xml:space="preserve"> No</w:t>
      </w:r>
      <w:r w:rsidR="001B2535">
        <w:t>s</w:t>
      </w:r>
      <w:r w:rsidRPr="003E2AC2">
        <w:t xml:space="preserve">. 1321/2004 and 1322/2004, </w:t>
      </w:r>
      <w:r w:rsidRPr="001002BF">
        <w:rPr>
          <w:i/>
        </w:rPr>
        <w:t>Yeo-Bum Yoon and Myung-</w:t>
      </w:r>
      <w:proofErr w:type="spellStart"/>
      <w:r w:rsidRPr="001002BF">
        <w:rPr>
          <w:i/>
        </w:rPr>
        <w:t>Jin</w:t>
      </w:r>
      <w:proofErr w:type="spellEnd"/>
      <w:r w:rsidRPr="001002BF">
        <w:rPr>
          <w:i/>
        </w:rPr>
        <w:t xml:space="preserve"> Choi v. Republic of Korea</w:t>
      </w:r>
      <w:r w:rsidRPr="003E2AC2">
        <w:t xml:space="preserve">, Views adopted on 3 November 2006, </w:t>
      </w:r>
      <w:proofErr w:type="gramStart"/>
      <w:r w:rsidRPr="003E2AC2">
        <w:t>para</w:t>
      </w:r>
      <w:proofErr w:type="gramEnd"/>
      <w:r w:rsidRPr="003E2AC2">
        <w:t xml:space="preserve">. </w:t>
      </w:r>
      <w:proofErr w:type="gramStart"/>
      <w:r w:rsidRPr="003E2AC2">
        <w:t>8.3</w:t>
      </w:r>
      <w:proofErr w:type="gramEnd"/>
      <w:r w:rsidRPr="003E2AC2">
        <w:t xml:space="preserve">; No. 1786/2008, </w:t>
      </w:r>
      <w:r w:rsidRPr="001002BF">
        <w:rPr>
          <w:i/>
        </w:rPr>
        <w:t>Jong-</w:t>
      </w:r>
      <w:proofErr w:type="spellStart"/>
      <w:r w:rsidRPr="001002BF">
        <w:rPr>
          <w:i/>
        </w:rPr>
        <w:t>nam</w:t>
      </w:r>
      <w:proofErr w:type="spellEnd"/>
      <w:r w:rsidRPr="001002BF">
        <w:rPr>
          <w:i/>
        </w:rPr>
        <w:t xml:space="preserve"> Kim et al. v.</w:t>
      </w:r>
      <w:r w:rsidR="00175007">
        <w:rPr>
          <w:i/>
        </w:rPr>
        <w:t> </w:t>
      </w:r>
      <w:r w:rsidRPr="001002BF">
        <w:rPr>
          <w:i/>
        </w:rPr>
        <w:t>Republic of Korea</w:t>
      </w:r>
      <w:r w:rsidRPr="003E2AC2">
        <w:t xml:space="preserve">, Views adopted on 25 October 2012, para. </w:t>
      </w:r>
      <w:proofErr w:type="gramStart"/>
      <w:r w:rsidRPr="003E2AC2">
        <w:t>7.3</w:t>
      </w:r>
      <w:proofErr w:type="gramEnd"/>
      <w:r>
        <w:t xml:space="preserve">; </w:t>
      </w:r>
      <w:proofErr w:type="spellStart"/>
      <w:r w:rsidRPr="007D265D">
        <w:rPr>
          <w:i/>
        </w:rPr>
        <w:t>Atasoy</w:t>
      </w:r>
      <w:proofErr w:type="spellEnd"/>
      <w:r w:rsidRPr="007D265D">
        <w:rPr>
          <w:i/>
        </w:rPr>
        <w:t xml:space="preserve"> and </w:t>
      </w:r>
      <w:proofErr w:type="spellStart"/>
      <w:r w:rsidRPr="007D265D">
        <w:rPr>
          <w:i/>
        </w:rPr>
        <w:t>Sarkut</w:t>
      </w:r>
      <w:proofErr w:type="spellEnd"/>
      <w:r w:rsidRPr="007D265D">
        <w:rPr>
          <w:i/>
        </w:rPr>
        <w:t xml:space="preserve"> v. Turkey</w:t>
      </w:r>
      <w:r w:rsidRPr="007D265D">
        <w:t>, paras.</w:t>
      </w:r>
      <w:r w:rsidR="00C3190D">
        <w:t> </w:t>
      </w:r>
      <w:r w:rsidRPr="007D265D">
        <w:t xml:space="preserve">10.4 and 10.5; No. 2179/2012, </w:t>
      </w:r>
      <w:r w:rsidRPr="007D265D">
        <w:rPr>
          <w:i/>
        </w:rPr>
        <w:t>Young-</w:t>
      </w:r>
      <w:proofErr w:type="spellStart"/>
      <w:r w:rsidRPr="007D265D">
        <w:rPr>
          <w:i/>
        </w:rPr>
        <w:t>kwan</w:t>
      </w:r>
      <w:proofErr w:type="spellEnd"/>
      <w:r w:rsidRPr="007D265D">
        <w:rPr>
          <w:i/>
        </w:rPr>
        <w:t xml:space="preserve"> Kim et al. v. Republic of Korea</w:t>
      </w:r>
      <w:r w:rsidRPr="007D265D">
        <w:t xml:space="preserve">, Views adopted on 15 October 2014, para. </w:t>
      </w:r>
      <w:proofErr w:type="gramStart"/>
      <w:r w:rsidRPr="007D265D">
        <w:t>7.4</w:t>
      </w:r>
      <w:proofErr w:type="gramEnd"/>
      <w:r w:rsidRPr="007D265D">
        <w:t xml:space="preserve">; </w:t>
      </w:r>
      <w:proofErr w:type="spellStart"/>
      <w:r w:rsidRPr="007D265D">
        <w:rPr>
          <w:i/>
        </w:rPr>
        <w:t>Abdullayev</w:t>
      </w:r>
      <w:proofErr w:type="spellEnd"/>
      <w:r w:rsidRPr="007D265D">
        <w:rPr>
          <w:i/>
        </w:rPr>
        <w:t xml:space="preserve"> v. Turkmenistan</w:t>
      </w:r>
      <w:r w:rsidRPr="007D265D">
        <w:t xml:space="preserve">, para. </w:t>
      </w:r>
      <w:proofErr w:type="gramStart"/>
      <w:r w:rsidRPr="007D265D">
        <w:t>7.7</w:t>
      </w:r>
      <w:proofErr w:type="gramEnd"/>
      <w:r w:rsidRPr="007D265D">
        <w:t xml:space="preserve">; </w:t>
      </w:r>
      <w:r w:rsidRPr="007D265D">
        <w:rPr>
          <w:i/>
        </w:rPr>
        <w:t xml:space="preserve">Mahmud </w:t>
      </w:r>
      <w:proofErr w:type="spellStart"/>
      <w:r w:rsidRPr="007D265D">
        <w:rPr>
          <w:i/>
        </w:rPr>
        <w:t>Hudaybergenov</w:t>
      </w:r>
      <w:proofErr w:type="spellEnd"/>
      <w:r w:rsidRPr="007D265D">
        <w:rPr>
          <w:i/>
        </w:rPr>
        <w:t xml:space="preserve"> v.</w:t>
      </w:r>
      <w:r w:rsidR="008E2469">
        <w:rPr>
          <w:i/>
        </w:rPr>
        <w:t> </w:t>
      </w:r>
      <w:r w:rsidRPr="007D265D">
        <w:rPr>
          <w:i/>
        </w:rPr>
        <w:t>Turkmenistan</w:t>
      </w:r>
      <w:r w:rsidRPr="007D265D">
        <w:t xml:space="preserve">, para. </w:t>
      </w:r>
      <w:proofErr w:type="gramStart"/>
      <w:r w:rsidRPr="007D265D">
        <w:t>7.5</w:t>
      </w:r>
      <w:proofErr w:type="gramEnd"/>
      <w:r w:rsidRPr="007D265D">
        <w:t xml:space="preserve">; </w:t>
      </w:r>
      <w:r w:rsidRPr="007D265D">
        <w:rPr>
          <w:i/>
        </w:rPr>
        <w:t xml:space="preserve">Ahmet </w:t>
      </w:r>
      <w:proofErr w:type="spellStart"/>
      <w:r w:rsidRPr="007D265D">
        <w:rPr>
          <w:i/>
        </w:rPr>
        <w:t>Hudaybergenov</w:t>
      </w:r>
      <w:proofErr w:type="spellEnd"/>
      <w:r w:rsidRPr="007D265D">
        <w:rPr>
          <w:i/>
        </w:rPr>
        <w:t xml:space="preserve"> v. Turkmenistan</w:t>
      </w:r>
      <w:r w:rsidRPr="007D265D">
        <w:t xml:space="preserve">, para. </w:t>
      </w:r>
      <w:proofErr w:type="gramStart"/>
      <w:r w:rsidRPr="007D265D">
        <w:t>7.5</w:t>
      </w:r>
      <w:proofErr w:type="gramEnd"/>
      <w:r w:rsidRPr="007D265D">
        <w:t xml:space="preserve">; and </w:t>
      </w:r>
      <w:proofErr w:type="spellStart"/>
      <w:r w:rsidRPr="007D265D">
        <w:rPr>
          <w:i/>
        </w:rPr>
        <w:t>Japparow</w:t>
      </w:r>
      <w:proofErr w:type="spellEnd"/>
      <w:r w:rsidRPr="007D265D">
        <w:rPr>
          <w:i/>
        </w:rPr>
        <w:t xml:space="preserve"> v.</w:t>
      </w:r>
      <w:r w:rsidR="008E2469">
        <w:rPr>
          <w:i/>
        </w:rPr>
        <w:t> </w:t>
      </w:r>
      <w:r w:rsidRPr="007D265D">
        <w:rPr>
          <w:i/>
        </w:rPr>
        <w:t>Turkmenistan</w:t>
      </w:r>
      <w:r w:rsidRPr="007D265D">
        <w:t>, para. 7.6.</w:t>
      </w:r>
    </w:p>
  </w:footnote>
  <w:footnote w:id="22">
    <w:p w14:paraId="55E57EDE" w14:textId="5395C932" w:rsidR="00254916" w:rsidRPr="003E2AC2" w:rsidRDefault="00254916" w:rsidP="00A5649B">
      <w:pPr>
        <w:pStyle w:val="FootnoteText"/>
        <w:jc w:val="both"/>
      </w:pPr>
      <w:r>
        <w:tab/>
      </w:r>
      <w:r w:rsidRPr="00AB7D36">
        <w:rPr>
          <w:rStyle w:val="FootnoteReference"/>
        </w:rPr>
        <w:footnoteRef/>
      </w:r>
      <w:r w:rsidRPr="00F032CC">
        <w:tab/>
        <w:t>See communications No</w:t>
      </w:r>
      <w:r w:rsidR="001B2535" w:rsidRPr="00F032CC">
        <w:t>s</w:t>
      </w:r>
      <w:r w:rsidRPr="00F032CC">
        <w:t>. 1642-1741</w:t>
      </w:r>
      <w:r w:rsidR="00CB3209" w:rsidRPr="00F032CC">
        <w:t>/2007</w:t>
      </w:r>
      <w:r w:rsidRPr="00F032CC">
        <w:t xml:space="preserve">, </w:t>
      </w:r>
      <w:r w:rsidRPr="00F032CC">
        <w:rPr>
          <w:i/>
        </w:rPr>
        <w:t>Min-Kyu Jeong et al</w:t>
      </w:r>
      <w:r w:rsidR="00CB3209" w:rsidRPr="00F032CC">
        <w:rPr>
          <w:i/>
        </w:rPr>
        <w:t>.</w:t>
      </w:r>
      <w:r w:rsidRPr="00F032CC">
        <w:rPr>
          <w:i/>
        </w:rPr>
        <w:t xml:space="preserve"> v. </w:t>
      </w:r>
      <w:r w:rsidRPr="001002BF">
        <w:rPr>
          <w:i/>
        </w:rPr>
        <w:t>Republic of Korea</w:t>
      </w:r>
      <w:r w:rsidRPr="003E2AC2">
        <w:t xml:space="preserve">, Views adopted on 24 March 2011, </w:t>
      </w:r>
      <w:proofErr w:type="gramStart"/>
      <w:r w:rsidRPr="003E2AC2">
        <w:t>para</w:t>
      </w:r>
      <w:proofErr w:type="gramEnd"/>
      <w:r w:rsidRPr="003E2AC2">
        <w:t xml:space="preserve">. </w:t>
      </w:r>
      <w:proofErr w:type="gramStart"/>
      <w:r w:rsidRPr="003E2AC2">
        <w:t>7.3</w:t>
      </w:r>
      <w:proofErr w:type="gramEnd"/>
      <w:r w:rsidRPr="003E2AC2">
        <w:t xml:space="preserve">; </w:t>
      </w:r>
      <w:r w:rsidRPr="001002BF">
        <w:rPr>
          <w:i/>
        </w:rPr>
        <w:t>Jong-</w:t>
      </w:r>
      <w:proofErr w:type="spellStart"/>
      <w:r w:rsidRPr="001002BF">
        <w:rPr>
          <w:i/>
        </w:rPr>
        <w:t>nam</w:t>
      </w:r>
      <w:proofErr w:type="spellEnd"/>
      <w:r w:rsidRPr="001002BF">
        <w:rPr>
          <w:i/>
        </w:rPr>
        <w:t xml:space="preserve"> Kim et al. v. Republic of</w:t>
      </w:r>
      <w:r w:rsidRPr="003E2AC2">
        <w:t xml:space="preserve"> </w:t>
      </w:r>
      <w:r w:rsidRPr="005A51E5">
        <w:rPr>
          <w:i/>
          <w:iCs/>
        </w:rPr>
        <w:t>Korea</w:t>
      </w:r>
      <w:r w:rsidRPr="003E2AC2">
        <w:t>, para.</w:t>
      </w:r>
      <w:r w:rsidR="008E2469">
        <w:t> </w:t>
      </w:r>
      <w:proofErr w:type="gramStart"/>
      <w:r w:rsidRPr="006F5776">
        <w:t>7.4</w:t>
      </w:r>
      <w:proofErr w:type="gramEnd"/>
      <w:r w:rsidRPr="006F5776">
        <w:t xml:space="preserve">; </w:t>
      </w:r>
      <w:proofErr w:type="spellStart"/>
      <w:r w:rsidRPr="006F5776">
        <w:rPr>
          <w:i/>
        </w:rPr>
        <w:t>Abdullayev</w:t>
      </w:r>
      <w:proofErr w:type="spellEnd"/>
      <w:r w:rsidRPr="006F5776">
        <w:rPr>
          <w:i/>
        </w:rPr>
        <w:t xml:space="preserve"> v. Turkmenistan</w:t>
      </w:r>
      <w:r w:rsidRPr="006F5776">
        <w:t xml:space="preserve">, para. </w:t>
      </w:r>
      <w:proofErr w:type="gramStart"/>
      <w:r w:rsidRPr="006F5776">
        <w:t>7.7</w:t>
      </w:r>
      <w:proofErr w:type="gramEnd"/>
      <w:r w:rsidRPr="006F5776">
        <w:t xml:space="preserve">; </w:t>
      </w:r>
      <w:r w:rsidRPr="005A51E5">
        <w:rPr>
          <w:i/>
        </w:rPr>
        <w:t xml:space="preserve">Mahmud </w:t>
      </w:r>
      <w:proofErr w:type="spellStart"/>
      <w:r w:rsidRPr="005A51E5">
        <w:rPr>
          <w:i/>
        </w:rPr>
        <w:t>Hudaybergenov</w:t>
      </w:r>
      <w:proofErr w:type="spellEnd"/>
      <w:r w:rsidRPr="005A51E5">
        <w:rPr>
          <w:i/>
        </w:rPr>
        <w:t xml:space="preserve"> v. Turkmenistan</w:t>
      </w:r>
      <w:r w:rsidRPr="005A51E5">
        <w:t>, para.</w:t>
      </w:r>
      <w:r w:rsidR="008E2469">
        <w:t> </w:t>
      </w:r>
      <w:proofErr w:type="gramStart"/>
      <w:r w:rsidRPr="005A51E5">
        <w:t>7.5</w:t>
      </w:r>
      <w:proofErr w:type="gramEnd"/>
      <w:r w:rsidRPr="005A51E5">
        <w:t xml:space="preserve">; </w:t>
      </w:r>
      <w:r w:rsidRPr="005A51E5">
        <w:rPr>
          <w:i/>
        </w:rPr>
        <w:t xml:space="preserve">Ahmet </w:t>
      </w:r>
      <w:proofErr w:type="spellStart"/>
      <w:r w:rsidRPr="005A51E5">
        <w:rPr>
          <w:i/>
        </w:rPr>
        <w:t>Hudaybergenov</w:t>
      </w:r>
      <w:proofErr w:type="spellEnd"/>
      <w:r w:rsidRPr="005A51E5">
        <w:rPr>
          <w:i/>
        </w:rPr>
        <w:t xml:space="preserve"> v. Turkmenistan</w:t>
      </w:r>
      <w:r w:rsidRPr="005A51E5">
        <w:t xml:space="preserve">, para. </w:t>
      </w:r>
      <w:proofErr w:type="gramStart"/>
      <w:r w:rsidRPr="005A51E5">
        <w:t>7.5</w:t>
      </w:r>
      <w:proofErr w:type="gramEnd"/>
      <w:r w:rsidRPr="005A51E5">
        <w:t xml:space="preserve">; and </w:t>
      </w:r>
      <w:proofErr w:type="spellStart"/>
      <w:r w:rsidRPr="005A51E5">
        <w:rPr>
          <w:i/>
        </w:rPr>
        <w:t>Japparow</w:t>
      </w:r>
      <w:proofErr w:type="spellEnd"/>
      <w:r w:rsidRPr="005A51E5">
        <w:rPr>
          <w:i/>
        </w:rPr>
        <w:t xml:space="preserve"> v. Turkmenistan</w:t>
      </w:r>
      <w:r w:rsidRPr="005A51E5">
        <w:t xml:space="preserve">, para. </w:t>
      </w:r>
      <w:r w:rsidRPr="00245910">
        <w:rPr>
          <w:lang w:val="en-US"/>
        </w:rPr>
        <w:t>7.6.</w:t>
      </w:r>
    </w:p>
  </w:footnote>
  <w:footnote w:id="23">
    <w:p w14:paraId="6040E503" w14:textId="325DA69D" w:rsidR="00254916" w:rsidRPr="003E2AC2" w:rsidRDefault="00254916" w:rsidP="00A5649B">
      <w:pPr>
        <w:pStyle w:val="FootnoteText"/>
      </w:pPr>
      <w:r>
        <w:tab/>
      </w:r>
      <w:r w:rsidRPr="00AB7D36">
        <w:rPr>
          <w:rStyle w:val="FootnoteReference"/>
        </w:rPr>
        <w:footnoteRef/>
      </w:r>
      <w:r>
        <w:tab/>
      </w:r>
      <w:proofErr w:type="gramStart"/>
      <w:r w:rsidRPr="003E2AC2">
        <w:t xml:space="preserve">See </w:t>
      </w:r>
      <w:r w:rsidRPr="001002BF">
        <w:rPr>
          <w:i/>
        </w:rPr>
        <w:t>Min-</w:t>
      </w:r>
      <w:proofErr w:type="spellStart"/>
      <w:r w:rsidRPr="001002BF">
        <w:rPr>
          <w:i/>
        </w:rPr>
        <w:t>Kyu</w:t>
      </w:r>
      <w:proofErr w:type="spellEnd"/>
      <w:r w:rsidRPr="001002BF">
        <w:rPr>
          <w:i/>
        </w:rPr>
        <w:t xml:space="preserve"> </w:t>
      </w:r>
      <w:proofErr w:type="spellStart"/>
      <w:r w:rsidRPr="001002BF">
        <w:rPr>
          <w:i/>
        </w:rPr>
        <w:t>Jeong</w:t>
      </w:r>
      <w:proofErr w:type="spellEnd"/>
      <w:r w:rsidRPr="001002BF">
        <w:rPr>
          <w:i/>
        </w:rPr>
        <w:t xml:space="preserve"> et al</w:t>
      </w:r>
      <w:r w:rsidR="008F1442">
        <w:rPr>
          <w:i/>
        </w:rPr>
        <w:t>.</w:t>
      </w:r>
      <w:r w:rsidRPr="001002BF">
        <w:rPr>
          <w:i/>
        </w:rPr>
        <w:t xml:space="preserve"> v. Republic of Korea</w:t>
      </w:r>
      <w:r w:rsidRPr="003E2AC2">
        <w:t>, para.</w:t>
      </w:r>
      <w:proofErr w:type="gramEnd"/>
      <w:r w:rsidRPr="003E2AC2">
        <w:t xml:space="preserve"> </w:t>
      </w:r>
      <w:proofErr w:type="gramStart"/>
      <w:r w:rsidRPr="003E2AC2">
        <w:t>7.4</w:t>
      </w:r>
      <w:proofErr w:type="gramEnd"/>
      <w:r w:rsidRPr="003E2AC2">
        <w:t xml:space="preserve">; </w:t>
      </w:r>
      <w:r w:rsidRPr="001002BF">
        <w:rPr>
          <w:i/>
        </w:rPr>
        <w:t>Jong-</w:t>
      </w:r>
      <w:proofErr w:type="spellStart"/>
      <w:r w:rsidRPr="001002BF">
        <w:rPr>
          <w:i/>
        </w:rPr>
        <w:t>nam</w:t>
      </w:r>
      <w:proofErr w:type="spellEnd"/>
      <w:r w:rsidRPr="001002BF">
        <w:rPr>
          <w:i/>
        </w:rPr>
        <w:t xml:space="preserve"> Kim et al. v. Republic of Korea</w:t>
      </w:r>
      <w:r w:rsidRPr="003E2AC2">
        <w:t xml:space="preserve">, </w:t>
      </w:r>
      <w:r>
        <w:t xml:space="preserve">para. </w:t>
      </w:r>
      <w:proofErr w:type="gramStart"/>
      <w:r>
        <w:t>7.5</w:t>
      </w:r>
      <w:proofErr w:type="gramEnd"/>
      <w:r>
        <w:t xml:space="preserve">; </w:t>
      </w:r>
      <w:proofErr w:type="spellStart"/>
      <w:r w:rsidRPr="00C54A1B">
        <w:rPr>
          <w:i/>
        </w:rPr>
        <w:t>Atasoy</w:t>
      </w:r>
      <w:proofErr w:type="spellEnd"/>
      <w:r w:rsidRPr="00C54A1B">
        <w:rPr>
          <w:i/>
        </w:rPr>
        <w:t xml:space="preserve"> and </w:t>
      </w:r>
      <w:proofErr w:type="spellStart"/>
      <w:r w:rsidRPr="00C54A1B">
        <w:rPr>
          <w:i/>
        </w:rPr>
        <w:t>Sarkut</w:t>
      </w:r>
      <w:proofErr w:type="spellEnd"/>
      <w:r w:rsidRPr="00C54A1B">
        <w:rPr>
          <w:i/>
        </w:rPr>
        <w:t xml:space="preserve"> v. Turkey</w:t>
      </w:r>
      <w:r w:rsidRPr="00C54A1B">
        <w:t xml:space="preserve">, paras. 10.4 </w:t>
      </w:r>
      <w:proofErr w:type="gramStart"/>
      <w:r w:rsidRPr="00C54A1B">
        <w:t>and</w:t>
      </w:r>
      <w:proofErr w:type="gramEnd"/>
      <w:r w:rsidRPr="00C54A1B">
        <w:t xml:space="preserve"> 10.5; </w:t>
      </w:r>
      <w:r w:rsidRPr="001002BF">
        <w:rPr>
          <w:i/>
        </w:rPr>
        <w:t>Young-</w:t>
      </w:r>
      <w:proofErr w:type="spellStart"/>
      <w:r w:rsidRPr="001002BF">
        <w:rPr>
          <w:i/>
        </w:rPr>
        <w:t>kwan</w:t>
      </w:r>
      <w:proofErr w:type="spellEnd"/>
      <w:r w:rsidRPr="001002BF">
        <w:rPr>
          <w:i/>
        </w:rPr>
        <w:t xml:space="preserve"> Kim et al. v. Republic of Korea</w:t>
      </w:r>
      <w:r w:rsidRPr="003E2AC2">
        <w:t xml:space="preserve">, para. </w:t>
      </w:r>
      <w:proofErr w:type="gramStart"/>
      <w:r w:rsidRPr="006F5776">
        <w:t>7.4</w:t>
      </w:r>
      <w:proofErr w:type="gramEnd"/>
      <w:r w:rsidRPr="006F5776">
        <w:t xml:space="preserve">; </w:t>
      </w:r>
      <w:proofErr w:type="spellStart"/>
      <w:r w:rsidRPr="006F5776">
        <w:rPr>
          <w:i/>
        </w:rPr>
        <w:t>Abdullayev</w:t>
      </w:r>
      <w:proofErr w:type="spellEnd"/>
      <w:r w:rsidRPr="006F5776">
        <w:rPr>
          <w:i/>
        </w:rPr>
        <w:t xml:space="preserve"> v. Turkmenistan</w:t>
      </w:r>
      <w:r w:rsidRPr="006F5776">
        <w:t xml:space="preserve">, </w:t>
      </w:r>
      <w:r w:rsidRPr="00806E45">
        <w:t xml:space="preserve">para. </w:t>
      </w:r>
      <w:proofErr w:type="gramStart"/>
      <w:r w:rsidRPr="00806E45">
        <w:t>7.8</w:t>
      </w:r>
      <w:proofErr w:type="gramEnd"/>
      <w:r w:rsidRPr="00806E45">
        <w:t xml:space="preserve">; </w:t>
      </w:r>
      <w:r w:rsidRPr="00806E45">
        <w:rPr>
          <w:i/>
        </w:rPr>
        <w:t xml:space="preserve">Mahmud </w:t>
      </w:r>
      <w:proofErr w:type="spellStart"/>
      <w:r w:rsidRPr="00806E45">
        <w:rPr>
          <w:i/>
        </w:rPr>
        <w:t>Hudaybergenov</w:t>
      </w:r>
      <w:proofErr w:type="spellEnd"/>
      <w:r w:rsidRPr="00806E45">
        <w:rPr>
          <w:i/>
        </w:rPr>
        <w:t xml:space="preserve"> v. Turkmenistan</w:t>
      </w:r>
      <w:r w:rsidRPr="00806E45">
        <w:t xml:space="preserve">, para. </w:t>
      </w:r>
      <w:proofErr w:type="gramStart"/>
      <w:r w:rsidRPr="00806E45">
        <w:t>7.6</w:t>
      </w:r>
      <w:proofErr w:type="gramEnd"/>
      <w:r w:rsidRPr="00806E45">
        <w:t xml:space="preserve">; </w:t>
      </w:r>
      <w:r w:rsidRPr="00806E45">
        <w:rPr>
          <w:i/>
        </w:rPr>
        <w:t xml:space="preserve">Ahmet </w:t>
      </w:r>
      <w:proofErr w:type="spellStart"/>
      <w:r w:rsidRPr="00806E45">
        <w:rPr>
          <w:i/>
        </w:rPr>
        <w:t>Hudaybergenov</w:t>
      </w:r>
      <w:proofErr w:type="spellEnd"/>
      <w:r w:rsidRPr="00806E45">
        <w:rPr>
          <w:i/>
        </w:rPr>
        <w:t xml:space="preserve"> v. Turkmenistan</w:t>
      </w:r>
      <w:r w:rsidRPr="00806E45">
        <w:t xml:space="preserve">, para. </w:t>
      </w:r>
      <w:proofErr w:type="gramStart"/>
      <w:r w:rsidRPr="00806E45">
        <w:t>7.6</w:t>
      </w:r>
      <w:proofErr w:type="gramEnd"/>
      <w:r w:rsidRPr="00806E45">
        <w:t xml:space="preserve">; and </w:t>
      </w:r>
      <w:proofErr w:type="spellStart"/>
      <w:r w:rsidRPr="00806E45">
        <w:rPr>
          <w:i/>
        </w:rPr>
        <w:t>Japparow</w:t>
      </w:r>
      <w:proofErr w:type="spellEnd"/>
      <w:r w:rsidRPr="00806E45">
        <w:rPr>
          <w:i/>
        </w:rPr>
        <w:t xml:space="preserve"> v. Turkmenistan</w:t>
      </w:r>
      <w:r w:rsidRPr="00806E45">
        <w:t>, para.</w:t>
      </w:r>
      <w:r w:rsidR="00C3190D">
        <w:t> </w:t>
      </w:r>
      <w:r w:rsidRPr="00821D5E">
        <w:t>7.</w:t>
      </w:r>
      <w:r>
        <w:t>7.</w:t>
      </w:r>
    </w:p>
  </w:footnote>
  <w:footnote w:id="24">
    <w:p w14:paraId="349E802E" w14:textId="07C2A122" w:rsidR="00254916" w:rsidRPr="0099032B" w:rsidRDefault="00254916" w:rsidP="0067314F">
      <w:pPr>
        <w:pStyle w:val="FootnoteText"/>
      </w:pPr>
      <w:r>
        <w:tab/>
      </w:r>
      <w:r w:rsidRPr="00AB7D36">
        <w:rPr>
          <w:rStyle w:val="FootnoteReference"/>
        </w:rPr>
        <w:footnoteRef/>
      </w:r>
      <w:r>
        <w:tab/>
      </w:r>
      <w:r w:rsidR="008F1442">
        <w:t xml:space="preserve">See </w:t>
      </w:r>
      <w:r w:rsidRPr="00EB0708">
        <w:t>C</w:t>
      </w:r>
      <w:r w:rsidR="008F1442">
        <w:t>C</w:t>
      </w:r>
      <w:r w:rsidRPr="00EB0708">
        <w:t>PR/C/TKM/CO/1, para. 16.</w:t>
      </w:r>
    </w:p>
  </w:footnote>
  <w:footnote w:id="25">
    <w:p w14:paraId="3FA82141" w14:textId="522A1703" w:rsidR="00254916" w:rsidRPr="00524054" w:rsidRDefault="00254916" w:rsidP="00806E45">
      <w:pPr>
        <w:pStyle w:val="FootnoteText"/>
        <w:rPr>
          <w:lang w:val="en-US"/>
        </w:rPr>
      </w:pPr>
      <w:r>
        <w:tab/>
      </w:r>
      <w:r w:rsidRPr="00AB7D36">
        <w:rPr>
          <w:rStyle w:val="FootnoteReference"/>
        </w:rPr>
        <w:footnoteRef/>
      </w:r>
      <w:r>
        <w:tab/>
      </w:r>
      <w:proofErr w:type="gramStart"/>
      <w:r>
        <w:t xml:space="preserve">See communications No. 2019/2010, </w:t>
      </w:r>
      <w:proofErr w:type="spellStart"/>
      <w:r w:rsidRPr="00821D5E">
        <w:rPr>
          <w:i/>
        </w:rPr>
        <w:t>Poplavny</w:t>
      </w:r>
      <w:proofErr w:type="spellEnd"/>
      <w:r w:rsidRPr="00821D5E">
        <w:rPr>
          <w:i/>
        </w:rPr>
        <w:t xml:space="preserve"> v. Belarus</w:t>
      </w:r>
      <w:r>
        <w:t>, Views adopted on 5 November 2015, para.</w:t>
      </w:r>
      <w:proofErr w:type="gramEnd"/>
      <w:r w:rsidR="00E61124">
        <w:t> </w:t>
      </w:r>
      <w:proofErr w:type="gramStart"/>
      <w:r>
        <w:t>10</w:t>
      </w:r>
      <w:proofErr w:type="gramEnd"/>
      <w:r>
        <w:t xml:space="preserve">; and No. 1992/2010, </w:t>
      </w:r>
      <w:proofErr w:type="spellStart"/>
      <w:r w:rsidRPr="00821D5E">
        <w:rPr>
          <w:i/>
        </w:rPr>
        <w:t>Sudalenko</w:t>
      </w:r>
      <w:proofErr w:type="spellEnd"/>
      <w:r w:rsidRPr="00821D5E">
        <w:rPr>
          <w:i/>
        </w:rPr>
        <w:t xml:space="preserve"> v. Belarus</w:t>
      </w:r>
      <w:r>
        <w:t>, Views adopted on 27 March 2015, para. 10</w:t>
      </w:r>
      <w:r>
        <w:rPr>
          <w:rFonts w:ascii="Helv" w:hAnsi="Helv" w:cs="Helv"/>
        </w:rPr>
        <w:t>.</w:t>
      </w:r>
    </w:p>
  </w:footnote>
  <w:footnote w:id="26">
    <w:p w14:paraId="30108B76" w14:textId="05B17447" w:rsidR="00254916" w:rsidRPr="006F1C8B" w:rsidRDefault="00254916" w:rsidP="005A51E5">
      <w:pPr>
        <w:pStyle w:val="FootnoteText"/>
      </w:pPr>
      <w:r>
        <w:tab/>
      </w:r>
      <w:r w:rsidRPr="00AB7D36">
        <w:rPr>
          <w:rStyle w:val="FootnoteReference"/>
        </w:rPr>
        <w:footnoteRef/>
      </w:r>
      <w:r>
        <w:tab/>
      </w:r>
      <w:r w:rsidRPr="005A51E5">
        <w:rPr>
          <w:lang w:eastAsia="en-US"/>
        </w:rPr>
        <w:t xml:space="preserve">For details, see </w:t>
      </w:r>
      <w:proofErr w:type="spellStart"/>
      <w:r w:rsidRPr="005A51E5">
        <w:rPr>
          <w:i/>
          <w:iCs/>
          <w:lang w:eastAsia="en-US"/>
        </w:rPr>
        <w:t>Abdullayev</w:t>
      </w:r>
      <w:proofErr w:type="spellEnd"/>
      <w:r w:rsidRPr="005A51E5">
        <w:rPr>
          <w:i/>
          <w:iCs/>
          <w:lang w:eastAsia="en-US"/>
        </w:rPr>
        <w:t xml:space="preserve"> v. Turkmenistan</w:t>
      </w:r>
      <w:r w:rsidRPr="005A51E5">
        <w:rPr>
          <w:lang w:eastAsia="en-US"/>
        </w:rPr>
        <w:t xml:space="preserve">, </w:t>
      </w:r>
      <w:r w:rsidR="008F1442">
        <w:t xml:space="preserve">appendix </w:t>
      </w:r>
      <w:r w:rsidRPr="005A51E5">
        <w:rPr>
          <w:lang w:eastAsia="en-US"/>
        </w:rPr>
        <w:t>(joint opinion of Committee members Yuji</w:t>
      </w:r>
      <w:r w:rsidR="00E61124">
        <w:rPr>
          <w:lang w:eastAsia="en-US"/>
        </w:rPr>
        <w:t> </w:t>
      </w:r>
      <w:proofErr w:type="spellStart"/>
      <w:r w:rsidRPr="005A51E5">
        <w:rPr>
          <w:lang w:eastAsia="en-US"/>
        </w:rPr>
        <w:t>Iwasawa</w:t>
      </w:r>
      <w:proofErr w:type="spellEnd"/>
      <w:r w:rsidRPr="005A51E5">
        <w:rPr>
          <w:lang w:eastAsia="en-US"/>
        </w:rPr>
        <w:t>, Anja Seibert-</w:t>
      </w:r>
      <w:proofErr w:type="spellStart"/>
      <w:r w:rsidRPr="005A51E5">
        <w:rPr>
          <w:lang w:eastAsia="en-US"/>
        </w:rPr>
        <w:t>Fohr</w:t>
      </w:r>
      <w:proofErr w:type="spellEnd"/>
      <w:r w:rsidRPr="005A51E5">
        <w:rPr>
          <w:lang w:eastAsia="en-US"/>
        </w:rPr>
        <w:t xml:space="preserve">, Yuval </w:t>
      </w:r>
      <w:proofErr w:type="spellStart"/>
      <w:r w:rsidRPr="005A51E5">
        <w:rPr>
          <w:lang w:eastAsia="en-US"/>
        </w:rPr>
        <w:t>Shany</w:t>
      </w:r>
      <w:proofErr w:type="spellEnd"/>
      <w:r w:rsidRPr="005A51E5">
        <w:rPr>
          <w:lang w:eastAsia="en-US"/>
        </w:rPr>
        <w:t xml:space="preserve"> and </w:t>
      </w:r>
      <w:proofErr w:type="spellStart"/>
      <w:r w:rsidRPr="005A51E5">
        <w:rPr>
          <w:lang w:eastAsia="en-US"/>
        </w:rPr>
        <w:t>Konstantine</w:t>
      </w:r>
      <w:proofErr w:type="spellEnd"/>
      <w:r w:rsidRPr="005A51E5">
        <w:rPr>
          <w:lang w:eastAsia="en-US"/>
        </w:rPr>
        <w:t xml:space="preserve"> </w:t>
      </w:r>
      <w:proofErr w:type="spellStart"/>
      <w:r w:rsidRPr="005A51E5">
        <w:rPr>
          <w:lang w:eastAsia="en-US"/>
        </w:rPr>
        <w:t>Vardzelashvili</w:t>
      </w:r>
      <w:proofErr w:type="spellEnd"/>
      <w:r w:rsidRPr="005A51E5">
        <w:rPr>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5CFE" w14:textId="46C2AAF1" w:rsidR="00254916" w:rsidRDefault="00254916">
    <w:pPr>
      <w:pStyle w:val="Header"/>
    </w:pPr>
    <w:r>
      <w:t>CCPR/C/117/D/2219/2012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D936" w14:textId="3524AB14" w:rsidR="00254916" w:rsidRPr="00FA222B" w:rsidRDefault="00254916" w:rsidP="00FA222B">
    <w:pPr>
      <w:pStyle w:val="Header"/>
      <w:jc w:val="right"/>
    </w:pPr>
    <w:r>
      <w:t>CCPR/C/117/D/2219/2012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50DA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B950D1"/>
    <w:multiLevelType w:val="hybridMultilevel"/>
    <w:tmpl w:val="6CB0066A"/>
    <w:lvl w:ilvl="0" w:tplc="FDB83F3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pfletcher">
    <w15:presenceInfo w15:providerId="None" w15:userId="pipflet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2"/>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2B"/>
    <w:rsid w:val="00000B90"/>
    <w:rsid w:val="00000BDC"/>
    <w:rsid w:val="00000F65"/>
    <w:rsid w:val="00010774"/>
    <w:rsid w:val="00013EF9"/>
    <w:rsid w:val="00014BC3"/>
    <w:rsid w:val="0001542D"/>
    <w:rsid w:val="00021715"/>
    <w:rsid w:val="000240E3"/>
    <w:rsid w:val="000272B3"/>
    <w:rsid w:val="000277F6"/>
    <w:rsid w:val="000362FA"/>
    <w:rsid w:val="0004313F"/>
    <w:rsid w:val="00046398"/>
    <w:rsid w:val="00050F6B"/>
    <w:rsid w:val="00053073"/>
    <w:rsid w:val="00054F8D"/>
    <w:rsid w:val="00057E97"/>
    <w:rsid w:val="0006071C"/>
    <w:rsid w:val="00060C3A"/>
    <w:rsid w:val="000619CA"/>
    <w:rsid w:val="00067731"/>
    <w:rsid w:val="000725BA"/>
    <w:rsid w:val="00072C8C"/>
    <w:rsid w:val="000733B5"/>
    <w:rsid w:val="00074883"/>
    <w:rsid w:val="0007569B"/>
    <w:rsid w:val="00076B7E"/>
    <w:rsid w:val="00081815"/>
    <w:rsid w:val="0008728B"/>
    <w:rsid w:val="000931C0"/>
    <w:rsid w:val="00094460"/>
    <w:rsid w:val="000A2FE1"/>
    <w:rsid w:val="000A40AF"/>
    <w:rsid w:val="000A4A64"/>
    <w:rsid w:val="000B175B"/>
    <w:rsid w:val="000B3A0F"/>
    <w:rsid w:val="000B422B"/>
    <w:rsid w:val="000B4EF7"/>
    <w:rsid w:val="000C2C03"/>
    <w:rsid w:val="000C2D2E"/>
    <w:rsid w:val="000C67BE"/>
    <w:rsid w:val="000D5D5E"/>
    <w:rsid w:val="000E0415"/>
    <w:rsid w:val="000E16E7"/>
    <w:rsid w:val="000E3A56"/>
    <w:rsid w:val="000E473A"/>
    <w:rsid w:val="000E7FE7"/>
    <w:rsid w:val="000F3672"/>
    <w:rsid w:val="001002BF"/>
    <w:rsid w:val="00101905"/>
    <w:rsid w:val="00105EE0"/>
    <w:rsid w:val="001103AA"/>
    <w:rsid w:val="001106CE"/>
    <w:rsid w:val="00113D5A"/>
    <w:rsid w:val="0011512D"/>
    <w:rsid w:val="001213BD"/>
    <w:rsid w:val="00125FAA"/>
    <w:rsid w:val="00127743"/>
    <w:rsid w:val="00132E0A"/>
    <w:rsid w:val="0013510D"/>
    <w:rsid w:val="00143BE5"/>
    <w:rsid w:val="00146BC0"/>
    <w:rsid w:val="00153A9D"/>
    <w:rsid w:val="00156D06"/>
    <w:rsid w:val="00164B48"/>
    <w:rsid w:val="00165F3A"/>
    <w:rsid w:val="0017286E"/>
    <w:rsid w:val="001746F2"/>
    <w:rsid w:val="00175007"/>
    <w:rsid w:val="001764A6"/>
    <w:rsid w:val="001815AC"/>
    <w:rsid w:val="00183968"/>
    <w:rsid w:val="001852A4"/>
    <w:rsid w:val="00194538"/>
    <w:rsid w:val="00194EA2"/>
    <w:rsid w:val="00195440"/>
    <w:rsid w:val="001958F3"/>
    <w:rsid w:val="0019638E"/>
    <w:rsid w:val="00196B14"/>
    <w:rsid w:val="001A6686"/>
    <w:rsid w:val="001A7F36"/>
    <w:rsid w:val="001B05AC"/>
    <w:rsid w:val="001B0A4D"/>
    <w:rsid w:val="001B2535"/>
    <w:rsid w:val="001B4B04"/>
    <w:rsid w:val="001B511C"/>
    <w:rsid w:val="001C4E14"/>
    <w:rsid w:val="001C6663"/>
    <w:rsid w:val="001C7895"/>
    <w:rsid w:val="001D0C8C"/>
    <w:rsid w:val="001D24DA"/>
    <w:rsid w:val="001D26DF"/>
    <w:rsid w:val="001D3A03"/>
    <w:rsid w:val="001D4D0A"/>
    <w:rsid w:val="001E0998"/>
    <w:rsid w:val="001E10A7"/>
    <w:rsid w:val="001E1393"/>
    <w:rsid w:val="001E1D62"/>
    <w:rsid w:val="001E41D5"/>
    <w:rsid w:val="001E616B"/>
    <w:rsid w:val="001F4300"/>
    <w:rsid w:val="001F4677"/>
    <w:rsid w:val="00202550"/>
    <w:rsid w:val="00202DA8"/>
    <w:rsid w:val="00203EB3"/>
    <w:rsid w:val="00204934"/>
    <w:rsid w:val="002068B5"/>
    <w:rsid w:val="00207504"/>
    <w:rsid w:val="002103D5"/>
    <w:rsid w:val="00211E0B"/>
    <w:rsid w:val="00214E11"/>
    <w:rsid w:val="00214FC0"/>
    <w:rsid w:val="002164B8"/>
    <w:rsid w:val="00221D03"/>
    <w:rsid w:val="00223D1C"/>
    <w:rsid w:val="0022425D"/>
    <w:rsid w:val="0023210C"/>
    <w:rsid w:val="00232DAC"/>
    <w:rsid w:val="0023405A"/>
    <w:rsid w:val="002442D0"/>
    <w:rsid w:val="00245910"/>
    <w:rsid w:val="00247AE4"/>
    <w:rsid w:val="00250F49"/>
    <w:rsid w:val="002529A3"/>
    <w:rsid w:val="00254916"/>
    <w:rsid w:val="00254DE7"/>
    <w:rsid w:val="00255638"/>
    <w:rsid w:val="00262226"/>
    <w:rsid w:val="00267F5F"/>
    <w:rsid w:val="00272E2E"/>
    <w:rsid w:val="00274371"/>
    <w:rsid w:val="0027794E"/>
    <w:rsid w:val="00280AA1"/>
    <w:rsid w:val="00286227"/>
    <w:rsid w:val="00286B4D"/>
    <w:rsid w:val="00286D60"/>
    <w:rsid w:val="00292F31"/>
    <w:rsid w:val="002A01D7"/>
    <w:rsid w:val="002A06F8"/>
    <w:rsid w:val="002A499D"/>
    <w:rsid w:val="002A4D16"/>
    <w:rsid w:val="002B2D97"/>
    <w:rsid w:val="002C5EF9"/>
    <w:rsid w:val="002D1F12"/>
    <w:rsid w:val="002D523B"/>
    <w:rsid w:val="002D52CA"/>
    <w:rsid w:val="002E1344"/>
    <w:rsid w:val="002E67B8"/>
    <w:rsid w:val="002F175C"/>
    <w:rsid w:val="002F28CC"/>
    <w:rsid w:val="002F50C7"/>
    <w:rsid w:val="0030566B"/>
    <w:rsid w:val="003058CF"/>
    <w:rsid w:val="00313CF6"/>
    <w:rsid w:val="003229D8"/>
    <w:rsid w:val="00324FCB"/>
    <w:rsid w:val="00327023"/>
    <w:rsid w:val="00332C6C"/>
    <w:rsid w:val="00334639"/>
    <w:rsid w:val="00335670"/>
    <w:rsid w:val="0034194D"/>
    <w:rsid w:val="00343B6C"/>
    <w:rsid w:val="003449E4"/>
    <w:rsid w:val="00344A40"/>
    <w:rsid w:val="00352709"/>
    <w:rsid w:val="00360D81"/>
    <w:rsid w:val="003668AF"/>
    <w:rsid w:val="00367567"/>
    <w:rsid w:val="00367989"/>
    <w:rsid w:val="00371178"/>
    <w:rsid w:val="0037453E"/>
    <w:rsid w:val="003774D4"/>
    <w:rsid w:val="00381EC1"/>
    <w:rsid w:val="0038336C"/>
    <w:rsid w:val="003857E7"/>
    <w:rsid w:val="003858AD"/>
    <w:rsid w:val="00390DFA"/>
    <w:rsid w:val="00394C0B"/>
    <w:rsid w:val="003A52C0"/>
    <w:rsid w:val="003A5C27"/>
    <w:rsid w:val="003A6810"/>
    <w:rsid w:val="003B6F89"/>
    <w:rsid w:val="003C03B9"/>
    <w:rsid w:val="003C0BF6"/>
    <w:rsid w:val="003C2CC4"/>
    <w:rsid w:val="003C2FFC"/>
    <w:rsid w:val="003C3F44"/>
    <w:rsid w:val="003C6761"/>
    <w:rsid w:val="003D3DB4"/>
    <w:rsid w:val="003D4B23"/>
    <w:rsid w:val="003D68E0"/>
    <w:rsid w:val="003E0590"/>
    <w:rsid w:val="003F330A"/>
    <w:rsid w:val="003F3747"/>
    <w:rsid w:val="003F3B71"/>
    <w:rsid w:val="003F7C7A"/>
    <w:rsid w:val="00401846"/>
    <w:rsid w:val="004029A1"/>
    <w:rsid w:val="004067C6"/>
    <w:rsid w:val="00406DDB"/>
    <w:rsid w:val="00406F74"/>
    <w:rsid w:val="00410C89"/>
    <w:rsid w:val="004114A9"/>
    <w:rsid w:val="0041165D"/>
    <w:rsid w:val="00416525"/>
    <w:rsid w:val="0041695D"/>
    <w:rsid w:val="00424189"/>
    <w:rsid w:val="00426B9B"/>
    <w:rsid w:val="00432525"/>
    <w:rsid w:val="004325CB"/>
    <w:rsid w:val="00433DCB"/>
    <w:rsid w:val="00436B33"/>
    <w:rsid w:val="00436DBA"/>
    <w:rsid w:val="004412A2"/>
    <w:rsid w:val="00442A83"/>
    <w:rsid w:val="0044385A"/>
    <w:rsid w:val="00446A67"/>
    <w:rsid w:val="004510DF"/>
    <w:rsid w:val="00451105"/>
    <w:rsid w:val="0045495B"/>
    <w:rsid w:val="0045644D"/>
    <w:rsid w:val="0046499B"/>
    <w:rsid w:val="0047148C"/>
    <w:rsid w:val="00475EE5"/>
    <w:rsid w:val="0047707C"/>
    <w:rsid w:val="00477233"/>
    <w:rsid w:val="0048088F"/>
    <w:rsid w:val="004823BC"/>
    <w:rsid w:val="004826DE"/>
    <w:rsid w:val="00487488"/>
    <w:rsid w:val="00487D88"/>
    <w:rsid w:val="0049024E"/>
    <w:rsid w:val="004A1560"/>
    <w:rsid w:val="004A466A"/>
    <w:rsid w:val="004B01C6"/>
    <w:rsid w:val="004B04B2"/>
    <w:rsid w:val="004C75FF"/>
    <w:rsid w:val="004D3F85"/>
    <w:rsid w:val="004D68DB"/>
    <w:rsid w:val="004D6B34"/>
    <w:rsid w:val="004D78CA"/>
    <w:rsid w:val="004F2A3D"/>
    <w:rsid w:val="004F70B4"/>
    <w:rsid w:val="00503A36"/>
    <w:rsid w:val="005063E7"/>
    <w:rsid w:val="00506A88"/>
    <w:rsid w:val="005148E1"/>
    <w:rsid w:val="0052136D"/>
    <w:rsid w:val="00524054"/>
    <w:rsid w:val="005245DB"/>
    <w:rsid w:val="0052775E"/>
    <w:rsid w:val="0053274F"/>
    <w:rsid w:val="0054116A"/>
    <w:rsid w:val="005420F2"/>
    <w:rsid w:val="00547451"/>
    <w:rsid w:val="00547A18"/>
    <w:rsid w:val="00550028"/>
    <w:rsid w:val="00552E24"/>
    <w:rsid w:val="00557507"/>
    <w:rsid w:val="005628B6"/>
    <w:rsid w:val="00570A5B"/>
    <w:rsid w:val="00572ABF"/>
    <w:rsid w:val="00575E4E"/>
    <w:rsid w:val="00577A39"/>
    <w:rsid w:val="00581AD7"/>
    <w:rsid w:val="005848B3"/>
    <w:rsid w:val="005851A6"/>
    <w:rsid w:val="005852DD"/>
    <w:rsid w:val="00586045"/>
    <w:rsid w:val="00590F87"/>
    <w:rsid w:val="00592C4A"/>
    <w:rsid w:val="00593799"/>
    <w:rsid w:val="005940D1"/>
    <w:rsid w:val="005949A4"/>
    <w:rsid w:val="005A0BC4"/>
    <w:rsid w:val="005A51E5"/>
    <w:rsid w:val="005B0656"/>
    <w:rsid w:val="005B3DB3"/>
    <w:rsid w:val="005B62F3"/>
    <w:rsid w:val="005B6A73"/>
    <w:rsid w:val="005B769B"/>
    <w:rsid w:val="005D0E65"/>
    <w:rsid w:val="005D4026"/>
    <w:rsid w:val="005D6755"/>
    <w:rsid w:val="005D6FA0"/>
    <w:rsid w:val="005E681C"/>
    <w:rsid w:val="005F137D"/>
    <w:rsid w:val="005F7717"/>
    <w:rsid w:val="005F7B75"/>
    <w:rsid w:val="006001EE"/>
    <w:rsid w:val="00600AAA"/>
    <w:rsid w:val="00605042"/>
    <w:rsid w:val="00611FC4"/>
    <w:rsid w:val="00613094"/>
    <w:rsid w:val="00615547"/>
    <w:rsid w:val="006176FB"/>
    <w:rsid w:val="0062240A"/>
    <w:rsid w:val="00627E66"/>
    <w:rsid w:val="00640B26"/>
    <w:rsid w:val="00643442"/>
    <w:rsid w:val="006507B8"/>
    <w:rsid w:val="00652D0A"/>
    <w:rsid w:val="0065420D"/>
    <w:rsid w:val="00662ABF"/>
    <w:rsid w:val="00662BB6"/>
    <w:rsid w:val="00667C48"/>
    <w:rsid w:val="0067314F"/>
    <w:rsid w:val="00673B5C"/>
    <w:rsid w:val="006819EE"/>
    <w:rsid w:val="00684C21"/>
    <w:rsid w:val="0068527D"/>
    <w:rsid w:val="0069285F"/>
    <w:rsid w:val="00693E6D"/>
    <w:rsid w:val="006B6368"/>
    <w:rsid w:val="006B67E5"/>
    <w:rsid w:val="006C215C"/>
    <w:rsid w:val="006D2239"/>
    <w:rsid w:val="006D37AF"/>
    <w:rsid w:val="006D51D0"/>
    <w:rsid w:val="006E564B"/>
    <w:rsid w:val="006E6665"/>
    <w:rsid w:val="006E7191"/>
    <w:rsid w:val="006F4484"/>
    <w:rsid w:val="006F4587"/>
    <w:rsid w:val="006F45D5"/>
    <w:rsid w:val="006F56A6"/>
    <w:rsid w:val="006F5776"/>
    <w:rsid w:val="006F6C92"/>
    <w:rsid w:val="00703577"/>
    <w:rsid w:val="00707245"/>
    <w:rsid w:val="0071562B"/>
    <w:rsid w:val="007211F9"/>
    <w:rsid w:val="007225E7"/>
    <w:rsid w:val="0072632A"/>
    <w:rsid w:val="007327D5"/>
    <w:rsid w:val="00736433"/>
    <w:rsid w:val="00744B3A"/>
    <w:rsid w:val="007456C1"/>
    <w:rsid w:val="00747CAC"/>
    <w:rsid w:val="0075709C"/>
    <w:rsid w:val="00757824"/>
    <w:rsid w:val="00760CFF"/>
    <w:rsid w:val="007629C8"/>
    <w:rsid w:val="007640A2"/>
    <w:rsid w:val="0077082B"/>
    <w:rsid w:val="0077559B"/>
    <w:rsid w:val="007758EE"/>
    <w:rsid w:val="00775A8C"/>
    <w:rsid w:val="00781BF8"/>
    <w:rsid w:val="00785A34"/>
    <w:rsid w:val="0079144B"/>
    <w:rsid w:val="0079683A"/>
    <w:rsid w:val="007975B8"/>
    <w:rsid w:val="0079787F"/>
    <w:rsid w:val="007A31E3"/>
    <w:rsid w:val="007A5564"/>
    <w:rsid w:val="007A5DAC"/>
    <w:rsid w:val="007B27E8"/>
    <w:rsid w:val="007B6BA5"/>
    <w:rsid w:val="007C3390"/>
    <w:rsid w:val="007C4F4B"/>
    <w:rsid w:val="007C784F"/>
    <w:rsid w:val="007C7E4A"/>
    <w:rsid w:val="007D12E4"/>
    <w:rsid w:val="007D16AD"/>
    <w:rsid w:val="007D1CE5"/>
    <w:rsid w:val="007D1D8C"/>
    <w:rsid w:val="007D265D"/>
    <w:rsid w:val="007E0B2D"/>
    <w:rsid w:val="007E4C3E"/>
    <w:rsid w:val="007E7EF2"/>
    <w:rsid w:val="007F4D68"/>
    <w:rsid w:val="007F5E52"/>
    <w:rsid w:val="007F6611"/>
    <w:rsid w:val="00800BC0"/>
    <w:rsid w:val="0080221F"/>
    <w:rsid w:val="00805B2C"/>
    <w:rsid w:val="008068E7"/>
    <w:rsid w:val="00806E45"/>
    <w:rsid w:val="008105B8"/>
    <w:rsid w:val="00810AB3"/>
    <w:rsid w:val="00811A8A"/>
    <w:rsid w:val="00815435"/>
    <w:rsid w:val="00821C41"/>
    <w:rsid w:val="00821D5E"/>
    <w:rsid w:val="0082419E"/>
    <w:rsid w:val="008242D7"/>
    <w:rsid w:val="008257B1"/>
    <w:rsid w:val="00827FF3"/>
    <w:rsid w:val="00835DAB"/>
    <w:rsid w:val="008401AE"/>
    <w:rsid w:val="00841C25"/>
    <w:rsid w:val="00843767"/>
    <w:rsid w:val="00845A2E"/>
    <w:rsid w:val="008470EA"/>
    <w:rsid w:val="00850E4E"/>
    <w:rsid w:val="00853F90"/>
    <w:rsid w:val="00856CA4"/>
    <w:rsid w:val="00857C43"/>
    <w:rsid w:val="0086007B"/>
    <w:rsid w:val="008600D2"/>
    <w:rsid w:val="00864338"/>
    <w:rsid w:val="0086715C"/>
    <w:rsid w:val="008679D9"/>
    <w:rsid w:val="00884FAA"/>
    <w:rsid w:val="00891D98"/>
    <w:rsid w:val="008979B1"/>
    <w:rsid w:val="008A0F57"/>
    <w:rsid w:val="008A1DB2"/>
    <w:rsid w:val="008A6B25"/>
    <w:rsid w:val="008A6C4F"/>
    <w:rsid w:val="008A775F"/>
    <w:rsid w:val="008B2335"/>
    <w:rsid w:val="008B374D"/>
    <w:rsid w:val="008B72F9"/>
    <w:rsid w:val="008C0403"/>
    <w:rsid w:val="008C33E8"/>
    <w:rsid w:val="008D3F24"/>
    <w:rsid w:val="008D4603"/>
    <w:rsid w:val="008E00A2"/>
    <w:rsid w:val="008E0678"/>
    <w:rsid w:val="008E1C81"/>
    <w:rsid w:val="008E2469"/>
    <w:rsid w:val="008E35BE"/>
    <w:rsid w:val="008F0A61"/>
    <w:rsid w:val="008F1442"/>
    <w:rsid w:val="008F27F7"/>
    <w:rsid w:val="008F6B09"/>
    <w:rsid w:val="009032F1"/>
    <w:rsid w:val="00907147"/>
    <w:rsid w:val="009106DF"/>
    <w:rsid w:val="00910F40"/>
    <w:rsid w:val="009126D8"/>
    <w:rsid w:val="00912C08"/>
    <w:rsid w:val="00916DBA"/>
    <w:rsid w:val="009178A2"/>
    <w:rsid w:val="009223CA"/>
    <w:rsid w:val="009358D2"/>
    <w:rsid w:val="00936BF8"/>
    <w:rsid w:val="009407CB"/>
    <w:rsid w:val="00940F93"/>
    <w:rsid w:val="00941ADB"/>
    <w:rsid w:val="00947C02"/>
    <w:rsid w:val="009517FD"/>
    <w:rsid w:val="0095347F"/>
    <w:rsid w:val="00970686"/>
    <w:rsid w:val="00972A9C"/>
    <w:rsid w:val="009732F1"/>
    <w:rsid w:val="0097330D"/>
    <w:rsid w:val="009760F3"/>
    <w:rsid w:val="00977B17"/>
    <w:rsid w:val="0099032B"/>
    <w:rsid w:val="009909F5"/>
    <w:rsid w:val="00991603"/>
    <w:rsid w:val="009A0E8D"/>
    <w:rsid w:val="009A56F8"/>
    <w:rsid w:val="009B2698"/>
    <w:rsid w:val="009B26E7"/>
    <w:rsid w:val="009B7DAE"/>
    <w:rsid w:val="009C0696"/>
    <w:rsid w:val="009C1E64"/>
    <w:rsid w:val="009C2CB8"/>
    <w:rsid w:val="009C33E8"/>
    <w:rsid w:val="009C50D0"/>
    <w:rsid w:val="009C7608"/>
    <w:rsid w:val="009D3437"/>
    <w:rsid w:val="009E104D"/>
    <w:rsid w:val="009E2049"/>
    <w:rsid w:val="009E26E7"/>
    <w:rsid w:val="009E34A3"/>
    <w:rsid w:val="009E3712"/>
    <w:rsid w:val="009E4C3D"/>
    <w:rsid w:val="009E58E0"/>
    <w:rsid w:val="009F230D"/>
    <w:rsid w:val="00A00A3F"/>
    <w:rsid w:val="00A01489"/>
    <w:rsid w:val="00A10CAB"/>
    <w:rsid w:val="00A156BB"/>
    <w:rsid w:val="00A227D4"/>
    <w:rsid w:val="00A256FE"/>
    <w:rsid w:val="00A338F1"/>
    <w:rsid w:val="00A4091F"/>
    <w:rsid w:val="00A43858"/>
    <w:rsid w:val="00A44615"/>
    <w:rsid w:val="00A46DEF"/>
    <w:rsid w:val="00A51647"/>
    <w:rsid w:val="00A541B5"/>
    <w:rsid w:val="00A5649B"/>
    <w:rsid w:val="00A615C9"/>
    <w:rsid w:val="00A64180"/>
    <w:rsid w:val="00A70D58"/>
    <w:rsid w:val="00A72F22"/>
    <w:rsid w:val="00A7360F"/>
    <w:rsid w:val="00A748A6"/>
    <w:rsid w:val="00A76440"/>
    <w:rsid w:val="00A769F4"/>
    <w:rsid w:val="00A776B4"/>
    <w:rsid w:val="00A87F46"/>
    <w:rsid w:val="00A92580"/>
    <w:rsid w:val="00A94361"/>
    <w:rsid w:val="00AA191F"/>
    <w:rsid w:val="00AA293C"/>
    <w:rsid w:val="00AA3C75"/>
    <w:rsid w:val="00AA4DB4"/>
    <w:rsid w:val="00AA7F36"/>
    <w:rsid w:val="00AB0F36"/>
    <w:rsid w:val="00AB2CEB"/>
    <w:rsid w:val="00AB70D0"/>
    <w:rsid w:val="00AB7D36"/>
    <w:rsid w:val="00AD5C02"/>
    <w:rsid w:val="00AE30FA"/>
    <w:rsid w:val="00AE7960"/>
    <w:rsid w:val="00B04197"/>
    <w:rsid w:val="00B041A9"/>
    <w:rsid w:val="00B053D5"/>
    <w:rsid w:val="00B057F5"/>
    <w:rsid w:val="00B13E9B"/>
    <w:rsid w:val="00B14DA6"/>
    <w:rsid w:val="00B236A2"/>
    <w:rsid w:val="00B30179"/>
    <w:rsid w:val="00B339A7"/>
    <w:rsid w:val="00B37A97"/>
    <w:rsid w:val="00B41EED"/>
    <w:rsid w:val="00B4255B"/>
    <w:rsid w:val="00B457F0"/>
    <w:rsid w:val="00B56091"/>
    <w:rsid w:val="00B56E4A"/>
    <w:rsid w:val="00B56E9C"/>
    <w:rsid w:val="00B63EED"/>
    <w:rsid w:val="00B64B1F"/>
    <w:rsid w:val="00B6553F"/>
    <w:rsid w:val="00B66E5E"/>
    <w:rsid w:val="00B707A6"/>
    <w:rsid w:val="00B70EE8"/>
    <w:rsid w:val="00B72042"/>
    <w:rsid w:val="00B746AD"/>
    <w:rsid w:val="00B77D05"/>
    <w:rsid w:val="00B81206"/>
    <w:rsid w:val="00B81E12"/>
    <w:rsid w:val="00B875CA"/>
    <w:rsid w:val="00B9067B"/>
    <w:rsid w:val="00B92B13"/>
    <w:rsid w:val="00BA037A"/>
    <w:rsid w:val="00BA1549"/>
    <w:rsid w:val="00BA5EE8"/>
    <w:rsid w:val="00BC1127"/>
    <w:rsid w:val="00BC2C23"/>
    <w:rsid w:val="00BC5C62"/>
    <w:rsid w:val="00BC74E9"/>
    <w:rsid w:val="00BD1B14"/>
    <w:rsid w:val="00BD3CCC"/>
    <w:rsid w:val="00BD4A7A"/>
    <w:rsid w:val="00BE1811"/>
    <w:rsid w:val="00BE297A"/>
    <w:rsid w:val="00BE5B3E"/>
    <w:rsid w:val="00BF43D7"/>
    <w:rsid w:val="00BF476D"/>
    <w:rsid w:val="00BF68A8"/>
    <w:rsid w:val="00C05F42"/>
    <w:rsid w:val="00C11A03"/>
    <w:rsid w:val="00C11FDF"/>
    <w:rsid w:val="00C203DB"/>
    <w:rsid w:val="00C26FC0"/>
    <w:rsid w:val="00C3190D"/>
    <w:rsid w:val="00C463DD"/>
    <w:rsid w:val="00C4724C"/>
    <w:rsid w:val="00C51AA5"/>
    <w:rsid w:val="00C54A1B"/>
    <w:rsid w:val="00C56C38"/>
    <w:rsid w:val="00C61A80"/>
    <w:rsid w:val="00C629A0"/>
    <w:rsid w:val="00C631CC"/>
    <w:rsid w:val="00C67C01"/>
    <w:rsid w:val="00C745C3"/>
    <w:rsid w:val="00C767DA"/>
    <w:rsid w:val="00C83FAD"/>
    <w:rsid w:val="00C8488B"/>
    <w:rsid w:val="00C869D0"/>
    <w:rsid w:val="00C9018D"/>
    <w:rsid w:val="00C91717"/>
    <w:rsid w:val="00C91DCC"/>
    <w:rsid w:val="00C95794"/>
    <w:rsid w:val="00C96685"/>
    <w:rsid w:val="00CA1C55"/>
    <w:rsid w:val="00CA51EA"/>
    <w:rsid w:val="00CA6AA5"/>
    <w:rsid w:val="00CB3209"/>
    <w:rsid w:val="00CB3798"/>
    <w:rsid w:val="00CB6DA1"/>
    <w:rsid w:val="00CC2514"/>
    <w:rsid w:val="00CC470F"/>
    <w:rsid w:val="00CD3B75"/>
    <w:rsid w:val="00CE4A8F"/>
    <w:rsid w:val="00CE6F6F"/>
    <w:rsid w:val="00D0054D"/>
    <w:rsid w:val="00D04AC9"/>
    <w:rsid w:val="00D07DA4"/>
    <w:rsid w:val="00D1022C"/>
    <w:rsid w:val="00D2030A"/>
    <w:rsid w:val="00D2031B"/>
    <w:rsid w:val="00D21A6C"/>
    <w:rsid w:val="00D25FE2"/>
    <w:rsid w:val="00D366DE"/>
    <w:rsid w:val="00D37FC9"/>
    <w:rsid w:val="00D43252"/>
    <w:rsid w:val="00D47137"/>
    <w:rsid w:val="00D47EEA"/>
    <w:rsid w:val="00D503A8"/>
    <w:rsid w:val="00D534C3"/>
    <w:rsid w:val="00D545B4"/>
    <w:rsid w:val="00D61B44"/>
    <w:rsid w:val="00D701CD"/>
    <w:rsid w:val="00D7231A"/>
    <w:rsid w:val="00D76C24"/>
    <w:rsid w:val="00D77BFB"/>
    <w:rsid w:val="00D86BD4"/>
    <w:rsid w:val="00D90505"/>
    <w:rsid w:val="00D95303"/>
    <w:rsid w:val="00D978C6"/>
    <w:rsid w:val="00DA19A9"/>
    <w:rsid w:val="00DA272A"/>
    <w:rsid w:val="00DA3111"/>
    <w:rsid w:val="00DA3C1C"/>
    <w:rsid w:val="00DB0247"/>
    <w:rsid w:val="00DB0C79"/>
    <w:rsid w:val="00DB4089"/>
    <w:rsid w:val="00DB5C15"/>
    <w:rsid w:val="00DB7692"/>
    <w:rsid w:val="00DB76BB"/>
    <w:rsid w:val="00DB7AC2"/>
    <w:rsid w:val="00DC151E"/>
    <w:rsid w:val="00DC385B"/>
    <w:rsid w:val="00DD17C9"/>
    <w:rsid w:val="00DD7EC3"/>
    <w:rsid w:val="00DE1990"/>
    <w:rsid w:val="00DE247D"/>
    <w:rsid w:val="00DF23AC"/>
    <w:rsid w:val="00E0224F"/>
    <w:rsid w:val="00E03E1D"/>
    <w:rsid w:val="00E11310"/>
    <w:rsid w:val="00E1151A"/>
    <w:rsid w:val="00E12CCE"/>
    <w:rsid w:val="00E27346"/>
    <w:rsid w:val="00E304F1"/>
    <w:rsid w:val="00E438C1"/>
    <w:rsid w:val="00E446A0"/>
    <w:rsid w:val="00E47302"/>
    <w:rsid w:val="00E528B6"/>
    <w:rsid w:val="00E60098"/>
    <w:rsid w:val="00E61124"/>
    <w:rsid w:val="00E62147"/>
    <w:rsid w:val="00E71BC8"/>
    <w:rsid w:val="00E7260F"/>
    <w:rsid w:val="00E779FC"/>
    <w:rsid w:val="00E8344E"/>
    <w:rsid w:val="00E8362D"/>
    <w:rsid w:val="00E92E4A"/>
    <w:rsid w:val="00E96630"/>
    <w:rsid w:val="00EA161A"/>
    <w:rsid w:val="00EA37E5"/>
    <w:rsid w:val="00EA3F26"/>
    <w:rsid w:val="00EA4F4D"/>
    <w:rsid w:val="00EB2581"/>
    <w:rsid w:val="00EB2945"/>
    <w:rsid w:val="00ED1526"/>
    <w:rsid w:val="00ED7A2A"/>
    <w:rsid w:val="00EE6FC6"/>
    <w:rsid w:val="00EF06BB"/>
    <w:rsid w:val="00EF1D7F"/>
    <w:rsid w:val="00EF33F0"/>
    <w:rsid w:val="00EF4052"/>
    <w:rsid w:val="00EF4380"/>
    <w:rsid w:val="00EF4ADD"/>
    <w:rsid w:val="00EF6E96"/>
    <w:rsid w:val="00F02625"/>
    <w:rsid w:val="00F032CC"/>
    <w:rsid w:val="00F04D7A"/>
    <w:rsid w:val="00F1092F"/>
    <w:rsid w:val="00F12763"/>
    <w:rsid w:val="00F13179"/>
    <w:rsid w:val="00F16556"/>
    <w:rsid w:val="00F20C3D"/>
    <w:rsid w:val="00F21D25"/>
    <w:rsid w:val="00F23D8B"/>
    <w:rsid w:val="00F24FD3"/>
    <w:rsid w:val="00F3015F"/>
    <w:rsid w:val="00F43E9E"/>
    <w:rsid w:val="00F47811"/>
    <w:rsid w:val="00F47862"/>
    <w:rsid w:val="00F53397"/>
    <w:rsid w:val="00F67DC6"/>
    <w:rsid w:val="00F736FF"/>
    <w:rsid w:val="00F776FF"/>
    <w:rsid w:val="00F82C4A"/>
    <w:rsid w:val="00F837FF"/>
    <w:rsid w:val="00F83DD8"/>
    <w:rsid w:val="00F9057C"/>
    <w:rsid w:val="00F906D7"/>
    <w:rsid w:val="00F9110A"/>
    <w:rsid w:val="00F93781"/>
    <w:rsid w:val="00F93F2B"/>
    <w:rsid w:val="00F94CF8"/>
    <w:rsid w:val="00FA0BE8"/>
    <w:rsid w:val="00FA14DE"/>
    <w:rsid w:val="00FA222B"/>
    <w:rsid w:val="00FA3050"/>
    <w:rsid w:val="00FA6E37"/>
    <w:rsid w:val="00FA6F3E"/>
    <w:rsid w:val="00FB613B"/>
    <w:rsid w:val="00FB61EE"/>
    <w:rsid w:val="00FC68B7"/>
    <w:rsid w:val="00FD03CE"/>
    <w:rsid w:val="00FD10BA"/>
    <w:rsid w:val="00FD1F65"/>
    <w:rsid w:val="00FE0243"/>
    <w:rsid w:val="00FE106A"/>
    <w:rsid w:val="00FE241C"/>
    <w:rsid w:val="00FF53E2"/>
    <w:rsid w:val="00FF75F9"/>
    <w:rsid w:val="00FF7D0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14:docId w14:val="7A51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5063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5063E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A222B"/>
    <w:rPr>
      <w:rFonts w:eastAsia="SimSun"/>
      <w:sz w:val="18"/>
      <w:lang w:val="en-GB" w:eastAsia="zh-CN"/>
    </w:rPr>
  </w:style>
  <w:style w:type="character" w:customStyle="1" w:styleId="SingleTxtGChar">
    <w:name w:val="_ Single Txt_G Char"/>
    <w:link w:val="SingleTxtG"/>
    <w:rsid w:val="00FA222B"/>
    <w:rPr>
      <w:lang w:eastAsia="en-US"/>
    </w:rPr>
  </w:style>
  <w:style w:type="paragraph" w:styleId="BalloonText">
    <w:name w:val="Balloon Text"/>
    <w:basedOn w:val="Normal"/>
    <w:link w:val="BalloonTextChar"/>
    <w:rsid w:val="002D523B"/>
    <w:pPr>
      <w:spacing w:line="240" w:lineRule="auto"/>
    </w:pPr>
    <w:rPr>
      <w:rFonts w:ascii="Tahoma" w:hAnsi="Tahoma" w:cs="Tahoma"/>
      <w:sz w:val="16"/>
      <w:szCs w:val="16"/>
    </w:rPr>
  </w:style>
  <w:style w:type="character" w:customStyle="1" w:styleId="BalloonTextChar">
    <w:name w:val="Balloon Text Char"/>
    <w:link w:val="BalloonText"/>
    <w:rsid w:val="002D523B"/>
    <w:rPr>
      <w:rFonts w:ascii="Tahoma" w:hAnsi="Tahoma" w:cs="Tahoma"/>
      <w:sz w:val="16"/>
      <w:szCs w:val="16"/>
      <w:lang w:eastAsia="en-US"/>
    </w:rPr>
  </w:style>
  <w:style w:type="character" w:styleId="CommentReference">
    <w:name w:val="annotation reference"/>
    <w:basedOn w:val="DefaultParagraphFont"/>
    <w:rsid w:val="009E3712"/>
    <w:rPr>
      <w:sz w:val="16"/>
      <w:szCs w:val="16"/>
    </w:rPr>
  </w:style>
  <w:style w:type="paragraph" w:styleId="CommentText">
    <w:name w:val="annotation text"/>
    <w:basedOn w:val="Normal"/>
    <w:link w:val="CommentTextChar"/>
    <w:rsid w:val="009E3712"/>
  </w:style>
  <w:style w:type="character" w:customStyle="1" w:styleId="CommentTextChar">
    <w:name w:val="Comment Text Char"/>
    <w:basedOn w:val="DefaultParagraphFont"/>
    <w:link w:val="CommentText"/>
    <w:rsid w:val="009E3712"/>
    <w:rPr>
      <w:lang w:val="en-GB"/>
    </w:rPr>
  </w:style>
  <w:style w:type="paragraph" w:styleId="CommentSubject">
    <w:name w:val="annotation subject"/>
    <w:basedOn w:val="CommentText"/>
    <w:next w:val="CommentText"/>
    <w:link w:val="CommentSubjectChar"/>
    <w:rsid w:val="009E3712"/>
    <w:rPr>
      <w:b/>
      <w:bCs/>
    </w:rPr>
  </w:style>
  <w:style w:type="character" w:customStyle="1" w:styleId="CommentSubjectChar">
    <w:name w:val="Comment Subject Char"/>
    <w:basedOn w:val="CommentTextChar"/>
    <w:link w:val="CommentSubject"/>
    <w:rsid w:val="009E3712"/>
    <w:rPr>
      <w:b/>
      <w:bCs/>
      <w:lang w:val="en-GB"/>
    </w:rPr>
  </w:style>
  <w:style w:type="paragraph" w:styleId="Revision">
    <w:name w:val="Revision"/>
    <w:hidden/>
    <w:uiPriority w:val="71"/>
    <w:semiHidden/>
    <w:rsid w:val="007E4C3E"/>
    <w:rPr>
      <w:lang w:val="en-GB"/>
    </w:rPr>
  </w:style>
  <w:style w:type="character" w:customStyle="1" w:styleId="preferred">
    <w:name w:val="preferred"/>
    <w:basedOn w:val="DefaultParagraphFont"/>
    <w:rsid w:val="00785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5063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5063E7"/>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FA222B"/>
    <w:rPr>
      <w:rFonts w:eastAsia="SimSun"/>
      <w:sz w:val="18"/>
      <w:lang w:val="en-GB" w:eastAsia="zh-CN"/>
    </w:rPr>
  </w:style>
  <w:style w:type="character" w:customStyle="1" w:styleId="SingleTxtGChar">
    <w:name w:val="_ Single Txt_G Char"/>
    <w:link w:val="SingleTxtG"/>
    <w:rsid w:val="00FA222B"/>
    <w:rPr>
      <w:lang w:eastAsia="en-US"/>
    </w:rPr>
  </w:style>
  <w:style w:type="paragraph" w:styleId="BalloonText">
    <w:name w:val="Balloon Text"/>
    <w:basedOn w:val="Normal"/>
    <w:link w:val="BalloonTextChar"/>
    <w:rsid w:val="002D523B"/>
    <w:pPr>
      <w:spacing w:line="240" w:lineRule="auto"/>
    </w:pPr>
    <w:rPr>
      <w:rFonts w:ascii="Tahoma" w:hAnsi="Tahoma" w:cs="Tahoma"/>
      <w:sz w:val="16"/>
      <w:szCs w:val="16"/>
    </w:rPr>
  </w:style>
  <w:style w:type="character" w:customStyle="1" w:styleId="BalloonTextChar">
    <w:name w:val="Balloon Text Char"/>
    <w:link w:val="BalloonText"/>
    <w:rsid w:val="002D523B"/>
    <w:rPr>
      <w:rFonts w:ascii="Tahoma" w:hAnsi="Tahoma" w:cs="Tahoma"/>
      <w:sz w:val="16"/>
      <w:szCs w:val="16"/>
      <w:lang w:eastAsia="en-US"/>
    </w:rPr>
  </w:style>
  <w:style w:type="character" w:styleId="CommentReference">
    <w:name w:val="annotation reference"/>
    <w:basedOn w:val="DefaultParagraphFont"/>
    <w:rsid w:val="009E3712"/>
    <w:rPr>
      <w:sz w:val="16"/>
      <w:szCs w:val="16"/>
    </w:rPr>
  </w:style>
  <w:style w:type="paragraph" w:styleId="CommentText">
    <w:name w:val="annotation text"/>
    <w:basedOn w:val="Normal"/>
    <w:link w:val="CommentTextChar"/>
    <w:rsid w:val="009E3712"/>
  </w:style>
  <w:style w:type="character" w:customStyle="1" w:styleId="CommentTextChar">
    <w:name w:val="Comment Text Char"/>
    <w:basedOn w:val="DefaultParagraphFont"/>
    <w:link w:val="CommentText"/>
    <w:rsid w:val="009E3712"/>
    <w:rPr>
      <w:lang w:val="en-GB"/>
    </w:rPr>
  </w:style>
  <w:style w:type="paragraph" w:styleId="CommentSubject">
    <w:name w:val="annotation subject"/>
    <w:basedOn w:val="CommentText"/>
    <w:next w:val="CommentText"/>
    <w:link w:val="CommentSubjectChar"/>
    <w:rsid w:val="009E3712"/>
    <w:rPr>
      <w:b/>
      <w:bCs/>
    </w:rPr>
  </w:style>
  <w:style w:type="character" w:customStyle="1" w:styleId="CommentSubjectChar">
    <w:name w:val="Comment Subject Char"/>
    <w:basedOn w:val="CommentTextChar"/>
    <w:link w:val="CommentSubject"/>
    <w:rsid w:val="009E3712"/>
    <w:rPr>
      <w:b/>
      <w:bCs/>
      <w:lang w:val="en-GB"/>
    </w:rPr>
  </w:style>
  <w:style w:type="paragraph" w:styleId="Revision">
    <w:name w:val="Revision"/>
    <w:hidden/>
    <w:uiPriority w:val="71"/>
    <w:semiHidden/>
    <w:rsid w:val="007E4C3E"/>
    <w:rPr>
      <w:lang w:val="en-GB"/>
    </w:rPr>
  </w:style>
  <w:style w:type="character" w:customStyle="1" w:styleId="preferred">
    <w:name w:val="preferred"/>
    <w:basedOn w:val="DefaultParagraphFont"/>
    <w:rsid w:val="0078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73979">
      <w:bodyDiv w:val="1"/>
      <w:marLeft w:val="0"/>
      <w:marRight w:val="0"/>
      <w:marTop w:val="0"/>
      <w:marBottom w:val="0"/>
      <w:divBdr>
        <w:top w:val="none" w:sz="0" w:space="0" w:color="auto"/>
        <w:left w:val="none" w:sz="0" w:space="0" w:color="auto"/>
        <w:bottom w:val="none" w:sz="0" w:space="0" w:color="auto"/>
        <w:right w:val="none" w:sz="0" w:space="0" w:color="auto"/>
      </w:divBdr>
    </w:div>
    <w:div w:id="969869738">
      <w:bodyDiv w:val="1"/>
      <w:marLeft w:val="0"/>
      <w:marRight w:val="0"/>
      <w:marTop w:val="0"/>
      <w:marBottom w:val="0"/>
      <w:divBdr>
        <w:top w:val="none" w:sz="0" w:space="0" w:color="auto"/>
        <w:left w:val="none" w:sz="0" w:space="0" w:color="auto"/>
        <w:bottom w:val="none" w:sz="0" w:space="0" w:color="auto"/>
        <w:right w:val="none" w:sz="0" w:space="0" w:color="auto"/>
      </w:divBdr>
    </w:div>
    <w:div w:id="1821849019">
      <w:bodyDiv w:val="1"/>
      <w:marLeft w:val="0"/>
      <w:marRight w:val="0"/>
      <w:marTop w:val="0"/>
      <w:marBottom w:val="0"/>
      <w:divBdr>
        <w:top w:val="none" w:sz="0" w:space="0" w:color="auto"/>
        <w:left w:val="none" w:sz="0" w:space="0" w:color="auto"/>
        <w:bottom w:val="none" w:sz="0" w:space="0" w:color="auto"/>
        <w:right w:val="none" w:sz="0" w:space="0" w:color="auto"/>
      </w:divBdr>
    </w:div>
    <w:div w:id="199113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FDC2B10BE57D48A4924B8DFA32C76F" ma:contentTypeVersion="0" ma:contentTypeDescription="Create a new document." ma:contentTypeScope="" ma:versionID="f7d75df24e2811a4c55f6ad60dc4ca7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9682-E1B1-4D99-968C-71CD85C5EC0E}">
  <ds:schemaRefs>
    <ds:schemaRef ds:uri="http://schemas.microsoft.com/sharepoint/v3/contenttype/forms"/>
  </ds:schemaRefs>
</ds:datastoreItem>
</file>

<file path=customXml/itemProps2.xml><?xml version="1.0" encoding="utf-8"?>
<ds:datastoreItem xmlns:ds="http://schemas.openxmlformats.org/officeDocument/2006/customXml" ds:itemID="{61E49D13-F380-4B91-A1CE-8D3DA9463C46}">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99F0EF77-5AE2-4075-AF67-1A4E91F80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4B9F68-9426-4C43-B93B-A80FA2FE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12</Pages>
  <Words>4839</Words>
  <Characters>25022</Characters>
  <Application>Microsoft Office Word</Application>
  <DocSecurity>0</DocSecurity>
  <Lines>386</Lines>
  <Paragraphs>69</Paragraphs>
  <ScaleCrop>false</ScaleCrop>
  <HeadingPairs>
    <vt:vector size="2" baseType="variant">
      <vt:variant>
        <vt:lpstr>Title</vt:lpstr>
      </vt:variant>
      <vt:variant>
        <vt:i4>1</vt:i4>
      </vt:variant>
    </vt:vector>
  </HeadingPairs>
  <TitlesOfParts>
    <vt:vector size="1" baseType="lpstr">
      <vt:lpstr>1610172</vt:lpstr>
    </vt:vector>
  </TitlesOfParts>
  <Company>CSD</Company>
  <LinksUpToDate>false</LinksUpToDate>
  <CharactersWithSpaces>29838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1616479</dc:title>
  <dc:subject>CCPR/C/117/D/2219/2012</dc:subject>
  <dc:creator>Viktoria Saprykina-Houdemer</dc:creator>
  <cp:keywords/>
  <dc:description/>
  <cp:lastModifiedBy>PDF ENG</cp:lastModifiedBy>
  <cp:revision>2</cp:revision>
  <cp:lastPrinted>2016-09-23T12:46:00Z</cp:lastPrinted>
  <dcterms:created xsi:type="dcterms:W3CDTF">2016-09-26T09:01:00Z</dcterms:created>
  <dcterms:modified xsi:type="dcterms:W3CDTF">2016-09-26T09:01:00Z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0x01010085FDC2B10BE57D48A4924B8DFA32C76F</vt:lpwstr>
  </property>
</Properties>
</file>