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1E2BB1"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1E2BB1" w:rsidRDefault="00B56E9C" w:rsidP="00B6553F">
            <w:pPr>
              <w:spacing w:after="80" w:line="300" w:lineRule="exact"/>
              <w:rPr>
                <w:b/>
                <w:sz w:val="24"/>
                <w:szCs w:val="24"/>
              </w:rPr>
            </w:pPr>
            <w:r w:rsidRPr="001E2BB1">
              <w:rPr>
                <w:sz w:val="28"/>
                <w:szCs w:val="28"/>
              </w:rPr>
              <w:t>United Nations</w:t>
            </w:r>
          </w:p>
        </w:tc>
        <w:tc>
          <w:tcPr>
            <w:tcW w:w="6095" w:type="dxa"/>
            <w:gridSpan w:val="2"/>
            <w:tcBorders>
              <w:bottom w:val="single" w:sz="4" w:space="0" w:color="auto"/>
            </w:tcBorders>
            <w:vAlign w:val="bottom"/>
          </w:tcPr>
          <w:p w:rsidR="00B56E9C" w:rsidRPr="001E2BB1" w:rsidRDefault="008216A5" w:rsidP="00F75992">
            <w:pPr>
              <w:jc w:val="right"/>
            </w:pPr>
            <w:r w:rsidRPr="001E2BB1">
              <w:rPr>
                <w:sz w:val="40"/>
              </w:rPr>
              <w:t>CCPR</w:t>
            </w:r>
            <w:r w:rsidRPr="001E2BB1">
              <w:t>/C/1</w:t>
            </w:r>
            <w:r w:rsidR="00711F00" w:rsidRPr="001E2BB1">
              <w:t>1</w:t>
            </w:r>
            <w:r w:rsidR="00883BBF" w:rsidRPr="001E2BB1">
              <w:t>2</w:t>
            </w:r>
            <w:r w:rsidRPr="001E2BB1">
              <w:t>/D/</w:t>
            </w:r>
            <w:r w:rsidR="003D12CB" w:rsidRPr="001E2BB1">
              <w:t>21</w:t>
            </w:r>
            <w:r w:rsidR="007C062A" w:rsidRPr="001E2BB1">
              <w:t>23</w:t>
            </w:r>
            <w:r w:rsidRPr="001E2BB1">
              <w:t>/</w:t>
            </w:r>
            <w:r w:rsidR="00AE50CE" w:rsidRPr="001E2BB1">
              <w:t>20</w:t>
            </w:r>
            <w:r w:rsidR="003D12CB" w:rsidRPr="001E2BB1">
              <w:t>1</w:t>
            </w:r>
            <w:r w:rsidR="007C062A" w:rsidRPr="001E2BB1">
              <w:t>1</w:t>
            </w:r>
          </w:p>
        </w:tc>
      </w:tr>
      <w:tr w:rsidR="00B56E9C" w:rsidRPr="001E2BB1" w:rsidTr="00B6553F">
        <w:trPr>
          <w:cantSplit/>
          <w:trHeight w:hRule="exact" w:val="2835"/>
        </w:trPr>
        <w:tc>
          <w:tcPr>
            <w:tcW w:w="1276" w:type="dxa"/>
            <w:tcBorders>
              <w:top w:val="single" w:sz="4" w:space="0" w:color="auto"/>
              <w:bottom w:val="single" w:sz="12" w:space="0" w:color="auto"/>
            </w:tcBorders>
          </w:tcPr>
          <w:p w:rsidR="00B56E9C" w:rsidRPr="001E2BB1" w:rsidRDefault="00061F70"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1E2BB1" w:rsidRDefault="00B56E9C" w:rsidP="00267F5F">
            <w:pPr>
              <w:spacing w:before="120" w:line="380" w:lineRule="exact"/>
              <w:rPr>
                <w:b/>
                <w:sz w:val="34"/>
                <w:szCs w:val="40"/>
              </w:rPr>
            </w:pPr>
            <w:r w:rsidRPr="001E2BB1">
              <w:rPr>
                <w:b/>
                <w:sz w:val="34"/>
                <w:szCs w:val="40"/>
              </w:rPr>
              <w:t xml:space="preserve">International </w:t>
            </w:r>
            <w:r w:rsidR="00060C3A" w:rsidRPr="001E2BB1">
              <w:rPr>
                <w:b/>
                <w:sz w:val="34"/>
                <w:szCs w:val="40"/>
              </w:rPr>
              <w:t>Covenant on</w:t>
            </w:r>
            <w:r w:rsidR="00060C3A" w:rsidRPr="001E2BB1">
              <w:rPr>
                <w:b/>
                <w:sz w:val="34"/>
                <w:szCs w:val="40"/>
              </w:rPr>
              <w:br/>
              <w:t>Civil and Political R</w:t>
            </w:r>
            <w:r w:rsidR="00703577" w:rsidRPr="001E2BB1">
              <w:rPr>
                <w:b/>
                <w:sz w:val="34"/>
                <w:szCs w:val="40"/>
              </w:rPr>
              <w:t>ights</w:t>
            </w:r>
          </w:p>
          <w:p w:rsidR="00D01484" w:rsidRPr="001E2BB1" w:rsidRDefault="00D01484" w:rsidP="00267F5F">
            <w:pPr>
              <w:spacing w:before="120" w:line="380" w:lineRule="exact"/>
              <w:rPr>
                <w:sz w:val="34"/>
              </w:rPr>
            </w:pPr>
          </w:p>
        </w:tc>
        <w:tc>
          <w:tcPr>
            <w:tcW w:w="2835" w:type="dxa"/>
            <w:tcBorders>
              <w:top w:val="single" w:sz="4" w:space="0" w:color="auto"/>
              <w:bottom w:val="single" w:sz="12" w:space="0" w:color="auto"/>
            </w:tcBorders>
          </w:tcPr>
          <w:p w:rsidR="00B56E9C" w:rsidRPr="001E2BB1" w:rsidRDefault="008216A5" w:rsidP="008216A5">
            <w:pPr>
              <w:spacing w:before="240" w:line="240" w:lineRule="exact"/>
            </w:pPr>
            <w:r w:rsidRPr="001E2BB1">
              <w:t xml:space="preserve">Distr.: </w:t>
            </w:r>
            <w:r w:rsidR="00D01484" w:rsidRPr="001E2BB1">
              <w:t>General</w:t>
            </w:r>
          </w:p>
          <w:p w:rsidR="008216A5" w:rsidRPr="001E2BB1" w:rsidRDefault="004F6876" w:rsidP="008216A5">
            <w:pPr>
              <w:spacing w:line="240" w:lineRule="exact"/>
            </w:pPr>
            <w:r w:rsidRPr="001E2BB1">
              <w:t>1</w:t>
            </w:r>
            <w:r w:rsidR="00614963" w:rsidRPr="001E2BB1">
              <w:t>7</w:t>
            </w:r>
            <w:r w:rsidR="00721F25" w:rsidRPr="001E2BB1">
              <w:t xml:space="preserve"> Novem</w:t>
            </w:r>
            <w:r w:rsidR="002C244A" w:rsidRPr="001E2BB1">
              <w:t>ber</w:t>
            </w:r>
            <w:r w:rsidR="00735F4E" w:rsidRPr="001E2BB1">
              <w:t xml:space="preserve"> </w:t>
            </w:r>
            <w:r w:rsidR="008216A5" w:rsidRPr="001E2BB1">
              <w:t>201</w:t>
            </w:r>
            <w:r w:rsidR="00D06AB9" w:rsidRPr="001E2BB1">
              <w:t>4</w:t>
            </w:r>
          </w:p>
          <w:p w:rsidR="008216A5" w:rsidRPr="001E2BB1" w:rsidRDefault="008216A5" w:rsidP="008216A5">
            <w:pPr>
              <w:spacing w:line="240" w:lineRule="exact"/>
            </w:pPr>
          </w:p>
          <w:p w:rsidR="008216A5" w:rsidRPr="001E2BB1" w:rsidRDefault="008216A5" w:rsidP="008216A5">
            <w:pPr>
              <w:spacing w:line="240" w:lineRule="exact"/>
            </w:pPr>
            <w:r w:rsidRPr="001E2BB1">
              <w:t>Original: English</w:t>
            </w:r>
          </w:p>
        </w:tc>
      </w:tr>
    </w:tbl>
    <w:p w:rsidR="008216A5" w:rsidRPr="001E2BB1" w:rsidRDefault="008216A5" w:rsidP="008216A5">
      <w:pPr>
        <w:spacing w:before="120"/>
        <w:rPr>
          <w:b/>
          <w:sz w:val="24"/>
          <w:szCs w:val="24"/>
          <w:lang w:val="en-US"/>
        </w:rPr>
      </w:pPr>
      <w:r w:rsidRPr="001E2BB1">
        <w:rPr>
          <w:b/>
          <w:sz w:val="24"/>
          <w:szCs w:val="24"/>
          <w:lang w:val="en-US"/>
        </w:rPr>
        <w:t>Human Rights Committee</w:t>
      </w:r>
      <w:r w:rsidR="00061F70">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1&amp;Size=2 &amp;Lang=E"/>
            <w10:wrap anchorx="margin" anchory="margin"/>
          </v:shape>
        </w:pict>
      </w:r>
    </w:p>
    <w:p w:rsidR="005B1721" w:rsidRPr="001E2BB1" w:rsidRDefault="00F02EB8" w:rsidP="005B1721">
      <w:pPr>
        <w:pStyle w:val="HChG"/>
        <w:rPr>
          <w:lang w:val="bg-BG"/>
        </w:rPr>
      </w:pPr>
      <w:r w:rsidRPr="001E2BB1">
        <w:tab/>
      </w:r>
      <w:r w:rsidRPr="001E2BB1">
        <w:tab/>
        <w:t>Communication No. </w:t>
      </w:r>
      <w:r w:rsidR="005B1721" w:rsidRPr="001E2BB1">
        <w:t>2123/2011</w:t>
      </w:r>
    </w:p>
    <w:p w:rsidR="005B1721" w:rsidRPr="001E2BB1" w:rsidRDefault="005B1721" w:rsidP="000A0743">
      <w:pPr>
        <w:pStyle w:val="H1G"/>
        <w:rPr>
          <w:bCs/>
          <w:i/>
        </w:rPr>
      </w:pPr>
      <w:r w:rsidRPr="001E2BB1">
        <w:tab/>
      </w:r>
      <w:r w:rsidRPr="001E2BB1">
        <w:tab/>
      </w:r>
      <w:r w:rsidR="00F75992" w:rsidRPr="001E2BB1">
        <w:t>Decision adopted by the Committee at its 112</w:t>
      </w:r>
      <w:r w:rsidR="00D01484" w:rsidRPr="001E2BB1">
        <w:t>th</w:t>
      </w:r>
      <w:r w:rsidR="00F75992" w:rsidRPr="001E2BB1">
        <w:t xml:space="preserve"> session</w:t>
      </w:r>
      <w:r w:rsidR="000A0743" w:rsidRPr="001E2BB1">
        <w:br/>
      </w:r>
      <w:r w:rsidR="00F75992" w:rsidRPr="001E2BB1">
        <w:rPr>
          <w:bCs/>
          <w:sz w:val="22"/>
          <w:szCs w:val="22"/>
        </w:rPr>
        <w:t>(7</w:t>
      </w:r>
      <w:r w:rsidR="004F6876" w:rsidRPr="001E2BB1">
        <w:rPr>
          <w:bCs/>
          <w:sz w:val="22"/>
          <w:szCs w:val="22"/>
        </w:rPr>
        <w:t>–</w:t>
      </w:r>
      <w:r w:rsidR="00F75992" w:rsidRPr="001E2BB1">
        <w:rPr>
          <w:bCs/>
          <w:sz w:val="22"/>
          <w:szCs w:val="22"/>
        </w:rPr>
        <w:t>31 October 2014)</w:t>
      </w:r>
    </w:p>
    <w:p w:rsidR="005B1721" w:rsidRPr="001E2BB1" w:rsidRDefault="005B1721" w:rsidP="005B1721">
      <w:pPr>
        <w:pStyle w:val="SingleTxtG"/>
        <w:ind w:left="4536" w:hanging="3402"/>
      </w:pPr>
      <w:r w:rsidRPr="001E2BB1">
        <w:rPr>
          <w:i/>
        </w:rPr>
        <w:t>Submitted by:</w:t>
      </w:r>
      <w:r w:rsidRPr="001E2BB1">
        <w:tab/>
      </w:r>
      <w:r w:rsidRPr="001E2BB1">
        <w:rPr>
          <w:rFonts w:eastAsia="Verdana"/>
        </w:rPr>
        <w:t>Olga Tonenkaya</w:t>
      </w:r>
      <w:r w:rsidRPr="001E2BB1">
        <w:t xml:space="preserve"> </w:t>
      </w:r>
      <w:r w:rsidRPr="001E2BB1">
        <w:rPr>
          <w:bCs/>
        </w:rPr>
        <w:t>(not represented by counsel)</w:t>
      </w:r>
    </w:p>
    <w:p w:rsidR="005B1721" w:rsidRPr="001E2BB1" w:rsidRDefault="005B1721" w:rsidP="005B1721">
      <w:pPr>
        <w:pStyle w:val="SingleTxtG"/>
        <w:ind w:left="4536" w:hanging="3402"/>
        <w:jc w:val="left"/>
      </w:pPr>
      <w:r w:rsidRPr="001E2BB1">
        <w:rPr>
          <w:i/>
        </w:rPr>
        <w:t>Alleged victim:</w:t>
      </w:r>
      <w:r w:rsidRPr="001E2BB1">
        <w:tab/>
        <w:t>The author’s deceased sister</w:t>
      </w:r>
      <w:r w:rsidR="0003122F" w:rsidRPr="001E2BB1">
        <w:rPr>
          <w:lang w:val="en-US"/>
        </w:rPr>
        <w:t>,</w:t>
      </w:r>
      <w:r w:rsidRPr="001E2BB1">
        <w:t xml:space="preserve"> </w:t>
      </w:r>
      <w:r w:rsidRPr="001E2BB1">
        <w:rPr>
          <w:rFonts w:eastAsia="Verdana"/>
        </w:rPr>
        <w:t xml:space="preserve">Lyudmila Golosubina </w:t>
      </w:r>
    </w:p>
    <w:p w:rsidR="005B1721" w:rsidRPr="001E2BB1" w:rsidRDefault="005B1721" w:rsidP="005B1721">
      <w:pPr>
        <w:pStyle w:val="SingleTxtG"/>
        <w:ind w:left="4536" w:hanging="3402"/>
      </w:pPr>
      <w:r w:rsidRPr="001E2BB1">
        <w:rPr>
          <w:i/>
        </w:rPr>
        <w:t>State party:</w:t>
      </w:r>
      <w:r w:rsidRPr="001E2BB1">
        <w:tab/>
        <w:t>Ukraine</w:t>
      </w:r>
    </w:p>
    <w:p w:rsidR="005B1721" w:rsidRPr="001E2BB1" w:rsidRDefault="005B1721" w:rsidP="005B1721">
      <w:pPr>
        <w:pStyle w:val="SingleTxtG"/>
        <w:ind w:left="4536" w:hanging="3402"/>
      </w:pPr>
      <w:r w:rsidRPr="001E2BB1">
        <w:rPr>
          <w:i/>
        </w:rPr>
        <w:t>Date of communication:</w:t>
      </w:r>
      <w:r w:rsidRPr="001E2BB1">
        <w:tab/>
        <w:t>28 October 2011 (initial submission)</w:t>
      </w:r>
    </w:p>
    <w:p w:rsidR="005B1721" w:rsidRPr="001E2BB1" w:rsidRDefault="005B1721" w:rsidP="005B1721">
      <w:pPr>
        <w:pStyle w:val="SingleTxtG"/>
        <w:ind w:left="4536" w:hanging="3402"/>
        <w:jc w:val="left"/>
      </w:pPr>
      <w:r w:rsidRPr="001E2BB1">
        <w:rPr>
          <w:i/>
        </w:rPr>
        <w:t>Document references:</w:t>
      </w:r>
      <w:r w:rsidRPr="001E2BB1">
        <w:tab/>
        <w:t>Special Rapporteur’s rule 97 decision, transmitted to the State party on 20 December 2011 (not issued in document form)</w:t>
      </w:r>
    </w:p>
    <w:p w:rsidR="005B1721" w:rsidRPr="001E2BB1" w:rsidRDefault="005B1721" w:rsidP="000A0743">
      <w:pPr>
        <w:pStyle w:val="SingleTxtG"/>
        <w:ind w:left="4536" w:hanging="3402"/>
      </w:pPr>
      <w:r w:rsidRPr="001E2BB1">
        <w:rPr>
          <w:i/>
        </w:rPr>
        <w:t>Date of adoption of decision:</w:t>
      </w:r>
      <w:r w:rsidRPr="001E2BB1">
        <w:tab/>
      </w:r>
      <w:r w:rsidR="00F75992" w:rsidRPr="001E2BB1">
        <w:t>28</w:t>
      </w:r>
      <w:r w:rsidRPr="001E2BB1">
        <w:t xml:space="preserve"> October 2014</w:t>
      </w:r>
    </w:p>
    <w:p w:rsidR="005B1721" w:rsidRPr="001E2BB1" w:rsidRDefault="005B1721" w:rsidP="005B1721">
      <w:pPr>
        <w:pStyle w:val="SingleTxtG"/>
        <w:ind w:left="4536" w:hanging="3402"/>
      </w:pPr>
      <w:r w:rsidRPr="001E2BB1">
        <w:rPr>
          <w:i/>
        </w:rPr>
        <w:t>Subject matter:</w:t>
      </w:r>
      <w:r w:rsidR="00FB6592" w:rsidRPr="001E2BB1">
        <w:rPr>
          <w:i/>
        </w:rPr>
        <w:t xml:space="preserve"> </w:t>
      </w:r>
      <w:r w:rsidRPr="001E2BB1">
        <w:rPr>
          <w:i/>
        </w:rPr>
        <w:tab/>
      </w:r>
      <w:r w:rsidRPr="001E2BB1">
        <w:t>Inadequate investigation into the cause of death of the author’s sister</w:t>
      </w:r>
    </w:p>
    <w:p w:rsidR="005B1721" w:rsidRPr="001E2BB1" w:rsidRDefault="005B1721" w:rsidP="005B1721">
      <w:pPr>
        <w:pStyle w:val="SingleTxtG"/>
        <w:ind w:left="4536" w:hanging="3402"/>
      </w:pPr>
      <w:r w:rsidRPr="001E2BB1">
        <w:rPr>
          <w:i/>
        </w:rPr>
        <w:t xml:space="preserve">Substantive issues: </w:t>
      </w:r>
      <w:r w:rsidRPr="001E2BB1">
        <w:rPr>
          <w:i/>
        </w:rPr>
        <w:tab/>
      </w:r>
      <w:r w:rsidRPr="001E2BB1">
        <w:t>Right to life</w:t>
      </w:r>
      <w:r w:rsidR="0003122F" w:rsidRPr="001E2BB1">
        <w:rPr>
          <w:lang w:val="en-US"/>
        </w:rPr>
        <w:t>;</w:t>
      </w:r>
      <w:r w:rsidRPr="001E2BB1">
        <w:t xml:space="preserve"> fair trial</w:t>
      </w:r>
    </w:p>
    <w:p w:rsidR="004F6876" w:rsidRPr="001E2BB1" w:rsidRDefault="004F6876" w:rsidP="004F6876">
      <w:pPr>
        <w:pStyle w:val="SingleTxtG"/>
        <w:ind w:left="4536" w:hanging="3402"/>
      </w:pPr>
      <w:r w:rsidRPr="001E2BB1">
        <w:rPr>
          <w:i/>
        </w:rPr>
        <w:t xml:space="preserve">Procedural issues: </w:t>
      </w:r>
      <w:r w:rsidRPr="001E2BB1">
        <w:rPr>
          <w:i/>
        </w:rPr>
        <w:tab/>
      </w:r>
      <w:r w:rsidRPr="001E2BB1">
        <w:tab/>
        <w:t>Non-exhaustion</w:t>
      </w:r>
      <w:r w:rsidR="00354166" w:rsidRPr="001E2BB1">
        <w:t xml:space="preserve"> of domestic remedies</w:t>
      </w:r>
    </w:p>
    <w:p w:rsidR="005B1721" w:rsidRPr="001E2BB1" w:rsidRDefault="005B1721" w:rsidP="005B1721">
      <w:pPr>
        <w:pStyle w:val="SingleTxtG"/>
        <w:ind w:left="4536" w:hanging="3402"/>
      </w:pPr>
      <w:r w:rsidRPr="001E2BB1">
        <w:rPr>
          <w:i/>
        </w:rPr>
        <w:t>Articles of the Covenant:</w:t>
      </w:r>
      <w:r w:rsidRPr="001E2BB1">
        <w:t xml:space="preserve"> </w:t>
      </w:r>
      <w:r w:rsidRPr="001E2BB1">
        <w:tab/>
      </w:r>
      <w:r w:rsidRPr="001E2BB1">
        <w:rPr>
          <w:rFonts w:eastAsia="Verdana"/>
        </w:rPr>
        <w:t>6, paragraph 1</w:t>
      </w:r>
      <w:r w:rsidR="004F6876" w:rsidRPr="001E2BB1">
        <w:rPr>
          <w:rFonts w:eastAsia="Verdana"/>
        </w:rPr>
        <w:t>;</w:t>
      </w:r>
      <w:r w:rsidRPr="001E2BB1">
        <w:rPr>
          <w:rFonts w:eastAsia="Verdana"/>
        </w:rPr>
        <w:t xml:space="preserve"> 14, paragraph 1</w:t>
      </w:r>
    </w:p>
    <w:p w:rsidR="005B1721" w:rsidRPr="001E2BB1" w:rsidRDefault="005B1721" w:rsidP="005B1721">
      <w:pPr>
        <w:pStyle w:val="SingleTxtG"/>
        <w:ind w:left="4536" w:hanging="3402"/>
      </w:pPr>
      <w:r w:rsidRPr="001E2BB1">
        <w:rPr>
          <w:i/>
        </w:rPr>
        <w:t xml:space="preserve">Articles of the Optional Protocol: </w:t>
      </w:r>
      <w:r w:rsidRPr="001E2BB1">
        <w:rPr>
          <w:i/>
        </w:rPr>
        <w:tab/>
      </w:r>
      <w:r w:rsidRPr="001E2BB1">
        <w:t>2</w:t>
      </w:r>
      <w:r w:rsidR="004F6876" w:rsidRPr="001E2BB1">
        <w:t>;</w:t>
      </w:r>
      <w:r w:rsidRPr="001E2BB1">
        <w:t xml:space="preserve"> 5, paragraph 2 (b)</w:t>
      </w:r>
    </w:p>
    <w:p w:rsidR="005B1721" w:rsidRPr="001E2BB1" w:rsidRDefault="005B1721" w:rsidP="005B1721">
      <w:pPr>
        <w:pStyle w:val="SingleTxtG"/>
        <w:ind w:left="4536" w:hanging="3402"/>
      </w:pPr>
    </w:p>
    <w:p w:rsidR="005B1721" w:rsidRPr="001E2BB1" w:rsidRDefault="005B1721" w:rsidP="005B1721">
      <w:pPr>
        <w:pStyle w:val="HChG"/>
        <w:pageBreakBefore/>
      </w:pPr>
      <w:r w:rsidRPr="001E2BB1">
        <w:lastRenderedPageBreak/>
        <w:t>Annex</w:t>
      </w:r>
    </w:p>
    <w:p w:rsidR="005B1721" w:rsidRPr="001E2BB1" w:rsidRDefault="005B1721" w:rsidP="005B1721">
      <w:pPr>
        <w:pStyle w:val="HChG"/>
      </w:pPr>
      <w:r w:rsidRPr="001E2BB1">
        <w:tab/>
      </w:r>
      <w:r w:rsidR="007C062A" w:rsidRPr="001E2BB1">
        <w:tab/>
      </w:r>
      <w:r w:rsidRPr="001E2BB1">
        <w:rPr>
          <w:lang w:val="en-US"/>
        </w:rPr>
        <w:t xml:space="preserve">Decision of the Human Rights Committee under the Optional Protocol to the International Covenant on Civil and Political Rights </w:t>
      </w:r>
      <w:r w:rsidRPr="001E2BB1">
        <w:t>(112th session)</w:t>
      </w:r>
    </w:p>
    <w:p w:rsidR="005B1721" w:rsidRPr="001E2BB1" w:rsidRDefault="005B1721" w:rsidP="005B1721">
      <w:pPr>
        <w:pStyle w:val="SingleTxtG"/>
      </w:pPr>
      <w:r w:rsidRPr="001E2BB1">
        <w:t>concerning</w:t>
      </w:r>
    </w:p>
    <w:p w:rsidR="005B1721" w:rsidRPr="001E2BB1" w:rsidRDefault="005B1721" w:rsidP="00F02EB8">
      <w:pPr>
        <w:pStyle w:val="H1G"/>
        <w:rPr>
          <w:i/>
        </w:rPr>
      </w:pPr>
      <w:r w:rsidRPr="001E2BB1">
        <w:tab/>
      </w:r>
      <w:r w:rsidRPr="001E2BB1">
        <w:tab/>
        <w:t>Communication No. 2123/2011</w:t>
      </w:r>
      <w:r w:rsidR="00F02EB8" w:rsidRPr="001E2BB1">
        <w:rPr>
          <w:rStyle w:val="FootnoteReference"/>
          <w:b w:val="0"/>
          <w:bCs/>
          <w:sz w:val="20"/>
          <w:vertAlign w:val="baseline"/>
        </w:rPr>
        <w:footnoteReference w:customMarkFollows="1" w:id="2"/>
        <w:t>*</w:t>
      </w:r>
    </w:p>
    <w:p w:rsidR="005B1721" w:rsidRPr="001E2BB1" w:rsidRDefault="005B1721" w:rsidP="00195967">
      <w:pPr>
        <w:pStyle w:val="SingleTxtG"/>
        <w:ind w:left="4536" w:hanging="3402"/>
        <w:jc w:val="left"/>
      </w:pPr>
      <w:r w:rsidRPr="001E2BB1">
        <w:rPr>
          <w:i/>
        </w:rPr>
        <w:t>Submitted by:</w:t>
      </w:r>
      <w:r w:rsidRPr="001E2BB1">
        <w:tab/>
      </w:r>
      <w:r w:rsidRPr="001E2BB1">
        <w:rPr>
          <w:rFonts w:eastAsia="Verdana"/>
        </w:rPr>
        <w:t>Olga Tonenkaya</w:t>
      </w:r>
      <w:r w:rsidRPr="001E2BB1">
        <w:t xml:space="preserve"> </w:t>
      </w:r>
      <w:r w:rsidRPr="001E2BB1">
        <w:rPr>
          <w:bCs/>
        </w:rPr>
        <w:t>(not represented by counsel)</w:t>
      </w:r>
    </w:p>
    <w:p w:rsidR="005B1721" w:rsidRPr="001E2BB1" w:rsidRDefault="005B1721" w:rsidP="005B1721">
      <w:pPr>
        <w:pStyle w:val="SingleTxtG"/>
        <w:ind w:left="4536" w:hanging="3402"/>
        <w:jc w:val="left"/>
      </w:pPr>
      <w:r w:rsidRPr="001E2BB1">
        <w:rPr>
          <w:i/>
        </w:rPr>
        <w:t>Alleged victim:</w:t>
      </w:r>
      <w:r w:rsidRPr="001E2BB1">
        <w:tab/>
        <w:t>The author’s deceased sister</w:t>
      </w:r>
      <w:r w:rsidR="004F6876" w:rsidRPr="001E2BB1">
        <w:t>,</w:t>
      </w:r>
      <w:r w:rsidRPr="001E2BB1">
        <w:t xml:space="preserve"> </w:t>
      </w:r>
      <w:r w:rsidRPr="001E2BB1">
        <w:rPr>
          <w:rFonts w:eastAsia="Verdana"/>
        </w:rPr>
        <w:t xml:space="preserve">Lyudmila Golosubina </w:t>
      </w:r>
    </w:p>
    <w:p w:rsidR="005B1721" w:rsidRPr="001E2BB1" w:rsidRDefault="005B1721" w:rsidP="00195967">
      <w:pPr>
        <w:pStyle w:val="SingleTxtG"/>
        <w:ind w:left="4536" w:hanging="3402"/>
        <w:jc w:val="left"/>
      </w:pPr>
      <w:r w:rsidRPr="001E2BB1">
        <w:rPr>
          <w:i/>
        </w:rPr>
        <w:t>State party:</w:t>
      </w:r>
      <w:r w:rsidRPr="001E2BB1">
        <w:tab/>
        <w:t>Ukraine</w:t>
      </w:r>
    </w:p>
    <w:p w:rsidR="005B1721" w:rsidRPr="001E2BB1" w:rsidRDefault="005B1721" w:rsidP="00195967">
      <w:pPr>
        <w:pStyle w:val="SingleTxtG"/>
        <w:ind w:left="4536" w:hanging="3402"/>
        <w:jc w:val="left"/>
      </w:pPr>
      <w:r w:rsidRPr="001E2BB1">
        <w:rPr>
          <w:i/>
        </w:rPr>
        <w:t>Date of communication:</w:t>
      </w:r>
      <w:r w:rsidRPr="001E2BB1">
        <w:tab/>
        <w:t>28 October 2011 (initial submission)</w:t>
      </w:r>
    </w:p>
    <w:p w:rsidR="005B1721" w:rsidRPr="001E2BB1" w:rsidRDefault="005B1721" w:rsidP="005B1721">
      <w:pPr>
        <w:pStyle w:val="SingleTxtG"/>
      </w:pPr>
      <w:r w:rsidRPr="001E2BB1">
        <w:rPr>
          <w:i/>
        </w:rPr>
        <w:tab/>
        <w:t>The Human Rights Committee</w:t>
      </w:r>
      <w:r w:rsidRPr="001E2BB1">
        <w:t>, established under article 28 of the International Covenant on Civil and Political Rights,</w:t>
      </w:r>
    </w:p>
    <w:p w:rsidR="005B1721" w:rsidRPr="001E2BB1" w:rsidRDefault="005B1721" w:rsidP="005B1721">
      <w:pPr>
        <w:pStyle w:val="SingleTxtG"/>
      </w:pPr>
      <w:r w:rsidRPr="001E2BB1">
        <w:tab/>
      </w:r>
      <w:r w:rsidRPr="001E2BB1">
        <w:rPr>
          <w:i/>
        </w:rPr>
        <w:t>Meeting on</w:t>
      </w:r>
      <w:r w:rsidRPr="001E2BB1">
        <w:t xml:space="preserve"> </w:t>
      </w:r>
      <w:r w:rsidR="00F75992" w:rsidRPr="001E2BB1">
        <w:t>28</w:t>
      </w:r>
      <w:r w:rsidRPr="001E2BB1">
        <w:t xml:space="preserve"> October 2014,</w:t>
      </w:r>
    </w:p>
    <w:p w:rsidR="005B1721" w:rsidRPr="001E2BB1" w:rsidRDefault="005B1721" w:rsidP="000A0743">
      <w:pPr>
        <w:pStyle w:val="SingleTxtG"/>
      </w:pPr>
      <w:r w:rsidRPr="001E2BB1">
        <w:tab/>
      </w:r>
      <w:r w:rsidRPr="001E2BB1">
        <w:rPr>
          <w:i/>
        </w:rPr>
        <w:t>Having concluded</w:t>
      </w:r>
      <w:r w:rsidRPr="001E2BB1">
        <w:t xml:space="preserve"> its consideration of communication No. 2123/2011, submitted to the Human Rights Committee by </w:t>
      </w:r>
      <w:r w:rsidRPr="001E2BB1">
        <w:rPr>
          <w:rFonts w:eastAsia="Verdana"/>
        </w:rPr>
        <w:t>Olga Tonenkaya</w:t>
      </w:r>
      <w:r w:rsidRPr="001E2BB1">
        <w:t xml:space="preserve"> on behalf of her deceased sister, Lyudmila Golosubina, under the Optional Protocol to the International Covenant on Civil and Political Rights,</w:t>
      </w:r>
    </w:p>
    <w:p w:rsidR="005B1721" w:rsidRPr="001E2BB1" w:rsidRDefault="005B1721" w:rsidP="005B1721">
      <w:pPr>
        <w:pStyle w:val="SingleTxtG"/>
      </w:pPr>
      <w:r w:rsidRPr="001E2BB1">
        <w:tab/>
      </w:r>
      <w:r w:rsidRPr="001E2BB1">
        <w:rPr>
          <w:i/>
        </w:rPr>
        <w:t>Having taken into account</w:t>
      </w:r>
      <w:r w:rsidRPr="001E2BB1">
        <w:t xml:space="preserve"> all written information made available to it by the author of the communication and the State party,</w:t>
      </w:r>
    </w:p>
    <w:p w:rsidR="005B1721" w:rsidRPr="001E2BB1" w:rsidRDefault="005B1721" w:rsidP="005B1721">
      <w:pPr>
        <w:pStyle w:val="SingleTxtG"/>
      </w:pPr>
      <w:r w:rsidRPr="001E2BB1">
        <w:tab/>
      </w:r>
      <w:r w:rsidRPr="001E2BB1">
        <w:rPr>
          <w:i/>
        </w:rPr>
        <w:t>Adopts the following</w:t>
      </w:r>
      <w:r w:rsidRPr="001E2BB1">
        <w:t>:</w:t>
      </w:r>
      <w:r w:rsidR="00080DFA" w:rsidRPr="001E2BB1">
        <w:t xml:space="preserve"> </w:t>
      </w:r>
    </w:p>
    <w:p w:rsidR="005B1721" w:rsidRPr="001E2BB1" w:rsidRDefault="005B1721" w:rsidP="005B1721">
      <w:pPr>
        <w:pStyle w:val="H1G"/>
      </w:pPr>
      <w:r w:rsidRPr="001E2BB1">
        <w:tab/>
      </w:r>
      <w:r w:rsidR="007C062A" w:rsidRPr="001E2BB1">
        <w:tab/>
      </w:r>
      <w:r w:rsidRPr="001E2BB1">
        <w:t xml:space="preserve">Decision on admissibility </w:t>
      </w:r>
    </w:p>
    <w:p w:rsidR="005B1721" w:rsidRPr="001E2BB1" w:rsidRDefault="005B1721" w:rsidP="008E5CD9">
      <w:pPr>
        <w:pStyle w:val="SingleTxtG"/>
        <w:rPr>
          <w:rFonts w:eastAsia="Verdana"/>
        </w:rPr>
      </w:pPr>
      <w:r w:rsidRPr="001E2BB1">
        <w:rPr>
          <w:rFonts w:eastAsia="Verdana"/>
        </w:rPr>
        <w:t>1.</w:t>
      </w:r>
      <w:r w:rsidRPr="001E2BB1">
        <w:rPr>
          <w:rFonts w:eastAsia="Verdana"/>
        </w:rPr>
        <w:tab/>
        <w:t xml:space="preserve">The author of the communication is Olga Tonenkaya, a </w:t>
      </w:r>
      <w:r w:rsidR="00B346DF" w:rsidRPr="001E2BB1">
        <w:rPr>
          <w:rFonts w:eastAsia="Verdana"/>
        </w:rPr>
        <w:t xml:space="preserve">Ukrainian </w:t>
      </w:r>
      <w:r w:rsidRPr="001E2BB1">
        <w:rPr>
          <w:rFonts w:eastAsia="Verdana"/>
        </w:rPr>
        <w:t xml:space="preserve">national born on 9 February 1967, who is submitting it on behalf of her deceased sister, </w:t>
      </w:r>
      <w:r w:rsidR="008E5CD9" w:rsidRPr="001E2BB1">
        <w:rPr>
          <w:rFonts w:eastAsia="Verdana"/>
        </w:rPr>
        <w:t>Lyudmila</w:t>
      </w:r>
      <w:r w:rsidR="008E5CD9" w:rsidRPr="001E2BB1">
        <w:rPr>
          <w:rFonts w:eastAsia="Verdana"/>
          <w:lang w:val="en-US"/>
        </w:rPr>
        <w:t xml:space="preserve"> </w:t>
      </w:r>
      <w:r w:rsidRPr="001E2BB1">
        <w:rPr>
          <w:rFonts w:eastAsia="Verdana"/>
        </w:rPr>
        <w:t xml:space="preserve">Golosubina (Holoshubina) , born on 5 July 1963. The author claims </w:t>
      </w:r>
      <w:r w:rsidR="00957439" w:rsidRPr="001E2BB1">
        <w:rPr>
          <w:rFonts w:eastAsia="Verdana"/>
        </w:rPr>
        <w:t xml:space="preserve">that there was </w:t>
      </w:r>
      <w:r w:rsidRPr="001E2BB1">
        <w:rPr>
          <w:rFonts w:eastAsia="Verdana"/>
        </w:rPr>
        <w:t>a violation by the authorities of the State party of articles 6, paragraph 1, and 14, paragraph 1, of the Covenant in connection with the author</w:t>
      </w:r>
      <w:r w:rsidR="00EE1838" w:rsidRPr="001E2BB1">
        <w:rPr>
          <w:rFonts w:eastAsia="Verdana"/>
          <w:lang w:val="en-US"/>
        </w:rPr>
        <w:t>’s</w:t>
      </w:r>
      <w:r w:rsidRPr="001E2BB1">
        <w:rPr>
          <w:rFonts w:eastAsia="Verdana"/>
        </w:rPr>
        <w:t xml:space="preserve"> sister’s death</w:t>
      </w:r>
      <w:r w:rsidR="00957439" w:rsidRPr="001E2BB1">
        <w:rPr>
          <w:rFonts w:eastAsia="Verdana"/>
        </w:rPr>
        <w:t>,</w:t>
      </w:r>
      <w:r w:rsidRPr="001E2BB1">
        <w:rPr>
          <w:rFonts w:eastAsia="Verdana"/>
        </w:rPr>
        <w:t xml:space="preserve"> </w:t>
      </w:r>
      <w:r w:rsidR="00957439" w:rsidRPr="001E2BB1">
        <w:rPr>
          <w:rFonts w:eastAsia="Verdana"/>
        </w:rPr>
        <w:t xml:space="preserve">which </w:t>
      </w:r>
      <w:r w:rsidRPr="001E2BB1">
        <w:rPr>
          <w:rFonts w:eastAsia="Verdana"/>
        </w:rPr>
        <w:t>reportedly result</w:t>
      </w:r>
      <w:r w:rsidR="00957439" w:rsidRPr="001E2BB1">
        <w:rPr>
          <w:rFonts w:eastAsia="Verdana"/>
        </w:rPr>
        <w:t>ed</w:t>
      </w:r>
      <w:r w:rsidRPr="001E2BB1">
        <w:rPr>
          <w:rFonts w:eastAsia="Verdana"/>
        </w:rPr>
        <w:t xml:space="preserve"> from inadequate medical treatment.</w:t>
      </w:r>
      <w:r w:rsidRPr="001E2BB1">
        <w:rPr>
          <w:rStyle w:val="FootnoteReference"/>
          <w:rFonts w:eastAsia="Verdana"/>
        </w:rPr>
        <w:footnoteReference w:id="3"/>
      </w:r>
      <w:r w:rsidRPr="001E2BB1">
        <w:rPr>
          <w:rFonts w:eastAsia="Verdana"/>
        </w:rPr>
        <w:t xml:space="preserve"> The author is not represented by counsel. </w:t>
      </w:r>
    </w:p>
    <w:p w:rsidR="005B1721" w:rsidRPr="001E2BB1" w:rsidRDefault="007C062A" w:rsidP="007C062A">
      <w:pPr>
        <w:pStyle w:val="H23G"/>
        <w:rPr>
          <w:rFonts w:eastAsia="Verdana"/>
        </w:rPr>
      </w:pPr>
      <w:r w:rsidRPr="001E2BB1">
        <w:rPr>
          <w:rFonts w:eastAsia="Verdana"/>
        </w:rPr>
        <w:lastRenderedPageBreak/>
        <w:tab/>
      </w:r>
      <w:r w:rsidRPr="001E2BB1">
        <w:rPr>
          <w:rFonts w:eastAsia="Verdana"/>
        </w:rPr>
        <w:tab/>
      </w:r>
      <w:r w:rsidR="005B1721" w:rsidRPr="001E2BB1">
        <w:rPr>
          <w:rFonts w:eastAsia="Verdana"/>
        </w:rPr>
        <w:t>The facts as presented by the author</w:t>
      </w:r>
    </w:p>
    <w:p w:rsidR="005B1721" w:rsidRPr="001E2BB1" w:rsidRDefault="005B1721" w:rsidP="008E5CD9">
      <w:pPr>
        <w:pStyle w:val="SingleTxtG"/>
        <w:rPr>
          <w:rFonts w:eastAsia="Verdana"/>
        </w:rPr>
      </w:pPr>
      <w:r w:rsidRPr="001E2BB1">
        <w:rPr>
          <w:rFonts w:eastAsia="Verdana"/>
        </w:rPr>
        <w:t>2.1</w:t>
      </w:r>
      <w:r w:rsidRPr="001E2BB1">
        <w:rPr>
          <w:rFonts w:eastAsia="Verdana"/>
        </w:rPr>
        <w:tab/>
        <w:t xml:space="preserve">On 6 November 2006, the author’s sister sought medical treatment </w:t>
      </w:r>
      <w:r w:rsidR="00400FC4" w:rsidRPr="001E2BB1">
        <w:rPr>
          <w:rFonts w:eastAsia="Verdana"/>
        </w:rPr>
        <w:t xml:space="preserve">at </w:t>
      </w:r>
      <w:r w:rsidRPr="001E2BB1">
        <w:rPr>
          <w:rFonts w:eastAsia="Verdana"/>
        </w:rPr>
        <w:t xml:space="preserve">the </w:t>
      </w:r>
      <w:r w:rsidR="00EE1838" w:rsidRPr="001E2BB1">
        <w:rPr>
          <w:rFonts w:eastAsia="Verdana"/>
        </w:rPr>
        <w:t xml:space="preserve">Traumatology Unit </w:t>
      </w:r>
      <w:r w:rsidR="00EE1838" w:rsidRPr="001E2BB1">
        <w:rPr>
          <w:rFonts w:eastAsia="Verdana"/>
          <w:lang w:val="en-US"/>
        </w:rPr>
        <w:t xml:space="preserve">of the </w:t>
      </w:r>
      <w:r w:rsidRPr="001E2BB1">
        <w:rPr>
          <w:rFonts w:eastAsia="Verdana"/>
        </w:rPr>
        <w:t xml:space="preserve">Central District Hospital in Storozynets, Ukraine, complaining of pain in </w:t>
      </w:r>
      <w:r w:rsidR="008F156D" w:rsidRPr="001E2BB1">
        <w:rPr>
          <w:rFonts w:eastAsia="Verdana"/>
        </w:rPr>
        <w:t xml:space="preserve">her </w:t>
      </w:r>
      <w:r w:rsidRPr="001E2BB1">
        <w:rPr>
          <w:rFonts w:eastAsia="Verdana"/>
        </w:rPr>
        <w:t xml:space="preserve">left lower </w:t>
      </w:r>
      <w:r w:rsidR="00460675" w:rsidRPr="001E2BB1">
        <w:rPr>
          <w:rFonts w:eastAsia="Verdana"/>
        </w:rPr>
        <w:t>leg</w:t>
      </w:r>
      <w:r w:rsidRPr="001E2BB1">
        <w:rPr>
          <w:rFonts w:eastAsia="Verdana"/>
        </w:rPr>
        <w:t>.</w:t>
      </w:r>
      <w:r w:rsidR="00FB6592" w:rsidRPr="001E2BB1">
        <w:rPr>
          <w:rFonts w:eastAsia="Verdana"/>
        </w:rPr>
        <w:t xml:space="preserve"> </w:t>
      </w:r>
      <w:r w:rsidRPr="001E2BB1">
        <w:rPr>
          <w:rFonts w:eastAsia="Verdana"/>
        </w:rPr>
        <w:t xml:space="preserve">She was diagnosed with a closed fracture of the left tibia. On the same day, the fractured bone was treated under </w:t>
      </w:r>
      <w:r w:rsidRPr="001E2BB1">
        <w:rPr>
          <w:rFonts w:eastAsia="Verdana"/>
          <w:lang w:val="en-US"/>
        </w:rPr>
        <w:t>an</w:t>
      </w:r>
      <w:r w:rsidR="00CD4EE7" w:rsidRPr="001E2BB1">
        <w:rPr>
          <w:rFonts w:eastAsia="Verdana"/>
          <w:lang w:val="en-US"/>
        </w:rPr>
        <w:t>a</w:t>
      </w:r>
      <w:r w:rsidRPr="001E2BB1">
        <w:rPr>
          <w:rFonts w:eastAsia="Verdana"/>
          <w:lang w:val="en-US"/>
        </w:rPr>
        <w:t>esthesia</w:t>
      </w:r>
      <w:r w:rsidRPr="001E2BB1">
        <w:rPr>
          <w:rFonts w:eastAsia="Verdana"/>
        </w:rPr>
        <w:t xml:space="preserve"> and </w:t>
      </w:r>
      <w:r w:rsidR="00460675" w:rsidRPr="001E2BB1">
        <w:rPr>
          <w:rFonts w:eastAsia="Verdana"/>
        </w:rPr>
        <w:t xml:space="preserve">set </w:t>
      </w:r>
      <w:r w:rsidRPr="001E2BB1">
        <w:rPr>
          <w:rFonts w:eastAsia="Verdana"/>
        </w:rPr>
        <w:t>in a plaster cast. On 8 November 2006, a</w:t>
      </w:r>
      <w:r w:rsidR="008C16E7" w:rsidRPr="001E2BB1">
        <w:rPr>
          <w:rFonts w:eastAsia="Verdana"/>
        </w:rPr>
        <w:t>n</w:t>
      </w:r>
      <w:r w:rsidRPr="001E2BB1">
        <w:rPr>
          <w:rFonts w:eastAsia="Verdana"/>
        </w:rPr>
        <w:t xml:space="preserve"> attempt to reposition the bone was </w:t>
      </w:r>
      <w:r w:rsidR="00CE34FF" w:rsidRPr="001E2BB1">
        <w:rPr>
          <w:rFonts w:eastAsia="Verdana"/>
        </w:rPr>
        <w:t xml:space="preserve">made </w:t>
      </w:r>
      <w:r w:rsidRPr="001E2BB1">
        <w:rPr>
          <w:rFonts w:eastAsia="Verdana"/>
        </w:rPr>
        <w:t xml:space="preserve">under </w:t>
      </w:r>
      <w:r w:rsidRPr="001E2BB1">
        <w:rPr>
          <w:rFonts w:eastAsia="Verdana"/>
          <w:lang w:val="en-US"/>
        </w:rPr>
        <w:t>an</w:t>
      </w:r>
      <w:r w:rsidR="00CD4EE7" w:rsidRPr="001E2BB1">
        <w:rPr>
          <w:rFonts w:eastAsia="Verdana"/>
          <w:lang w:val="en-US"/>
        </w:rPr>
        <w:t>a</w:t>
      </w:r>
      <w:r w:rsidRPr="001E2BB1">
        <w:rPr>
          <w:rFonts w:eastAsia="Verdana"/>
          <w:lang w:val="en-US"/>
        </w:rPr>
        <w:t>esthesia</w:t>
      </w:r>
      <w:r w:rsidRPr="001E2BB1">
        <w:rPr>
          <w:rFonts w:eastAsia="Verdana"/>
        </w:rPr>
        <w:t xml:space="preserve">. </w:t>
      </w:r>
      <w:r w:rsidR="002110B0" w:rsidRPr="001E2BB1">
        <w:rPr>
          <w:rFonts w:eastAsia="Verdana"/>
        </w:rPr>
        <w:t>Ms. Golosubina</w:t>
      </w:r>
      <w:r w:rsidRPr="001E2BB1">
        <w:rPr>
          <w:rFonts w:eastAsia="Verdana"/>
        </w:rPr>
        <w:t xml:space="preserve"> ha</w:t>
      </w:r>
      <w:r w:rsidR="008F156D" w:rsidRPr="001E2BB1">
        <w:rPr>
          <w:rFonts w:eastAsia="Verdana"/>
        </w:rPr>
        <w:t>d</w:t>
      </w:r>
      <w:r w:rsidRPr="001E2BB1">
        <w:rPr>
          <w:rFonts w:eastAsia="Verdana"/>
        </w:rPr>
        <w:t xml:space="preserve"> </w:t>
      </w:r>
      <w:r w:rsidR="00CE34FF" w:rsidRPr="001E2BB1">
        <w:rPr>
          <w:rFonts w:eastAsia="Verdana"/>
        </w:rPr>
        <w:t xml:space="preserve">otherwise </w:t>
      </w:r>
      <w:r w:rsidRPr="001E2BB1">
        <w:rPr>
          <w:rFonts w:eastAsia="Verdana"/>
        </w:rPr>
        <w:t xml:space="preserve">been in </w:t>
      </w:r>
      <w:r w:rsidR="00CE34FF" w:rsidRPr="001E2BB1">
        <w:rPr>
          <w:rFonts w:eastAsia="Verdana"/>
        </w:rPr>
        <w:t xml:space="preserve">a </w:t>
      </w:r>
      <w:r w:rsidRPr="001E2BB1">
        <w:rPr>
          <w:rFonts w:eastAsia="Verdana"/>
        </w:rPr>
        <w:t>satisfactory health condition.</w:t>
      </w:r>
    </w:p>
    <w:p w:rsidR="005B1721" w:rsidRPr="001E2BB1" w:rsidRDefault="005B1721" w:rsidP="005B1721">
      <w:pPr>
        <w:pStyle w:val="SingleTxtG"/>
        <w:rPr>
          <w:rFonts w:eastAsia="Verdana"/>
        </w:rPr>
      </w:pPr>
      <w:r w:rsidRPr="001E2BB1">
        <w:rPr>
          <w:rFonts w:eastAsia="Verdana"/>
        </w:rPr>
        <w:t xml:space="preserve">2.2 </w:t>
      </w:r>
      <w:r w:rsidRPr="001E2BB1">
        <w:rPr>
          <w:rFonts w:eastAsia="Verdana"/>
        </w:rPr>
        <w:tab/>
        <w:t xml:space="preserve">On 10 November 2006, </w:t>
      </w:r>
      <w:r w:rsidR="002110B0" w:rsidRPr="001E2BB1">
        <w:rPr>
          <w:rFonts w:eastAsia="Verdana"/>
        </w:rPr>
        <w:t>Ms. Golosubina</w:t>
      </w:r>
      <w:r w:rsidRPr="001E2BB1">
        <w:rPr>
          <w:rFonts w:eastAsia="Verdana"/>
        </w:rPr>
        <w:t xml:space="preserve">’s health condition </w:t>
      </w:r>
      <w:r w:rsidR="00CE34FF" w:rsidRPr="001E2BB1">
        <w:rPr>
          <w:rFonts w:eastAsia="Verdana"/>
        </w:rPr>
        <w:t xml:space="preserve">was </w:t>
      </w:r>
      <w:r w:rsidRPr="001E2BB1">
        <w:rPr>
          <w:rFonts w:eastAsia="Verdana"/>
        </w:rPr>
        <w:t>considered satisfactory.</w:t>
      </w:r>
      <w:r w:rsidR="00FB6592" w:rsidRPr="001E2BB1">
        <w:rPr>
          <w:rFonts w:eastAsia="Verdana"/>
        </w:rPr>
        <w:t xml:space="preserve"> </w:t>
      </w:r>
      <w:r w:rsidR="00886330" w:rsidRPr="001E2BB1">
        <w:rPr>
          <w:rFonts w:eastAsia="Verdana"/>
        </w:rPr>
        <w:t>She</w:t>
      </w:r>
      <w:r w:rsidRPr="001E2BB1">
        <w:rPr>
          <w:rFonts w:eastAsia="Verdana"/>
        </w:rPr>
        <w:t xml:space="preserve"> complained of </w:t>
      </w:r>
      <w:r w:rsidR="007726CD" w:rsidRPr="001E2BB1">
        <w:rPr>
          <w:rFonts w:eastAsia="Verdana"/>
        </w:rPr>
        <w:t xml:space="preserve">the </w:t>
      </w:r>
      <w:r w:rsidRPr="001E2BB1">
        <w:rPr>
          <w:rFonts w:eastAsia="Verdana"/>
        </w:rPr>
        <w:t xml:space="preserve">plaster cast being a little too tight, </w:t>
      </w:r>
      <w:r w:rsidR="00886330" w:rsidRPr="001E2BB1">
        <w:rPr>
          <w:rFonts w:eastAsia="Verdana"/>
        </w:rPr>
        <w:t xml:space="preserve">but </w:t>
      </w:r>
      <w:r w:rsidRPr="001E2BB1">
        <w:rPr>
          <w:rFonts w:eastAsia="Verdana"/>
        </w:rPr>
        <w:t xml:space="preserve">was </w:t>
      </w:r>
      <w:r w:rsidR="00F832FC" w:rsidRPr="001E2BB1">
        <w:rPr>
          <w:rFonts w:eastAsia="Verdana"/>
        </w:rPr>
        <w:t>discharged as an outpatient</w:t>
      </w:r>
      <w:r w:rsidRPr="001E2BB1">
        <w:rPr>
          <w:rFonts w:eastAsia="Verdana"/>
        </w:rPr>
        <w:t>.</w:t>
      </w:r>
    </w:p>
    <w:p w:rsidR="005B1721" w:rsidRPr="001E2BB1" w:rsidRDefault="005B1721" w:rsidP="00080DFA">
      <w:pPr>
        <w:pStyle w:val="SingleTxtG"/>
        <w:rPr>
          <w:rFonts w:eastAsia="Verdana"/>
        </w:rPr>
      </w:pPr>
      <w:r w:rsidRPr="001E2BB1">
        <w:rPr>
          <w:rFonts w:eastAsia="Verdana"/>
        </w:rPr>
        <w:t>2.3</w:t>
      </w:r>
      <w:r w:rsidRPr="001E2BB1">
        <w:rPr>
          <w:rFonts w:eastAsia="Verdana"/>
        </w:rPr>
        <w:tab/>
        <w:t>On 27 November 2006, during a check</w:t>
      </w:r>
      <w:r w:rsidR="00F832FC" w:rsidRPr="001E2BB1">
        <w:rPr>
          <w:rFonts w:eastAsia="Verdana"/>
        </w:rPr>
        <w:t>-up</w:t>
      </w:r>
      <w:r w:rsidRPr="001E2BB1">
        <w:rPr>
          <w:rFonts w:eastAsia="Verdana"/>
        </w:rPr>
        <w:t xml:space="preserve">, </w:t>
      </w:r>
      <w:r w:rsidR="002110B0" w:rsidRPr="001E2BB1">
        <w:rPr>
          <w:rFonts w:eastAsia="Verdana"/>
        </w:rPr>
        <w:t>Ms. Golosubina</w:t>
      </w:r>
      <w:r w:rsidRPr="001E2BB1">
        <w:rPr>
          <w:rFonts w:eastAsia="Verdana"/>
        </w:rPr>
        <w:t xml:space="preserve"> </w:t>
      </w:r>
      <w:r w:rsidR="00F832FC" w:rsidRPr="001E2BB1">
        <w:rPr>
          <w:rFonts w:eastAsia="Verdana"/>
        </w:rPr>
        <w:t xml:space="preserve">again </w:t>
      </w:r>
      <w:r w:rsidRPr="001E2BB1">
        <w:rPr>
          <w:rFonts w:eastAsia="Verdana"/>
        </w:rPr>
        <w:t xml:space="preserve">complained of the plaster cast being too tight. </w:t>
      </w:r>
      <w:r w:rsidR="00F832FC" w:rsidRPr="001E2BB1">
        <w:rPr>
          <w:rFonts w:eastAsia="Verdana"/>
        </w:rPr>
        <w:t>It</w:t>
      </w:r>
      <w:r w:rsidRPr="001E2BB1">
        <w:rPr>
          <w:rFonts w:eastAsia="Verdana"/>
        </w:rPr>
        <w:t xml:space="preserve"> was scheduled </w:t>
      </w:r>
      <w:r w:rsidR="00F832FC" w:rsidRPr="001E2BB1">
        <w:rPr>
          <w:rFonts w:eastAsia="Verdana"/>
        </w:rPr>
        <w:t xml:space="preserve">to be replaced on </w:t>
      </w:r>
      <w:r w:rsidRPr="001E2BB1">
        <w:rPr>
          <w:rFonts w:eastAsia="Verdana"/>
        </w:rPr>
        <w:t>4 December 2006. On 30</w:t>
      </w:r>
      <w:r w:rsidR="00080DFA" w:rsidRPr="001E2BB1">
        <w:rPr>
          <w:rFonts w:eastAsia="Verdana"/>
        </w:rPr>
        <w:t> </w:t>
      </w:r>
      <w:r w:rsidRPr="001E2BB1">
        <w:rPr>
          <w:rFonts w:eastAsia="Verdana"/>
        </w:rPr>
        <w:t xml:space="preserve">November 2006, </w:t>
      </w:r>
      <w:r w:rsidR="00886330" w:rsidRPr="001E2BB1">
        <w:rPr>
          <w:rFonts w:eastAsia="Verdana"/>
        </w:rPr>
        <w:t>her</w:t>
      </w:r>
      <w:r w:rsidRPr="001E2BB1">
        <w:rPr>
          <w:rFonts w:eastAsia="Verdana"/>
        </w:rPr>
        <w:t xml:space="preserve"> health deteriorated and she was transported to the District Hospital in Storozynets. </w:t>
      </w:r>
      <w:r w:rsidR="00CD4EE7" w:rsidRPr="001E2BB1">
        <w:rPr>
          <w:rFonts w:eastAsia="Verdana"/>
        </w:rPr>
        <w:t>A</w:t>
      </w:r>
      <w:r w:rsidRPr="001E2BB1">
        <w:rPr>
          <w:rFonts w:eastAsia="Verdana"/>
        </w:rPr>
        <w:t xml:space="preserve"> heart examination did not </w:t>
      </w:r>
      <w:r w:rsidR="00F832FC" w:rsidRPr="001E2BB1">
        <w:rPr>
          <w:rFonts w:eastAsia="Verdana"/>
        </w:rPr>
        <w:t>reveal</w:t>
      </w:r>
      <w:r w:rsidR="007726CD" w:rsidRPr="001E2BB1">
        <w:rPr>
          <w:rFonts w:eastAsia="Verdana"/>
        </w:rPr>
        <w:t xml:space="preserve"> </w:t>
      </w:r>
      <w:r w:rsidRPr="001E2BB1">
        <w:rPr>
          <w:rFonts w:eastAsia="Verdana"/>
        </w:rPr>
        <w:t>any anomalies</w:t>
      </w:r>
      <w:r w:rsidR="00CD4EE7" w:rsidRPr="001E2BB1">
        <w:rPr>
          <w:rFonts w:eastAsia="Verdana"/>
        </w:rPr>
        <w:t xml:space="preserve"> and</w:t>
      </w:r>
      <w:r w:rsidRPr="001E2BB1">
        <w:rPr>
          <w:rFonts w:eastAsia="Verdana"/>
        </w:rPr>
        <w:t xml:space="preserve"> the medical personnel decided that there was no reason for her </w:t>
      </w:r>
      <w:r w:rsidR="00F832FC" w:rsidRPr="001E2BB1">
        <w:rPr>
          <w:rFonts w:eastAsia="Verdana"/>
        </w:rPr>
        <w:t xml:space="preserve">to be </w:t>
      </w:r>
      <w:r w:rsidRPr="001E2BB1">
        <w:rPr>
          <w:rFonts w:eastAsia="Verdana"/>
        </w:rPr>
        <w:t>hospitaliz</w:t>
      </w:r>
      <w:r w:rsidR="00F832FC" w:rsidRPr="001E2BB1">
        <w:rPr>
          <w:rFonts w:eastAsia="Verdana"/>
        </w:rPr>
        <w:t>ed</w:t>
      </w:r>
      <w:r w:rsidRPr="001E2BB1">
        <w:rPr>
          <w:rFonts w:eastAsia="Verdana"/>
        </w:rPr>
        <w:t>.</w:t>
      </w:r>
      <w:r w:rsidR="00FB6592" w:rsidRPr="001E2BB1">
        <w:rPr>
          <w:rFonts w:eastAsia="Verdana"/>
        </w:rPr>
        <w:t xml:space="preserve"> </w:t>
      </w:r>
    </w:p>
    <w:p w:rsidR="005B1721" w:rsidRPr="001E2BB1" w:rsidRDefault="005B1721" w:rsidP="002110B0">
      <w:pPr>
        <w:pStyle w:val="SingleTxtG"/>
        <w:rPr>
          <w:rFonts w:eastAsia="Verdana"/>
        </w:rPr>
      </w:pPr>
      <w:r w:rsidRPr="001E2BB1">
        <w:rPr>
          <w:rFonts w:eastAsia="Verdana"/>
        </w:rPr>
        <w:t>2.4</w:t>
      </w:r>
      <w:r w:rsidRPr="001E2BB1">
        <w:rPr>
          <w:rFonts w:eastAsia="Verdana"/>
        </w:rPr>
        <w:tab/>
        <w:t xml:space="preserve">On 4 December 2006, </w:t>
      </w:r>
      <w:r w:rsidR="002110B0" w:rsidRPr="001E2BB1">
        <w:rPr>
          <w:rFonts w:eastAsia="Verdana"/>
        </w:rPr>
        <w:t>Ms. Golosubina</w:t>
      </w:r>
      <w:r w:rsidRPr="001E2BB1">
        <w:rPr>
          <w:rFonts w:eastAsia="Verdana"/>
        </w:rPr>
        <w:t xml:space="preserve"> </w:t>
      </w:r>
      <w:r w:rsidR="003F493B" w:rsidRPr="001E2BB1">
        <w:rPr>
          <w:rFonts w:eastAsia="Verdana"/>
        </w:rPr>
        <w:t>went for the</w:t>
      </w:r>
      <w:r w:rsidRPr="001E2BB1">
        <w:rPr>
          <w:rFonts w:eastAsia="Verdana"/>
        </w:rPr>
        <w:t xml:space="preserve"> scheduled replacement of </w:t>
      </w:r>
      <w:r w:rsidR="003F493B" w:rsidRPr="001E2BB1">
        <w:rPr>
          <w:rFonts w:eastAsia="Verdana"/>
        </w:rPr>
        <w:t>the</w:t>
      </w:r>
      <w:r w:rsidRPr="001E2BB1">
        <w:rPr>
          <w:rFonts w:eastAsia="Verdana"/>
        </w:rPr>
        <w:t xml:space="preserve"> plaster cast. However, no treatment was received as all medical staff </w:t>
      </w:r>
      <w:r w:rsidR="00F832FC" w:rsidRPr="001E2BB1">
        <w:rPr>
          <w:rFonts w:eastAsia="Verdana"/>
        </w:rPr>
        <w:t xml:space="preserve">were </w:t>
      </w:r>
      <w:r w:rsidRPr="001E2BB1">
        <w:rPr>
          <w:rFonts w:eastAsia="Verdana"/>
        </w:rPr>
        <w:t xml:space="preserve">out for training. The District Hospital’s Traumatology Unit refused to offer treatment to </w:t>
      </w:r>
      <w:r w:rsidR="002110B0" w:rsidRPr="001E2BB1">
        <w:rPr>
          <w:rFonts w:eastAsia="Verdana"/>
          <w:lang w:val="en-US"/>
        </w:rPr>
        <w:t>her</w:t>
      </w:r>
      <w:r w:rsidR="00CC0CD1" w:rsidRPr="001E2BB1">
        <w:rPr>
          <w:rFonts w:eastAsia="Verdana"/>
          <w:lang w:val="en-US"/>
        </w:rPr>
        <w:t xml:space="preserve"> </w:t>
      </w:r>
      <w:r w:rsidR="00F832FC" w:rsidRPr="001E2BB1">
        <w:rPr>
          <w:rFonts w:eastAsia="Verdana"/>
        </w:rPr>
        <w:t>on account of</w:t>
      </w:r>
      <w:r w:rsidRPr="001E2BB1">
        <w:rPr>
          <w:rFonts w:eastAsia="Verdana"/>
        </w:rPr>
        <w:t xml:space="preserve"> a lack of urgency. </w:t>
      </w:r>
      <w:r w:rsidR="002110B0" w:rsidRPr="001E2BB1">
        <w:rPr>
          <w:rFonts w:eastAsia="Verdana"/>
          <w:lang w:val="en-US"/>
        </w:rPr>
        <w:t>She</w:t>
      </w:r>
      <w:r w:rsidRPr="001E2BB1">
        <w:rPr>
          <w:rFonts w:eastAsia="Verdana"/>
        </w:rPr>
        <w:t xml:space="preserve"> resorted to a local </w:t>
      </w:r>
      <w:r w:rsidR="00F832FC" w:rsidRPr="001E2BB1">
        <w:rPr>
          <w:rFonts w:eastAsia="Verdana"/>
        </w:rPr>
        <w:t xml:space="preserve">health </w:t>
      </w:r>
      <w:r w:rsidRPr="001E2BB1">
        <w:rPr>
          <w:rFonts w:eastAsia="Verdana"/>
        </w:rPr>
        <w:t>clinic, which did not offer any treatment either and recommended a medical examination in a week</w:t>
      </w:r>
      <w:r w:rsidR="00F832FC" w:rsidRPr="001E2BB1">
        <w:rPr>
          <w:rFonts w:eastAsia="Verdana"/>
        </w:rPr>
        <w:t>’s time</w:t>
      </w:r>
      <w:r w:rsidRPr="001E2BB1">
        <w:rPr>
          <w:rFonts w:eastAsia="Verdana"/>
        </w:rPr>
        <w:t xml:space="preserve">. </w:t>
      </w:r>
    </w:p>
    <w:p w:rsidR="005B1721" w:rsidRPr="001E2BB1" w:rsidRDefault="005B1721" w:rsidP="002110B0">
      <w:pPr>
        <w:pStyle w:val="SingleTxtG"/>
        <w:rPr>
          <w:rFonts w:eastAsia="Verdana"/>
        </w:rPr>
      </w:pPr>
      <w:r w:rsidRPr="001E2BB1">
        <w:rPr>
          <w:rFonts w:eastAsia="Verdana"/>
        </w:rPr>
        <w:t>2.5</w:t>
      </w:r>
      <w:r w:rsidRPr="001E2BB1">
        <w:rPr>
          <w:rFonts w:eastAsia="Verdana"/>
        </w:rPr>
        <w:tab/>
        <w:t xml:space="preserve">On 5 December 2006, </w:t>
      </w:r>
      <w:r w:rsidR="002110B0" w:rsidRPr="001E2BB1">
        <w:rPr>
          <w:rFonts w:eastAsia="Verdana"/>
        </w:rPr>
        <w:t>Ms. Golosubina</w:t>
      </w:r>
      <w:r w:rsidRPr="001E2BB1">
        <w:rPr>
          <w:rFonts w:eastAsia="Verdana"/>
        </w:rPr>
        <w:t xml:space="preserve">’s health deteriorated further and she was </w:t>
      </w:r>
      <w:r w:rsidR="00F832FC" w:rsidRPr="001E2BB1">
        <w:rPr>
          <w:rFonts w:eastAsia="Verdana"/>
        </w:rPr>
        <w:t xml:space="preserve">taken </w:t>
      </w:r>
      <w:r w:rsidRPr="001E2BB1">
        <w:rPr>
          <w:rFonts w:eastAsia="Verdana"/>
        </w:rPr>
        <w:t>back to the District Hospital in Storozynets. According to a</w:t>
      </w:r>
      <w:r w:rsidR="0098604F" w:rsidRPr="001E2BB1">
        <w:rPr>
          <w:rFonts w:eastAsia="Verdana"/>
        </w:rPr>
        <w:t xml:space="preserve"> member of the hospital staff</w:t>
      </w:r>
      <w:r w:rsidRPr="001E2BB1">
        <w:rPr>
          <w:rFonts w:eastAsia="Verdana"/>
        </w:rPr>
        <w:t xml:space="preserve"> on duty, </w:t>
      </w:r>
      <w:r w:rsidR="002110B0" w:rsidRPr="001E2BB1">
        <w:rPr>
          <w:rFonts w:eastAsia="Verdana"/>
          <w:lang w:val="en-US"/>
        </w:rPr>
        <w:t>she</w:t>
      </w:r>
      <w:r w:rsidRPr="001E2BB1">
        <w:rPr>
          <w:rFonts w:eastAsia="Verdana"/>
        </w:rPr>
        <w:t xml:space="preserve"> was in a serious condition, reportedly as a result of neurasthenia. </w:t>
      </w:r>
      <w:r w:rsidR="00F832FC" w:rsidRPr="001E2BB1">
        <w:rPr>
          <w:rFonts w:eastAsia="Verdana"/>
        </w:rPr>
        <w:t>She</w:t>
      </w:r>
      <w:r w:rsidRPr="001E2BB1">
        <w:rPr>
          <w:rFonts w:eastAsia="Verdana"/>
        </w:rPr>
        <w:t xml:space="preserve"> was hospitalized in </w:t>
      </w:r>
      <w:r w:rsidR="00F832FC" w:rsidRPr="001E2BB1">
        <w:rPr>
          <w:rFonts w:eastAsia="Verdana"/>
        </w:rPr>
        <w:t xml:space="preserve">the </w:t>
      </w:r>
      <w:r w:rsidRPr="001E2BB1">
        <w:rPr>
          <w:rFonts w:eastAsia="Verdana"/>
        </w:rPr>
        <w:t xml:space="preserve">Head and Neck Surgery Department that day; </w:t>
      </w:r>
      <w:r w:rsidR="00886330" w:rsidRPr="001E2BB1">
        <w:rPr>
          <w:rFonts w:eastAsia="Verdana"/>
        </w:rPr>
        <w:t xml:space="preserve">however </w:t>
      </w:r>
      <w:r w:rsidRPr="001E2BB1">
        <w:rPr>
          <w:rFonts w:eastAsia="Verdana"/>
        </w:rPr>
        <w:t>she did not receive any treatment until 6 December 2006</w:t>
      </w:r>
      <w:r w:rsidR="00663069" w:rsidRPr="001E2BB1">
        <w:rPr>
          <w:rFonts w:eastAsia="Verdana"/>
        </w:rPr>
        <w:t>,</w:t>
      </w:r>
      <w:r w:rsidRPr="001E2BB1">
        <w:rPr>
          <w:rFonts w:eastAsia="Verdana"/>
        </w:rPr>
        <w:t xml:space="preserve"> when a request was made for her transfer to the Regional Psychiatric Hospital in Cernivitsi. </w:t>
      </w:r>
    </w:p>
    <w:p w:rsidR="005B1721" w:rsidRPr="001E2BB1" w:rsidRDefault="005B1721" w:rsidP="005B1721">
      <w:pPr>
        <w:pStyle w:val="SingleTxtG"/>
        <w:rPr>
          <w:rFonts w:eastAsia="Verdana"/>
        </w:rPr>
      </w:pPr>
      <w:r w:rsidRPr="001E2BB1">
        <w:rPr>
          <w:rFonts w:eastAsia="Verdana"/>
        </w:rPr>
        <w:t>2.6</w:t>
      </w:r>
      <w:r w:rsidRPr="001E2BB1">
        <w:rPr>
          <w:rFonts w:eastAsia="Verdana"/>
        </w:rPr>
        <w:tab/>
        <w:t xml:space="preserve">On 6 December 2006, </w:t>
      </w:r>
      <w:r w:rsidR="002110B0" w:rsidRPr="001E2BB1">
        <w:rPr>
          <w:rFonts w:eastAsia="Verdana"/>
        </w:rPr>
        <w:t>Ms. Golosubina</w:t>
      </w:r>
      <w:r w:rsidRPr="001E2BB1">
        <w:rPr>
          <w:rFonts w:eastAsia="Verdana"/>
        </w:rPr>
        <w:t xml:space="preserve"> was transferred to the Regional Psychiatric Hospital in Cernivitsi</w:t>
      </w:r>
      <w:r w:rsidR="009B5501" w:rsidRPr="001E2BB1">
        <w:rPr>
          <w:rFonts w:eastAsia="Verdana"/>
        </w:rPr>
        <w:t>,</w:t>
      </w:r>
      <w:r w:rsidRPr="001E2BB1">
        <w:rPr>
          <w:rFonts w:eastAsia="Verdana"/>
        </w:rPr>
        <w:t xml:space="preserve"> where she died on 7 December 2006 without a diagnosis being established. The autopsy</w:t>
      </w:r>
      <w:r w:rsidR="00F832FC" w:rsidRPr="001E2BB1">
        <w:rPr>
          <w:rFonts w:eastAsia="Verdana"/>
        </w:rPr>
        <w:t>,</w:t>
      </w:r>
      <w:r w:rsidRPr="001E2BB1">
        <w:rPr>
          <w:rFonts w:eastAsia="Verdana"/>
        </w:rPr>
        <w:t xml:space="preserve"> </w:t>
      </w:r>
      <w:r w:rsidR="00F832FC" w:rsidRPr="001E2BB1">
        <w:rPr>
          <w:rFonts w:eastAsia="Verdana"/>
        </w:rPr>
        <w:t>which was performed</w:t>
      </w:r>
      <w:r w:rsidRPr="001E2BB1">
        <w:rPr>
          <w:rFonts w:eastAsia="Verdana"/>
        </w:rPr>
        <w:t xml:space="preserve"> on the same day</w:t>
      </w:r>
      <w:r w:rsidR="00F832FC" w:rsidRPr="001E2BB1">
        <w:rPr>
          <w:rFonts w:eastAsia="Verdana"/>
        </w:rPr>
        <w:t>,</w:t>
      </w:r>
      <w:r w:rsidRPr="001E2BB1">
        <w:rPr>
          <w:rFonts w:eastAsia="Verdana"/>
        </w:rPr>
        <w:t xml:space="preserve"> revealed thrombophlebitis of </w:t>
      </w:r>
      <w:r w:rsidR="00F832FC" w:rsidRPr="001E2BB1">
        <w:rPr>
          <w:rFonts w:eastAsia="Verdana"/>
        </w:rPr>
        <w:t xml:space="preserve">the </w:t>
      </w:r>
      <w:r w:rsidRPr="001E2BB1">
        <w:rPr>
          <w:rFonts w:eastAsia="Verdana"/>
        </w:rPr>
        <w:t xml:space="preserve">veins </w:t>
      </w:r>
      <w:r w:rsidR="00F832FC" w:rsidRPr="001E2BB1">
        <w:rPr>
          <w:rFonts w:eastAsia="Verdana"/>
        </w:rPr>
        <w:t xml:space="preserve">in </w:t>
      </w:r>
      <w:r w:rsidRPr="001E2BB1">
        <w:rPr>
          <w:rFonts w:eastAsia="Verdana"/>
        </w:rPr>
        <w:t xml:space="preserve">the left lower </w:t>
      </w:r>
      <w:r w:rsidR="00663069" w:rsidRPr="001E2BB1">
        <w:rPr>
          <w:rFonts w:eastAsia="Verdana"/>
        </w:rPr>
        <w:t>leg</w:t>
      </w:r>
      <w:r w:rsidR="007C062A" w:rsidRPr="001E2BB1">
        <w:rPr>
          <w:rFonts w:eastAsia="Verdana"/>
        </w:rPr>
        <w:t>.</w:t>
      </w:r>
    </w:p>
    <w:p w:rsidR="005B1721" w:rsidRPr="001E2BB1" w:rsidRDefault="005B1721" w:rsidP="005B1721">
      <w:pPr>
        <w:pStyle w:val="SingleTxtG"/>
        <w:rPr>
          <w:rFonts w:eastAsia="Verdana"/>
        </w:rPr>
      </w:pPr>
      <w:r w:rsidRPr="001E2BB1">
        <w:rPr>
          <w:rFonts w:eastAsia="Verdana"/>
        </w:rPr>
        <w:t>2.7</w:t>
      </w:r>
      <w:r w:rsidRPr="001E2BB1">
        <w:rPr>
          <w:rFonts w:eastAsia="Verdana"/>
        </w:rPr>
        <w:tab/>
        <w:t xml:space="preserve">The author filed a complaint alleging medical malpractice before the Storozynetsky District Prosecutor’s Office, which decided on 12 February 2007 not to initiate criminal proceedings. On 3 April 2007, the Cernivitsi Regional Prosecutor’s Office dismissed the author’s request to </w:t>
      </w:r>
      <w:r w:rsidR="009B5501" w:rsidRPr="001E2BB1">
        <w:rPr>
          <w:rFonts w:eastAsia="Verdana"/>
        </w:rPr>
        <w:t xml:space="preserve">revoke </w:t>
      </w:r>
      <w:r w:rsidRPr="001E2BB1">
        <w:rPr>
          <w:rFonts w:eastAsia="Verdana"/>
        </w:rPr>
        <w:t xml:space="preserve">the negative decision of the District Prosecutor. On 28 April 2007, the Storozynetsky District Court, Cernivitsi Region, refused to </w:t>
      </w:r>
      <w:r w:rsidR="009B5501" w:rsidRPr="001E2BB1">
        <w:rPr>
          <w:rFonts w:eastAsia="Verdana"/>
        </w:rPr>
        <w:t xml:space="preserve">revoke </w:t>
      </w:r>
      <w:r w:rsidRPr="001E2BB1">
        <w:rPr>
          <w:rFonts w:eastAsia="Verdana"/>
        </w:rPr>
        <w:t>the decisions of the Prosecutor’s Offices and dismissed the claims by the author. On 1 June 2007, the Cernivitsky Regional Court dismissed the author’s appeal</w:t>
      </w:r>
      <w:r w:rsidR="00FF5F29" w:rsidRPr="001E2BB1">
        <w:rPr>
          <w:rFonts w:eastAsia="Verdana"/>
        </w:rPr>
        <w:t>,</w:t>
      </w:r>
      <w:r w:rsidRPr="001E2BB1">
        <w:rPr>
          <w:rFonts w:eastAsia="Verdana"/>
        </w:rPr>
        <w:t xml:space="preserve"> where</w:t>
      </w:r>
      <w:r w:rsidR="00FF5F29" w:rsidRPr="001E2BB1">
        <w:rPr>
          <w:rFonts w:eastAsia="Verdana"/>
        </w:rPr>
        <w:t>upon</w:t>
      </w:r>
      <w:r w:rsidRPr="001E2BB1">
        <w:rPr>
          <w:rFonts w:eastAsia="Verdana"/>
        </w:rPr>
        <w:t xml:space="preserve"> the District Court’s decision became final. Given the nature and number of appeals </w:t>
      </w:r>
      <w:r w:rsidR="00FF5F29" w:rsidRPr="001E2BB1">
        <w:rPr>
          <w:rFonts w:eastAsia="Verdana"/>
        </w:rPr>
        <w:t>made for</w:t>
      </w:r>
      <w:r w:rsidRPr="001E2BB1">
        <w:rPr>
          <w:rFonts w:eastAsia="Verdana"/>
        </w:rPr>
        <w:t xml:space="preserve"> criminal proceedings </w:t>
      </w:r>
      <w:r w:rsidR="00FF5F29" w:rsidRPr="001E2BB1">
        <w:rPr>
          <w:rFonts w:eastAsia="Verdana"/>
        </w:rPr>
        <w:t xml:space="preserve">to be </w:t>
      </w:r>
      <w:r w:rsidRPr="001E2BB1">
        <w:rPr>
          <w:rFonts w:eastAsia="Verdana"/>
        </w:rPr>
        <w:t>instituted</w:t>
      </w:r>
      <w:r w:rsidR="00FF5F29" w:rsidRPr="001E2BB1">
        <w:rPr>
          <w:rFonts w:eastAsia="Verdana"/>
        </w:rPr>
        <w:t>,</w:t>
      </w:r>
      <w:r w:rsidRPr="001E2BB1">
        <w:rPr>
          <w:rFonts w:eastAsia="Verdana"/>
        </w:rPr>
        <w:t xml:space="preserve"> </w:t>
      </w:r>
      <w:r w:rsidR="00FF5F29" w:rsidRPr="001E2BB1">
        <w:rPr>
          <w:rFonts w:eastAsia="Verdana"/>
        </w:rPr>
        <w:t>together with</w:t>
      </w:r>
      <w:r w:rsidRPr="001E2BB1">
        <w:rPr>
          <w:rFonts w:eastAsia="Verdana"/>
        </w:rPr>
        <w:t xml:space="preserve"> the absence of guidance in the Regional Court’s decision on further available domestic remedies, the author maintains that all available effective domestic remedies have been exhausted. </w:t>
      </w:r>
    </w:p>
    <w:p w:rsidR="005B1721" w:rsidRPr="001E2BB1" w:rsidRDefault="005B1721" w:rsidP="005B1721">
      <w:pPr>
        <w:pStyle w:val="SingleTxtG"/>
        <w:rPr>
          <w:rFonts w:eastAsia="Verdana"/>
        </w:rPr>
      </w:pPr>
      <w:r w:rsidRPr="001E2BB1">
        <w:rPr>
          <w:rFonts w:eastAsia="Verdana"/>
        </w:rPr>
        <w:t>2.8</w:t>
      </w:r>
      <w:r w:rsidRPr="001E2BB1">
        <w:rPr>
          <w:rFonts w:eastAsia="Verdana"/>
        </w:rPr>
        <w:tab/>
        <w:t>On 21 June 2007, the author submitted a complaint to the European Court of Human Rights, which was registered under no. 27433/07</w:t>
      </w:r>
      <w:r w:rsidR="00FF5F29" w:rsidRPr="001E2BB1">
        <w:rPr>
          <w:rFonts w:eastAsia="Verdana"/>
        </w:rPr>
        <w:t>,</w:t>
      </w:r>
      <w:r w:rsidRPr="001E2BB1">
        <w:rPr>
          <w:rFonts w:eastAsia="Verdana"/>
        </w:rPr>
        <w:t xml:space="preserve"> for alleged violations of articles 2, 6 and 13 of the </w:t>
      </w:r>
      <w:r w:rsidRPr="001E2BB1">
        <w:rPr>
          <w:rFonts w:eastAsia="Verdana"/>
          <w:bCs/>
        </w:rPr>
        <w:t>Convention for the Protection of Human Rights and Fundamental Freedoms</w:t>
      </w:r>
      <w:r w:rsidR="00FF5F29" w:rsidRPr="001E2BB1">
        <w:rPr>
          <w:rFonts w:eastAsia="Verdana"/>
          <w:bCs/>
        </w:rPr>
        <w:t xml:space="preserve"> (European Convention on Human Rights)</w:t>
      </w:r>
      <w:r w:rsidRPr="001E2BB1">
        <w:rPr>
          <w:rFonts w:eastAsia="Verdana"/>
        </w:rPr>
        <w:t>. However, on 22 September 2011, the European Court of Human Rights</w:t>
      </w:r>
      <w:r w:rsidR="00AA072E" w:rsidRPr="001E2BB1">
        <w:rPr>
          <w:rFonts w:eastAsia="Verdana"/>
        </w:rPr>
        <w:t>,</w:t>
      </w:r>
      <w:r w:rsidRPr="001E2BB1">
        <w:rPr>
          <w:rFonts w:eastAsia="Verdana"/>
        </w:rPr>
        <w:t xml:space="preserve"> </w:t>
      </w:r>
      <w:r w:rsidR="00AA072E" w:rsidRPr="001E2BB1">
        <w:rPr>
          <w:rFonts w:eastAsia="Verdana"/>
        </w:rPr>
        <w:t xml:space="preserve">in </w:t>
      </w:r>
      <w:r w:rsidRPr="001E2BB1">
        <w:rPr>
          <w:rFonts w:eastAsia="Verdana"/>
        </w:rPr>
        <w:t xml:space="preserve">a decision </w:t>
      </w:r>
      <w:r w:rsidR="00E70D8F" w:rsidRPr="001E2BB1">
        <w:rPr>
          <w:rFonts w:eastAsia="Verdana"/>
        </w:rPr>
        <w:t xml:space="preserve">by a </w:t>
      </w:r>
      <w:r w:rsidRPr="001E2BB1">
        <w:rPr>
          <w:rFonts w:eastAsia="Verdana"/>
        </w:rPr>
        <w:t>single judge</w:t>
      </w:r>
      <w:r w:rsidR="00E70D8F" w:rsidRPr="001E2BB1">
        <w:rPr>
          <w:rFonts w:eastAsia="Verdana"/>
        </w:rPr>
        <w:t>,</w:t>
      </w:r>
      <w:r w:rsidRPr="001E2BB1">
        <w:rPr>
          <w:rFonts w:eastAsia="Verdana"/>
        </w:rPr>
        <w:t xml:space="preserve"> considered that the author’s application did not fall within the competence </w:t>
      </w:r>
      <w:r w:rsidR="00E70D8F" w:rsidRPr="001E2BB1">
        <w:rPr>
          <w:rFonts w:eastAsia="Verdana"/>
        </w:rPr>
        <w:t xml:space="preserve">of the Court </w:t>
      </w:r>
      <w:r w:rsidRPr="001E2BB1">
        <w:rPr>
          <w:rFonts w:eastAsia="Verdana"/>
        </w:rPr>
        <w:t xml:space="preserve">and that it was inadmissible under articles 34 and 35 of the Convention, without </w:t>
      </w:r>
      <w:r w:rsidR="00E70D8F" w:rsidRPr="001E2BB1">
        <w:rPr>
          <w:rFonts w:eastAsia="Verdana"/>
        </w:rPr>
        <w:t xml:space="preserve">giving </w:t>
      </w:r>
      <w:r w:rsidRPr="001E2BB1">
        <w:rPr>
          <w:rFonts w:eastAsia="Verdana"/>
        </w:rPr>
        <w:t xml:space="preserve">specific reasons for the decision. </w:t>
      </w:r>
    </w:p>
    <w:p w:rsidR="005B1721" w:rsidRPr="001E2BB1" w:rsidRDefault="007C062A" w:rsidP="007C062A">
      <w:pPr>
        <w:pStyle w:val="H23G"/>
        <w:rPr>
          <w:rFonts w:eastAsia="Verdana"/>
        </w:rPr>
      </w:pPr>
      <w:r w:rsidRPr="001E2BB1">
        <w:rPr>
          <w:rFonts w:eastAsia="Verdana"/>
        </w:rPr>
        <w:lastRenderedPageBreak/>
        <w:tab/>
      </w:r>
      <w:r w:rsidRPr="001E2BB1">
        <w:rPr>
          <w:rFonts w:eastAsia="Verdana"/>
        </w:rPr>
        <w:tab/>
      </w:r>
      <w:r w:rsidR="005B1721" w:rsidRPr="001E2BB1">
        <w:rPr>
          <w:rFonts w:eastAsia="Verdana"/>
        </w:rPr>
        <w:t>The complaint</w:t>
      </w:r>
    </w:p>
    <w:p w:rsidR="005B1721" w:rsidRPr="001E2BB1" w:rsidRDefault="005B1721" w:rsidP="005B1721">
      <w:pPr>
        <w:pStyle w:val="SingleTxtG"/>
        <w:rPr>
          <w:rFonts w:eastAsia="Verdana"/>
        </w:rPr>
      </w:pPr>
      <w:r w:rsidRPr="001E2BB1">
        <w:rPr>
          <w:rFonts w:eastAsia="Verdana"/>
        </w:rPr>
        <w:t>3.1</w:t>
      </w:r>
      <w:r w:rsidRPr="001E2BB1">
        <w:rPr>
          <w:rFonts w:eastAsia="Verdana"/>
        </w:rPr>
        <w:tab/>
        <w:t xml:space="preserve">The author alleges violations of articles 6, paragraph 1, and 14, paragraph 1, of the Covenant, </w:t>
      </w:r>
      <w:r w:rsidR="00E70D8F" w:rsidRPr="001E2BB1">
        <w:rPr>
          <w:rFonts w:eastAsia="Verdana"/>
        </w:rPr>
        <w:t xml:space="preserve">related </w:t>
      </w:r>
      <w:r w:rsidRPr="001E2BB1">
        <w:rPr>
          <w:rFonts w:eastAsia="Verdana"/>
        </w:rPr>
        <w:t xml:space="preserve">to the death of the author’s sister as a result of inappropriate treatment and the subsequent refusal </w:t>
      </w:r>
      <w:r w:rsidR="00E70D8F" w:rsidRPr="001E2BB1">
        <w:rPr>
          <w:rFonts w:eastAsia="Verdana"/>
        </w:rPr>
        <w:t xml:space="preserve">of her request </w:t>
      </w:r>
      <w:r w:rsidRPr="001E2BB1">
        <w:rPr>
          <w:rFonts w:eastAsia="Verdana"/>
        </w:rPr>
        <w:t xml:space="preserve">to initiate </w:t>
      </w:r>
      <w:r w:rsidR="008F34FE" w:rsidRPr="001E2BB1">
        <w:rPr>
          <w:rFonts w:eastAsia="Verdana"/>
        </w:rPr>
        <w:t xml:space="preserve">a </w:t>
      </w:r>
      <w:r w:rsidRPr="001E2BB1">
        <w:rPr>
          <w:rFonts w:eastAsia="Verdana"/>
        </w:rPr>
        <w:t>criminal investigation</w:t>
      </w:r>
      <w:r w:rsidR="008F34FE" w:rsidRPr="001E2BB1">
        <w:rPr>
          <w:rFonts w:eastAsia="Verdana"/>
        </w:rPr>
        <w:t xml:space="preserve"> into the matter</w:t>
      </w:r>
      <w:r w:rsidRPr="001E2BB1">
        <w:rPr>
          <w:rFonts w:eastAsia="Verdana"/>
        </w:rPr>
        <w:t xml:space="preserve">. </w:t>
      </w:r>
    </w:p>
    <w:p w:rsidR="005B1721" w:rsidRPr="001E2BB1" w:rsidRDefault="005B1721" w:rsidP="005B1721">
      <w:pPr>
        <w:pStyle w:val="SingleTxtG"/>
        <w:rPr>
          <w:rFonts w:eastAsia="Verdana"/>
        </w:rPr>
      </w:pPr>
      <w:r w:rsidRPr="001E2BB1">
        <w:rPr>
          <w:rFonts w:eastAsia="Verdana"/>
        </w:rPr>
        <w:t>3.2</w:t>
      </w:r>
      <w:r w:rsidRPr="001E2BB1">
        <w:rPr>
          <w:rFonts w:eastAsia="Verdana"/>
        </w:rPr>
        <w:tab/>
        <w:t xml:space="preserve">The refusal to institute criminal proceedings </w:t>
      </w:r>
      <w:r w:rsidR="00E70D8F" w:rsidRPr="001E2BB1">
        <w:rPr>
          <w:rFonts w:eastAsia="Verdana"/>
        </w:rPr>
        <w:t xml:space="preserve">has </w:t>
      </w:r>
      <w:r w:rsidRPr="001E2BB1">
        <w:rPr>
          <w:rFonts w:eastAsia="Verdana"/>
        </w:rPr>
        <w:t>allegedly prevent</w:t>
      </w:r>
      <w:r w:rsidR="00E70D8F" w:rsidRPr="001E2BB1">
        <w:rPr>
          <w:rFonts w:eastAsia="Verdana"/>
        </w:rPr>
        <w:t>ed</w:t>
      </w:r>
      <w:r w:rsidRPr="001E2BB1">
        <w:rPr>
          <w:rFonts w:eastAsia="Verdana"/>
        </w:rPr>
        <w:t xml:space="preserve"> </w:t>
      </w:r>
      <w:r w:rsidR="00E70D8F" w:rsidRPr="001E2BB1">
        <w:rPr>
          <w:rFonts w:eastAsia="Verdana"/>
        </w:rPr>
        <w:t xml:space="preserve">an </w:t>
      </w:r>
      <w:r w:rsidRPr="001E2BB1">
        <w:rPr>
          <w:rFonts w:eastAsia="Verdana"/>
        </w:rPr>
        <w:t>effective investigation into the causes of the death of the author’s sister</w:t>
      </w:r>
      <w:r w:rsidR="008F34FE" w:rsidRPr="001E2BB1">
        <w:rPr>
          <w:rFonts w:eastAsia="Verdana"/>
        </w:rPr>
        <w:t>,</w:t>
      </w:r>
      <w:r w:rsidRPr="001E2BB1">
        <w:rPr>
          <w:rFonts w:eastAsia="Verdana"/>
        </w:rPr>
        <w:t xml:space="preserve"> including the exact type of medical treatment received</w:t>
      </w:r>
      <w:r w:rsidR="00F57533" w:rsidRPr="001E2BB1">
        <w:rPr>
          <w:rFonts w:eastAsia="Verdana"/>
        </w:rPr>
        <w:t>;</w:t>
      </w:r>
      <w:r w:rsidRPr="001E2BB1">
        <w:rPr>
          <w:rFonts w:eastAsia="Verdana"/>
        </w:rPr>
        <w:t xml:space="preserve"> casts doubt on the general protection of the right to life</w:t>
      </w:r>
      <w:r w:rsidR="00F57533" w:rsidRPr="001E2BB1">
        <w:rPr>
          <w:rFonts w:eastAsia="Verdana"/>
        </w:rPr>
        <w:t>;</w:t>
      </w:r>
      <w:r w:rsidRPr="001E2BB1">
        <w:rPr>
          <w:rFonts w:eastAsia="Verdana"/>
        </w:rPr>
        <w:t xml:space="preserve"> and makes it impossible to establish accountability for the reported negligence </w:t>
      </w:r>
      <w:r w:rsidR="00E70D8F" w:rsidRPr="001E2BB1">
        <w:rPr>
          <w:rFonts w:eastAsia="Verdana"/>
        </w:rPr>
        <w:t xml:space="preserve">on the part </w:t>
      </w:r>
      <w:r w:rsidRPr="001E2BB1">
        <w:rPr>
          <w:rFonts w:eastAsia="Verdana"/>
        </w:rPr>
        <w:t xml:space="preserve">of medical personnel </w:t>
      </w:r>
      <w:r w:rsidR="00F57533" w:rsidRPr="001E2BB1">
        <w:rPr>
          <w:rFonts w:eastAsia="Verdana"/>
        </w:rPr>
        <w:t xml:space="preserve">or </w:t>
      </w:r>
      <w:r w:rsidRPr="001E2BB1">
        <w:rPr>
          <w:rFonts w:eastAsia="Verdana"/>
        </w:rPr>
        <w:t>to receive adequate compensation.</w:t>
      </w:r>
      <w:r w:rsidR="00FB6592" w:rsidRPr="001E2BB1">
        <w:rPr>
          <w:rFonts w:eastAsia="Verdana"/>
        </w:rPr>
        <w:t xml:space="preserve"> </w:t>
      </w:r>
    </w:p>
    <w:p w:rsidR="005B1721" w:rsidRPr="001E2BB1" w:rsidRDefault="005B1721" w:rsidP="005B1721">
      <w:pPr>
        <w:pStyle w:val="SingleTxtG"/>
        <w:rPr>
          <w:rFonts w:eastAsia="Verdana"/>
        </w:rPr>
      </w:pPr>
      <w:r w:rsidRPr="001E2BB1">
        <w:rPr>
          <w:rFonts w:eastAsia="Verdana"/>
        </w:rPr>
        <w:t>3.3</w:t>
      </w:r>
      <w:r w:rsidRPr="001E2BB1">
        <w:rPr>
          <w:rFonts w:eastAsia="Verdana"/>
        </w:rPr>
        <w:tab/>
      </w:r>
      <w:r w:rsidR="00E70D8F" w:rsidRPr="001E2BB1">
        <w:rPr>
          <w:rFonts w:eastAsia="Verdana"/>
        </w:rPr>
        <w:t>The author also alleges that, i</w:t>
      </w:r>
      <w:r w:rsidR="008F34FE" w:rsidRPr="001E2BB1">
        <w:rPr>
          <w:rFonts w:eastAsia="Verdana"/>
        </w:rPr>
        <w:t xml:space="preserve">n addition to </w:t>
      </w:r>
      <w:r w:rsidR="00A86981" w:rsidRPr="001E2BB1">
        <w:rPr>
          <w:rFonts w:eastAsia="Verdana"/>
        </w:rPr>
        <w:t xml:space="preserve">the </w:t>
      </w:r>
      <w:r w:rsidRPr="001E2BB1">
        <w:rPr>
          <w:rFonts w:eastAsia="Verdana"/>
        </w:rPr>
        <w:t xml:space="preserve">violations of the above articles, the substantial </w:t>
      </w:r>
      <w:r w:rsidR="003943B7" w:rsidRPr="001E2BB1">
        <w:rPr>
          <w:rFonts w:eastAsia="Verdana"/>
        </w:rPr>
        <w:t>failure to comply with</w:t>
      </w:r>
      <w:r w:rsidRPr="001E2BB1">
        <w:rPr>
          <w:rFonts w:eastAsia="Verdana"/>
        </w:rPr>
        <w:t xml:space="preserve"> medical standards resulted in the signs of potential thrombosis </w:t>
      </w:r>
      <w:r w:rsidR="008F34FE" w:rsidRPr="001E2BB1">
        <w:rPr>
          <w:rFonts w:eastAsia="Verdana"/>
        </w:rPr>
        <w:t xml:space="preserve">being </w:t>
      </w:r>
      <w:r w:rsidR="00A86981" w:rsidRPr="001E2BB1">
        <w:rPr>
          <w:rFonts w:eastAsia="Verdana"/>
        </w:rPr>
        <w:t>ignored and remaining</w:t>
      </w:r>
      <w:r w:rsidR="0086786D" w:rsidRPr="001E2BB1">
        <w:rPr>
          <w:rFonts w:eastAsia="Verdana"/>
        </w:rPr>
        <w:t xml:space="preserve"> </w:t>
      </w:r>
      <w:r w:rsidR="00A86981" w:rsidRPr="001E2BB1">
        <w:rPr>
          <w:rFonts w:eastAsia="Verdana"/>
        </w:rPr>
        <w:t>untreated</w:t>
      </w:r>
      <w:r w:rsidR="0086786D" w:rsidRPr="001E2BB1">
        <w:rPr>
          <w:rFonts w:eastAsia="Verdana"/>
        </w:rPr>
        <w:t>,</w:t>
      </w:r>
      <w:r w:rsidRPr="001E2BB1">
        <w:rPr>
          <w:rFonts w:eastAsia="Verdana"/>
        </w:rPr>
        <w:t xml:space="preserve"> which, together with the </w:t>
      </w:r>
      <w:r w:rsidR="008F34FE" w:rsidRPr="001E2BB1">
        <w:rPr>
          <w:rFonts w:eastAsia="Verdana"/>
        </w:rPr>
        <w:t>failure to</w:t>
      </w:r>
      <w:r w:rsidRPr="001E2BB1">
        <w:rPr>
          <w:rFonts w:eastAsia="Verdana"/>
        </w:rPr>
        <w:t xml:space="preserve"> </w:t>
      </w:r>
      <w:r w:rsidR="008F34FE" w:rsidRPr="001E2BB1">
        <w:rPr>
          <w:rFonts w:eastAsia="Verdana"/>
        </w:rPr>
        <w:t>admit</w:t>
      </w:r>
      <w:r w:rsidRPr="001E2BB1">
        <w:rPr>
          <w:rFonts w:eastAsia="Verdana"/>
        </w:rPr>
        <w:t xml:space="preserve"> </w:t>
      </w:r>
      <w:r w:rsidR="002110B0" w:rsidRPr="001E2BB1">
        <w:rPr>
          <w:rFonts w:eastAsia="Verdana"/>
        </w:rPr>
        <w:t>Ms. Golosubina</w:t>
      </w:r>
      <w:r w:rsidRPr="001E2BB1">
        <w:rPr>
          <w:rFonts w:eastAsia="Verdana"/>
        </w:rPr>
        <w:t xml:space="preserve"> to a traumatology unit </w:t>
      </w:r>
      <w:r w:rsidR="008F34FE" w:rsidRPr="001E2BB1">
        <w:rPr>
          <w:rFonts w:eastAsia="Verdana"/>
        </w:rPr>
        <w:t xml:space="preserve">at </w:t>
      </w:r>
      <w:r w:rsidRPr="001E2BB1">
        <w:rPr>
          <w:rFonts w:eastAsia="Verdana"/>
        </w:rPr>
        <w:t xml:space="preserve">the Regional Hospital and </w:t>
      </w:r>
      <w:r w:rsidR="008F34FE" w:rsidRPr="001E2BB1">
        <w:rPr>
          <w:rFonts w:eastAsia="Verdana"/>
        </w:rPr>
        <w:t xml:space="preserve">her </w:t>
      </w:r>
      <w:r w:rsidRPr="001E2BB1">
        <w:rPr>
          <w:rFonts w:eastAsia="Verdana"/>
        </w:rPr>
        <w:t xml:space="preserve">ultimate </w:t>
      </w:r>
      <w:r w:rsidR="00A86981" w:rsidRPr="001E2BB1">
        <w:rPr>
          <w:rFonts w:eastAsia="Verdana"/>
        </w:rPr>
        <w:t>admission to</w:t>
      </w:r>
      <w:r w:rsidRPr="001E2BB1">
        <w:rPr>
          <w:rFonts w:eastAsia="Verdana"/>
        </w:rPr>
        <w:t xml:space="preserve"> the psychiatric clinic, led to the death of the author’s sister.</w:t>
      </w:r>
      <w:r w:rsidR="00FB6592" w:rsidRPr="001E2BB1">
        <w:rPr>
          <w:rFonts w:eastAsia="Verdana"/>
        </w:rPr>
        <w:t xml:space="preserve"> </w:t>
      </w:r>
    </w:p>
    <w:p w:rsidR="005B1721" w:rsidRPr="001E2BB1" w:rsidRDefault="007C062A" w:rsidP="007C062A">
      <w:pPr>
        <w:pStyle w:val="H23G"/>
      </w:pPr>
      <w:r w:rsidRPr="001E2BB1">
        <w:tab/>
      </w:r>
      <w:r w:rsidRPr="001E2BB1">
        <w:tab/>
      </w:r>
      <w:r w:rsidR="005B1721" w:rsidRPr="001E2BB1">
        <w:t>The State party’s observations on admissibility and merits</w:t>
      </w:r>
    </w:p>
    <w:p w:rsidR="005B1721" w:rsidRPr="001E2BB1" w:rsidRDefault="005B1721" w:rsidP="005B1721">
      <w:pPr>
        <w:pStyle w:val="SingleTxtG"/>
        <w:rPr>
          <w:rFonts w:eastAsia="Verdana"/>
        </w:rPr>
      </w:pPr>
      <w:r w:rsidRPr="001E2BB1">
        <w:t>4.1</w:t>
      </w:r>
      <w:r w:rsidRPr="001E2BB1">
        <w:tab/>
        <w:t xml:space="preserve"> On 19 July 2013, the State party submit</w:t>
      </w:r>
      <w:r w:rsidR="008F0487" w:rsidRPr="001E2BB1">
        <w:rPr>
          <w:lang w:val="en-US"/>
        </w:rPr>
        <w:t>ted</w:t>
      </w:r>
      <w:r w:rsidRPr="001E2BB1">
        <w:t xml:space="preserve"> that the communication should be declared inadmissible under article 5, paragraph 2 (b)</w:t>
      </w:r>
      <w:r w:rsidR="0086786D" w:rsidRPr="001E2BB1">
        <w:t>,</w:t>
      </w:r>
      <w:r w:rsidRPr="001E2BB1">
        <w:t xml:space="preserve"> of the Optional Protocol since the author had failed to exhaust the available domestic remedies. </w:t>
      </w:r>
      <w:r w:rsidR="0086786D" w:rsidRPr="001E2BB1">
        <w:t>Specifically</w:t>
      </w:r>
      <w:r w:rsidRPr="001E2BB1">
        <w:t xml:space="preserve">, the State party argues that the author had the opportunity to file a cassation appeal against the 1 June 2007 decision of the Court of Appeals </w:t>
      </w:r>
      <w:r w:rsidRPr="001E2BB1">
        <w:rPr>
          <w:rFonts w:eastAsia="Verdana"/>
        </w:rPr>
        <w:t xml:space="preserve">in accordance with articles 383 and 384 of the Criminal Procedure Code of Ukraine. The State party submits that the cassation court verifies the legality and the validity of the lower court’s decision </w:t>
      </w:r>
      <w:r w:rsidR="0086786D" w:rsidRPr="001E2BB1">
        <w:rPr>
          <w:rFonts w:eastAsia="Verdana"/>
        </w:rPr>
        <w:t>on the basis of</w:t>
      </w:r>
      <w:r w:rsidRPr="001E2BB1">
        <w:rPr>
          <w:rFonts w:eastAsia="Verdana"/>
        </w:rPr>
        <w:t xml:space="preserve"> the record available and additional evidence,</w:t>
      </w:r>
      <w:r w:rsidR="0098604F" w:rsidRPr="001E2BB1">
        <w:rPr>
          <w:rFonts w:eastAsia="Verdana"/>
        </w:rPr>
        <w:t xml:space="preserve"> in relation to the grounds raised in the appeal</w:t>
      </w:r>
      <w:r w:rsidRPr="001E2BB1">
        <w:rPr>
          <w:rFonts w:eastAsia="Verdana"/>
        </w:rPr>
        <w:t xml:space="preserve"> . The cassation courts are obliged to </w:t>
      </w:r>
      <w:r w:rsidR="009027D7" w:rsidRPr="001E2BB1">
        <w:rPr>
          <w:rFonts w:eastAsia="Verdana"/>
        </w:rPr>
        <w:t xml:space="preserve">remedy </w:t>
      </w:r>
      <w:r w:rsidRPr="001E2BB1">
        <w:rPr>
          <w:rFonts w:eastAsia="Verdana"/>
        </w:rPr>
        <w:t>violations of the law committed by the courts of previous instances. The cassation court may amend the decision of the lower court</w:t>
      </w:r>
      <w:r w:rsidR="00F747A7" w:rsidRPr="001E2BB1">
        <w:rPr>
          <w:rFonts w:eastAsia="Verdana"/>
          <w:lang w:val="en-US"/>
        </w:rPr>
        <w:t>,</w:t>
      </w:r>
      <w:r w:rsidRPr="001E2BB1">
        <w:rPr>
          <w:rFonts w:eastAsia="Verdana"/>
        </w:rPr>
        <w:t xml:space="preserve"> or revoke its decision and return the case for retrial on the following grounds: a</w:t>
      </w:r>
      <w:r w:rsidR="00920D9A" w:rsidRPr="001E2BB1">
        <w:rPr>
          <w:rFonts w:eastAsia="Verdana"/>
        </w:rPr>
        <w:t xml:space="preserve"> substantial violation</w:t>
      </w:r>
      <w:r w:rsidRPr="001E2BB1">
        <w:rPr>
          <w:rFonts w:eastAsia="Verdana"/>
        </w:rPr>
        <w:t xml:space="preserve"> of the rules of criminal procedure and wrongful application of a criminal statute.</w:t>
      </w:r>
    </w:p>
    <w:p w:rsidR="005B1721" w:rsidRPr="001E2BB1" w:rsidRDefault="005B1721" w:rsidP="0098484D">
      <w:pPr>
        <w:pStyle w:val="SingleTxtG"/>
      </w:pPr>
      <w:r w:rsidRPr="001E2BB1">
        <w:rPr>
          <w:rFonts w:eastAsia="Verdana"/>
        </w:rPr>
        <w:t>4.2</w:t>
      </w:r>
      <w:r w:rsidRPr="001E2BB1">
        <w:rPr>
          <w:rFonts w:eastAsia="Verdana"/>
        </w:rPr>
        <w:tab/>
        <w:t xml:space="preserve">Regarding the merits of the case, the State party submits that, on 29 December 2006, the Cernivitsky Region Prosecutor’s Office received the author’s complaint, requesting the </w:t>
      </w:r>
      <w:r w:rsidR="009027D7" w:rsidRPr="001E2BB1">
        <w:rPr>
          <w:rFonts w:eastAsia="Verdana"/>
        </w:rPr>
        <w:t xml:space="preserve">opening </w:t>
      </w:r>
      <w:r w:rsidRPr="001E2BB1">
        <w:rPr>
          <w:rFonts w:eastAsia="Verdana"/>
        </w:rPr>
        <w:t xml:space="preserve">of a criminal investigation </w:t>
      </w:r>
      <w:r w:rsidR="009027D7" w:rsidRPr="001E2BB1">
        <w:rPr>
          <w:rFonts w:eastAsia="Verdana"/>
        </w:rPr>
        <w:t xml:space="preserve">into the actions of </w:t>
      </w:r>
      <w:r w:rsidRPr="001E2BB1">
        <w:rPr>
          <w:rFonts w:eastAsia="Verdana"/>
        </w:rPr>
        <w:t xml:space="preserve">the medical personnel of Storozynetska Central District Hospital for inadequate medical care, </w:t>
      </w:r>
      <w:r w:rsidR="009027D7" w:rsidRPr="001E2BB1">
        <w:rPr>
          <w:rFonts w:eastAsia="Verdana"/>
        </w:rPr>
        <w:t>leading</w:t>
      </w:r>
      <w:r w:rsidRPr="001E2BB1">
        <w:rPr>
          <w:rFonts w:eastAsia="Verdana"/>
        </w:rPr>
        <w:t xml:space="preserve"> to the death of the author’s sister. The Prosecutor’s Office conducted an investigation under article 97 of the Criminal Procedure Code (1960) and decided to refuse to </w:t>
      </w:r>
      <w:r w:rsidR="008F716A" w:rsidRPr="001E2BB1">
        <w:rPr>
          <w:rFonts w:eastAsia="Verdana"/>
        </w:rPr>
        <w:t xml:space="preserve">bring </w:t>
      </w:r>
      <w:r w:rsidR="009027D7" w:rsidRPr="001E2BB1">
        <w:rPr>
          <w:rFonts w:eastAsia="Verdana"/>
        </w:rPr>
        <w:t xml:space="preserve">a </w:t>
      </w:r>
      <w:r w:rsidRPr="001E2BB1">
        <w:rPr>
          <w:rFonts w:eastAsia="Verdana"/>
        </w:rPr>
        <w:t xml:space="preserve">criminal case against the doctors </w:t>
      </w:r>
      <w:r w:rsidR="002A4957" w:rsidRPr="001E2BB1">
        <w:rPr>
          <w:rFonts w:eastAsia="Verdana"/>
        </w:rPr>
        <w:t>at the hospital</w:t>
      </w:r>
      <w:r w:rsidRPr="001E2BB1">
        <w:rPr>
          <w:rFonts w:eastAsia="Verdana"/>
        </w:rPr>
        <w:t xml:space="preserve"> </w:t>
      </w:r>
      <w:r w:rsidR="008F716A" w:rsidRPr="001E2BB1">
        <w:rPr>
          <w:rFonts w:eastAsia="Verdana"/>
        </w:rPr>
        <w:t>“</w:t>
      </w:r>
      <w:r w:rsidRPr="001E2BB1">
        <w:rPr>
          <w:rFonts w:eastAsia="Verdana"/>
        </w:rPr>
        <w:t>due to the absence of corpus delicti in their actions”. On 28</w:t>
      </w:r>
      <w:r w:rsidR="00080DFA" w:rsidRPr="001E2BB1">
        <w:rPr>
          <w:rFonts w:eastAsia="Verdana"/>
        </w:rPr>
        <w:t> </w:t>
      </w:r>
      <w:r w:rsidRPr="001E2BB1">
        <w:rPr>
          <w:rFonts w:eastAsia="Verdana"/>
        </w:rPr>
        <w:t>April 2007</w:t>
      </w:r>
      <w:r w:rsidR="002A4957" w:rsidRPr="001E2BB1">
        <w:rPr>
          <w:rFonts w:eastAsia="Verdana"/>
        </w:rPr>
        <w:t>,</w:t>
      </w:r>
      <w:r w:rsidRPr="001E2BB1">
        <w:rPr>
          <w:rFonts w:eastAsia="Verdana"/>
        </w:rPr>
        <w:t xml:space="preserve"> the Storozynetsky District Court examined the author’s appeal against that decision, based on the testimony of an expert witness that there </w:t>
      </w:r>
      <w:r w:rsidR="007C4330" w:rsidRPr="001E2BB1">
        <w:rPr>
          <w:rFonts w:eastAsia="Verdana"/>
        </w:rPr>
        <w:t xml:space="preserve">had been </w:t>
      </w:r>
      <w:r w:rsidRPr="001E2BB1">
        <w:rPr>
          <w:rFonts w:eastAsia="Verdana"/>
        </w:rPr>
        <w:t>no mistakes in the doctors’ actions in determining the correct diagnosis of the author’s sister o</w:t>
      </w:r>
      <w:r w:rsidR="008F156D" w:rsidRPr="001E2BB1">
        <w:rPr>
          <w:rFonts w:eastAsia="Verdana"/>
        </w:rPr>
        <w:t>r</w:t>
      </w:r>
      <w:r w:rsidRPr="001E2BB1">
        <w:rPr>
          <w:rFonts w:eastAsia="Verdana"/>
        </w:rPr>
        <w:t xml:space="preserve"> in the timeliness of the care provided to her. Accordingly, the Court rejected the appeal. On 1</w:t>
      </w:r>
      <w:r w:rsidR="00080DFA" w:rsidRPr="001E2BB1">
        <w:rPr>
          <w:rFonts w:eastAsia="Verdana"/>
        </w:rPr>
        <w:t> </w:t>
      </w:r>
      <w:r w:rsidRPr="001E2BB1">
        <w:rPr>
          <w:rFonts w:eastAsia="Verdana"/>
        </w:rPr>
        <w:t>June 2007</w:t>
      </w:r>
      <w:r w:rsidR="002A4957" w:rsidRPr="001E2BB1">
        <w:rPr>
          <w:rFonts w:eastAsia="Verdana"/>
        </w:rPr>
        <w:t>,</w:t>
      </w:r>
      <w:r w:rsidRPr="001E2BB1">
        <w:rPr>
          <w:rFonts w:eastAsia="Verdana"/>
        </w:rPr>
        <w:t xml:space="preserve"> the Court of Appeal of Cernivitsky Region reviewed and rejected the author’s further appeal. It determined that</w:t>
      </w:r>
      <w:r w:rsidR="007C4330" w:rsidRPr="001E2BB1">
        <w:rPr>
          <w:rFonts w:eastAsia="Verdana"/>
        </w:rPr>
        <w:t>,</w:t>
      </w:r>
      <w:r w:rsidRPr="001E2BB1">
        <w:rPr>
          <w:rFonts w:eastAsia="Verdana"/>
        </w:rPr>
        <w:t xml:space="preserve"> according to the conclusion of “pathoanatomical research No 47 of December 07 2006 the direct reason of death of Holoshubina L.D. was thrombus pulmonary embolism”. The State party further maintains that</w:t>
      </w:r>
      <w:r w:rsidR="007C4330" w:rsidRPr="001E2BB1">
        <w:rPr>
          <w:rFonts w:eastAsia="Verdana"/>
        </w:rPr>
        <w:t>,</w:t>
      </w:r>
      <w:r w:rsidRPr="001E2BB1">
        <w:rPr>
          <w:rFonts w:eastAsia="Verdana"/>
        </w:rPr>
        <w:t xml:space="preserve"> according to the conclusion of a forensic medical expert commission of 7 February 2007, the death of the author’s sister was unavoidable and “would have occurred regardless of the level and scope of medical assistance provided to her”.</w:t>
      </w:r>
    </w:p>
    <w:p w:rsidR="005B1721" w:rsidRPr="001E2BB1" w:rsidRDefault="007C062A" w:rsidP="007C062A">
      <w:pPr>
        <w:pStyle w:val="H23G"/>
      </w:pPr>
      <w:r w:rsidRPr="001E2BB1">
        <w:tab/>
      </w:r>
      <w:r w:rsidRPr="001E2BB1">
        <w:tab/>
      </w:r>
      <w:r w:rsidR="005B1721" w:rsidRPr="001E2BB1">
        <w:t xml:space="preserve">Author’s comments on the State party’s observations </w:t>
      </w:r>
    </w:p>
    <w:p w:rsidR="005B1721" w:rsidRPr="001E2BB1" w:rsidRDefault="005B1721" w:rsidP="005B1721">
      <w:pPr>
        <w:pStyle w:val="SingleTxtG"/>
      </w:pPr>
      <w:r w:rsidRPr="001E2BB1">
        <w:t>5.1</w:t>
      </w:r>
      <w:r w:rsidRPr="001E2BB1">
        <w:tab/>
        <w:t>On 11 December 2013, the author submits that the post-mortem examination of her sister’s body of 7 December 2006 revealed a second, one</w:t>
      </w:r>
      <w:r w:rsidR="007C4330" w:rsidRPr="001E2BB1">
        <w:t>-</w:t>
      </w:r>
      <w:r w:rsidRPr="001E2BB1">
        <w:t xml:space="preserve">month old, closed fracture of a </w:t>
      </w:r>
      <w:r w:rsidRPr="001E2BB1">
        <w:lastRenderedPageBreak/>
        <w:t>bone in the heel of her foot, which had not been detected by the doctors and which could have caused the thrombophlebitis.</w:t>
      </w:r>
      <w:r w:rsidRPr="001E2BB1">
        <w:rPr>
          <w:rStyle w:val="FootnoteReference"/>
        </w:rPr>
        <w:footnoteReference w:id="4"/>
      </w:r>
    </w:p>
    <w:p w:rsidR="005B1721" w:rsidRPr="001E2BB1" w:rsidRDefault="005B1721" w:rsidP="0098484D">
      <w:pPr>
        <w:pStyle w:val="SingleTxtG"/>
      </w:pPr>
      <w:r w:rsidRPr="001E2BB1">
        <w:t>5.2</w:t>
      </w:r>
      <w:r w:rsidRPr="001E2BB1">
        <w:tab/>
        <w:t>The author further submits that</w:t>
      </w:r>
      <w:r w:rsidR="00ED0EEA" w:rsidRPr="001E2BB1">
        <w:t>,</w:t>
      </w:r>
      <w:r w:rsidRPr="001E2BB1">
        <w:t xml:space="preserve"> on 19 December 2011, the author filed a civil law suit before the </w:t>
      </w:r>
      <w:r w:rsidRPr="001E2BB1">
        <w:rPr>
          <w:rFonts w:eastAsia="Verdana"/>
        </w:rPr>
        <w:t>Storozynetsky District Court</w:t>
      </w:r>
      <w:r w:rsidRPr="001E2BB1">
        <w:t>, requesting compensation for distress caused by the death of a physical person</w:t>
      </w:r>
      <w:r w:rsidR="00920D9A" w:rsidRPr="001E2BB1">
        <w:t xml:space="preserve"> resulting from</w:t>
      </w:r>
      <w:r w:rsidR="0098484D" w:rsidRPr="001E2BB1">
        <w:t xml:space="preserve"> </w:t>
      </w:r>
      <w:r w:rsidRPr="001E2BB1">
        <w:t xml:space="preserve">neglect in determining </w:t>
      </w:r>
      <w:r w:rsidR="002A4957" w:rsidRPr="001E2BB1">
        <w:t xml:space="preserve">a </w:t>
      </w:r>
      <w:r w:rsidRPr="001E2BB1">
        <w:t xml:space="preserve">correct diagnosis and treatment. In the course of the court proceedings the author repeatedly requested an independent post-mortem, but her requests were ignored. On 20 March 2013, the Central Forensic Bureau of the Ministry of Health of the State party conducted a forensic </w:t>
      </w:r>
      <w:r w:rsidR="001B05B8" w:rsidRPr="001E2BB1">
        <w:t>examination</w:t>
      </w:r>
      <w:r w:rsidRPr="001E2BB1">
        <w:t xml:space="preserve">, which was not comprehensive </w:t>
      </w:r>
      <w:r w:rsidR="001B05B8" w:rsidRPr="001E2BB1">
        <w:t xml:space="preserve">or </w:t>
      </w:r>
      <w:r w:rsidRPr="001E2BB1">
        <w:t>objective</w:t>
      </w:r>
      <w:r w:rsidR="001B05B8" w:rsidRPr="001E2BB1">
        <w:t>,</w:t>
      </w:r>
      <w:r w:rsidRPr="001E2BB1">
        <w:t xml:space="preserve"> and </w:t>
      </w:r>
      <w:r w:rsidR="00920D9A" w:rsidRPr="001E2BB1">
        <w:t>according to the author</w:t>
      </w:r>
      <w:r w:rsidR="00F747A7" w:rsidRPr="001E2BB1">
        <w:t>,</w:t>
      </w:r>
      <w:r w:rsidR="00920D9A" w:rsidRPr="001E2BB1">
        <w:t xml:space="preserve"> </w:t>
      </w:r>
      <w:r w:rsidRPr="001E2BB1">
        <w:t xml:space="preserve">was “suspicious”. The </w:t>
      </w:r>
      <w:r w:rsidR="001B05B8" w:rsidRPr="001E2BB1">
        <w:t xml:space="preserve">examination </w:t>
      </w:r>
      <w:r w:rsidRPr="001E2BB1">
        <w:t xml:space="preserve">could not provide comprehensive responses regarding the death of the author’s sister, since the court </w:t>
      </w:r>
      <w:r w:rsidR="001B05B8" w:rsidRPr="001E2BB1">
        <w:t xml:space="preserve">had </w:t>
      </w:r>
      <w:r w:rsidRPr="001E2BB1">
        <w:t>not provide</w:t>
      </w:r>
      <w:r w:rsidR="001B05B8" w:rsidRPr="001E2BB1">
        <w:t>d</w:t>
      </w:r>
      <w:r w:rsidRPr="001E2BB1">
        <w:t xml:space="preserve"> the initial medical documentation on her sister’s case. The author submits that the Prosecutor’s Office had taken all the initial medical documentation in 2007 and </w:t>
      </w:r>
      <w:r w:rsidR="002A4957" w:rsidRPr="001E2BB1">
        <w:t xml:space="preserve">that </w:t>
      </w:r>
      <w:r w:rsidRPr="001E2BB1">
        <w:t>the documents had later disappeared.</w:t>
      </w:r>
      <w:r w:rsidRPr="001E2BB1">
        <w:rPr>
          <w:rStyle w:val="FootnoteReference"/>
        </w:rPr>
        <w:footnoteReference w:id="5"/>
      </w:r>
      <w:r w:rsidRPr="001E2BB1">
        <w:t xml:space="preserve"> She maintains that all court instances rejected her compensation claims and requests the Committee to review the merits of her communication.</w:t>
      </w:r>
    </w:p>
    <w:p w:rsidR="005B1721" w:rsidRPr="001E2BB1" w:rsidRDefault="007C062A" w:rsidP="007C062A">
      <w:pPr>
        <w:pStyle w:val="H23G"/>
      </w:pPr>
      <w:r w:rsidRPr="001E2BB1">
        <w:tab/>
      </w:r>
      <w:r w:rsidRPr="001E2BB1">
        <w:tab/>
      </w:r>
      <w:r w:rsidR="005B1721" w:rsidRPr="001E2BB1">
        <w:t>Further submission from the author</w:t>
      </w:r>
    </w:p>
    <w:p w:rsidR="005B1721" w:rsidRPr="001E2BB1" w:rsidRDefault="005B1721" w:rsidP="0081059E">
      <w:pPr>
        <w:pStyle w:val="SingleTxtG"/>
      </w:pPr>
      <w:r w:rsidRPr="001E2BB1">
        <w:t>6.1</w:t>
      </w:r>
      <w:r w:rsidRPr="001E2BB1">
        <w:tab/>
        <w:t>On 13 January 2014, the author reiterate</w:t>
      </w:r>
      <w:r w:rsidR="00ED0EEA" w:rsidRPr="001E2BB1">
        <w:t>d</w:t>
      </w:r>
      <w:r w:rsidRPr="001E2BB1">
        <w:t xml:space="preserve"> that on 19 December 2011, she and the mother of the victim filed a civil law suit before the </w:t>
      </w:r>
      <w:r w:rsidRPr="001E2BB1">
        <w:rPr>
          <w:rFonts w:eastAsia="Verdana"/>
        </w:rPr>
        <w:t>Storozynetsky District Court</w:t>
      </w:r>
      <w:r w:rsidRPr="001E2BB1">
        <w:t xml:space="preserve">, requesting compensation for distress caused by the death </w:t>
      </w:r>
      <w:r w:rsidR="00ED0EEA" w:rsidRPr="001E2BB1">
        <w:t xml:space="preserve">of </w:t>
      </w:r>
      <w:r w:rsidRPr="001E2BB1">
        <w:t xml:space="preserve">a physical person </w:t>
      </w:r>
      <w:r w:rsidR="0098484D" w:rsidRPr="001E2BB1">
        <w:t>resulting from</w:t>
      </w:r>
      <w:r w:rsidRPr="001E2BB1">
        <w:t xml:space="preserve"> neglect in determining the correct diagnosis and treatment of the victim. After the rejection of their claim by the first instance court and the appellate instance, they filed a cassation appeal. </w:t>
      </w:r>
      <w:r w:rsidR="001B05B8" w:rsidRPr="001E2BB1">
        <w:t>Despi</w:t>
      </w:r>
      <w:r w:rsidR="00ED0EEA" w:rsidRPr="001E2BB1">
        <w:t>te</w:t>
      </w:r>
      <w:r w:rsidRPr="001E2BB1">
        <w:t xml:space="preserve"> the numerous procedural violations raised by them in the appeal, the High Specialized Court of Ukraine refused to </w:t>
      </w:r>
      <w:r w:rsidR="00ED0EEA" w:rsidRPr="001E2BB1">
        <w:t xml:space="preserve">open </w:t>
      </w:r>
      <w:r w:rsidRPr="001E2BB1">
        <w:t xml:space="preserve">a case. </w:t>
      </w:r>
      <w:r w:rsidR="00ED0EEA" w:rsidRPr="001E2BB1">
        <w:t xml:space="preserve">In </w:t>
      </w:r>
      <w:r w:rsidR="001B05B8" w:rsidRPr="001E2BB1">
        <w:t xml:space="preserve">the </w:t>
      </w:r>
      <w:r w:rsidR="00ED0EEA" w:rsidRPr="001E2BB1">
        <w:t>light of</w:t>
      </w:r>
      <w:r w:rsidRPr="001E2BB1">
        <w:t xml:space="preserve"> the above, the State party’s assertion that the cassation courts review and </w:t>
      </w:r>
      <w:r w:rsidR="001B05B8" w:rsidRPr="001E2BB1">
        <w:t xml:space="preserve">remedy </w:t>
      </w:r>
      <w:r w:rsidRPr="001E2BB1">
        <w:t>all violations committed by lower instances do</w:t>
      </w:r>
      <w:r w:rsidR="00ED0EEA" w:rsidRPr="001E2BB1">
        <w:t>es</w:t>
      </w:r>
      <w:r w:rsidRPr="001E2BB1">
        <w:t xml:space="preserve"> not </w:t>
      </w:r>
      <w:r w:rsidR="00ED0EEA" w:rsidRPr="001E2BB1">
        <w:t>accord with</w:t>
      </w:r>
      <w:r w:rsidRPr="001E2BB1">
        <w:t xml:space="preserve"> the </w:t>
      </w:r>
      <w:r w:rsidR="00ED0EEA" w:rsidRPr="001E2BB1">
        <w:t>facts</w:t>
      </w:r>
      <w:r w:rsidRPr="001E2BB1">
        <w:t xml:space="preserve">, as evidenced by </w:t>
      </w:r>
      <w:r w:rsidR="00ED0EEA" w:rsidRPr="001E2BB1">
        <w:t xml:space="preserve">the </w:t>
      </w:r>
      <w:r w:rsidRPr="001E2BB1">
        <w:t xml:space="preserve">outcome of </w:t>
      </w:r>
      <w:r w:rsidR="00ED0EEA" w:rsidRPr="001E2BB1">
        <w:t xml:space="preserve">the author’s </w:t>
      </w:r>
      <w:r w:rsidRPr="001E2BB1">
        <w:t xml:space="preserve">cassation appeal. </w:t>
      </w:r>
      <w:r w:rsidR="00ED0EEA" w:rsidRPr="001E2BB1">
        <w:t>She</w:t>
      </w:r>
      <w:r w:rsidRPr="001E2BB1">
        <w:t xml:space="preserve"> maintains that cassation appeal is not an effective remedy and that she ha</w:t>
      </w:r>
      <w:r w:rsidR="001B05B8" w:rsidRPr="001E2BB1">
        <w:t>s</w:t>
      </w:r>
      <w:r w:rsidRPr="001E2BB1">
        <w:t xml:space="preserve"> exhausted all available effective remedies.</w:t>
      </w:r>
    </w:p>
    <w:p w:rsidR="005B1721" w:rsidRPr="001E2BB1" w:rsidRDefault="005B1721" w:rsidP="005B1721">
      <w:pPr>
        <w:pStyle w:val="SingleTxtG"/>
        <w:rPr>
          <w:b/>
        </w:rPr>
      </w:pPr>
      <w:r w:rsidRPr="001E2BB1">
        <w:t>6.2</w:t>
      </w:r>
      <w:r w:rsidRPr="001E2BB1">
        <w:tab/>
        <w:t>Regarding the State party’s observations on the merits of the case, the author reiterates the facts regarding her attempts to initiate criminal proceedings in relation to her sister’s death</w:t>
      </w:r>
      <w:r w:rsidR="0098484D" w:rsidRPr="001E2BB1">
        <w:t>;</w:t>
      </w:r>
      <w:r w:rsidRPr="001E2BB1">
        <w:t xml:space="preserve"> underlines </w:t>
      </w:r>
      <w:r w:rsidR="0059237A" w:rsidRPr="001E2BB1">
        <w:t xml:space="preserve">the fact </w:t>
      </w:r>
      <w:r w:rsidRPr="001E2BB1">
        <w:t>that the original medical documentation had been lost</w:t>
      </w:r>
      <w:r w:rsidR="0098484D" w:rsidRPr="001E2BB1">
        <w:t>;</w:t>
      </w:r>
      <w:r w:rsidRPr="001E2BB1">
        <w:t xml:space="preserve"> and maintains that</w:t>
      </w:r>
      <w:r w:rsidR="0059237A" w:rsidRPr="001E2BB1">
        <w:t>,</w:t>
      </w:r>
      <w:r w:rsidRPr="001E2BB1">
        <w:t xml:space="preserve"> in 2007</w:t>
      </w:r>
      <w:r w:rsidR="0059237A" w:rsidRPr="001E2BB1">
        <w:t>,</w:t>
      </w:r>
      <w:r w:rsidRPr="001E2BB1">
        <w:t xml:space="preserve"> the Prosecutor’s Office and the courts did everything possible to </w:t>
      </w:r>
      <w:r w:rsidR="00F747A7" w:rsidRPr="001E2BB1">
        <w:t>“</w:t>
      </w:r>
      <w:r w:rsidRPr="001E2BB1">
        <w:t>hide the crime in the actions of the doctors</w:t>
      </w:r>
      <w:r w:rsidR="00F747A7" w:rsidRPr="001E2BB1">
        <w:t>”</w:t>
      </w:r>
      <w:r w:rsidRPr="001E2BB1">
        <w:t xml:space="preserve">. She challenges the objectivity of the forensic medical </w:t>
      </w:r>
      <w:r w:rsidR="001B05B8" w:rsidRPr="001E2BB1">
        <w:t xml:space="preserve">examination </w:t>
      </w:r>
      <w:r w:rsidRPr="001E2BB1">
        <w:t xml:space="preserve">and reiterates that the doctors had failed to discover a second fracture in her sister’s heel and to adequately treat the thrombophlebitis. </w:t>
      </w:r>
    </w:p>
    <w:p w:rsidR="005B1721" w:rsidRPr="001E2BB1" w:rsidRDefault="007C062A" w:rsidP="007C062A">
      <w:pPr>
        <w:pStyle w:val="H23G"/>
      </w:pPr>
      <w:r w:rsidRPr="001E2BB1">
        <w:tab/>
      </w:r>
      <w:r w:rsidRPr="001E2BB1">
        <w:tab/>
      </w:r>
      <w:r w:rsidR="005B1721" w:rsidRPr="001E2BB1">
        <w:t>Issues and proceedings before the Committee</w:t>
      </w:r>
    </w:p>
    <w:p w:rsidR="005B1721" w:rsidRPr="001E2BB1" w:rsidRDefault="005B1721" w:rsidP="005B1721">
      <w:pPr>
        <w:pStyle w:val="H4G"/>
      </w:pPr>
      <w:r w:rsidRPr="001E2BB1">
        <w:tab/>
      </w:r>
      <w:r w:rsidR="007C062A" w:rsidRPr="001E2BB1">
        <w:tab/>
      </w:r>
      <w:r w:rsidRPr="001E2BB1">
        <w:t>Consideration of admissibility</w:t>
      </w:r>
    </w:p>
    <w:p w:rsidR="005B1721" w:rsidRPr="001E2BB1" w:rsidRDefault="005B1721" w:rsidP="005B1721">
      <w:pPr>
        <w:pStyle w:val="SingleTxtG"/>
        <w:rPr>
          <w:bCs/>
        </w:rPr>
      </w:pPr>
      <w:r w:rsidRPr="001E2BB1">
        <w:t>7.1</w:t>
      </w:r>
      <w:r w:rsidRPr="001E2BB1">
        <w:tab/>
      </w:r>
      <w:r w:rsidRPr="001E2BB1">
        <w:rPr>
          <w:bCs/>
        </w:rPr>
        <w:t>Before considering any claim contained in a communication, the Human Rights Committee must, in accordance with rule 93 of its rules of procedure, decide whether or not the communication is admissible under the Optional Protocol to the Covenant.</w:t>
      </w:r>
    </w:p>
    <w:p w:rsidR="005B1721" w:rsidRPr="001E2BB1" w:rsidRDefault="005B1721" w:rsidP="005B1721">
      <w:pPr>
        <w:pStyle w:val="SingleTxtG"/>
      </w:pPr>
      <w:r w:rsidRPr="001E2BB1">
        <w:t>7.2</w:t>
      </w:r>
      <w:r w:rsidRPr="001E2BB1">
        <w:tab/>
        <w:t xml:space="preserve">The Committee has ascertained, as required under article 5, paragraph 2 (a), of the Optional Protocol, that the same matter is not being examined under another procedure of international investigation or settlement. </w:t>
      </w:r>
    </w:p>
    <w:p w:rsidR="005B1721" w:rsidRPr="001E2BB1" w:rsidRDefault="005B1721" w:rsidP="005B1721">
      <w:pPr>
        <w:pStyle w:val="SingleTxtG"/>
      </w:pPr>
      <w:r w:rsidRPr="001E2BB1">
        <w:lastRenderedPageBreak/>
        <w:t>7.3</w:t>
      </w:r>
      <w:r w:rsidRPr="001E2BB1">
        <w:tab/>
        <w:t>The Committee notes the author’s claims of violations of article 14, paragraph 1</w:t>
      </w:r>
      <w:r w:rsidR="007726CD" w:rsidRPr="001E2BB1">
        <w:t>,</w:t>
      </w:r>
      <w:r w:rsidRPr="001E2BB1">
        <w:t xml:space="preserve"> of the Covenant, but observes that the author has not substantiated for the purposes of admissibility how the facts as presented by her would </w:t>
      </w:r>
      <w:r w:rsidR="001B05B8" w:rsidRPr="001E2BB1">
        <w:t>contravene</w:t>
      </w:r>
      <w:r w:rsidRPr="001E2BB1">
        <w:t xml:space="preserve"> article 14 and accordingly finds that it is inadmissible under article 2 of the Optional Protocol.</w:t>
      </w:r>
    </w:p>
    <w:p w:rsidR="005B1721" w:rsidRPr="001E2BB1" w:rsidRDefault="005B1721" w:rsidP="005B1721">
      <w:pPr>
        <w:pStyle w:val="SingleTxtG"/>
      </w:pPr>
      <w:r w:rsidRPr="001E2BB1">
        <w:t>7.4</w:t>
      </w:r>
      <w:r w:rsidRPr="001E2BB1">
        <w:tab/>
        <w:t xml:space="preserve">On the </w:t>
      </w:r>
      <w:r w:rsidR="001B05B8" w:rsidRPr="001E2BB1">
        <w:t xml:space="preserve">matter </w:t>
      </w:r>
      <w:r w:rsidRPr="001E2BB1">
        <w:t>of exhaustion of domestic remedies, with regard to the remaining claims, the Committee notes the State party</w:t>
      </w:r>
      <w:r w:rsidR="00FB6592" w:rsidRPr="001E2BB1">
        <w:t>’</w:t>
      </w:r>
      <w:r w:rsidRPr="001E2BB1">
        <w:t>s argument that the author failed to file a cassation appeal against the 1 June 2007 decision of the Court of Appeals in accordance with articles 384 and 385 of the Criminal Procedure Code. The Committee notes the author’s submission that the above appeal would not have been effective, but recalls that mere doubts about the effectiveness of domestic remedies do not absolve an author of the requirement to exhaust them, and that the fulfilment of reasonable procedural rules is the responsibility of the applicant himself.</w:t>
      </w:r>
      <w:r w:rsidRPr="001E2BB1">
        <w:rPr>
          <w:rStyle w:val="FootnoteReference"/>
        </w:rPr>
        <w:footnoteReference w:id="6"/>
      </w:r>
      <w:r w:rsidRPr="001E2BB1">
        <w:t xml:space="preserve"> Thus the Committee considers that the author has failed to exhaust domestic remedies, under articles 2 and 5, paragraph 2</w:t>
      </w:r>
      <w:r w:rsidR="007726CD" w:rsidRPr="001E2BB1">
        <w:t> </w:t>
      </w:r>
      <w:r w:rsidRPr="001E2BB1">
        <w:t>(b), of the Optional Protocol.</w:t>
      </w:r>
      <w:r w:rsidRPr="001E2BB1">
        <w:rPr>
          <w:lang w:val="en-US"/>
        </w:rPr>
        <w:t xml:space="preserve"> </w:t>
      </w:r>
    </w:p>
    <w:p w:rsidR="005B1721" w:rsidRPr="001E2BB1" w:rsidRDefault="005B1721" w:rsidP="005B1721">
      <w:pPr>
        <w:pStyle w:val="SingleTxtG"/>
        <w:rPr>
          <w:lang w:val="en-US"/>
        </w:rPr>
      </w:pPr>
      <w:r w:rsidRPr="001E2BB1">
        <w:rPr>
          <w:lang w:val="en-US"/>
        </w:rPr>
        <w:t>8.</w:t>
      </w:r>
      <w:r w:rsidRPr="001E2BB1">
        <w:rPr>
          <w:lang w:val="en-US"/>
        </w:rPr>
        <w:tab/>
        <w:t>The Human Rights Committee therefore decides that:</w:t>
      </w:r>
    </w:p>
    <w:p w:rsidR="005B1721" w:rsidRPr="001E2BB1" w:rsidRDefault="005B1721" w:rsidP="00080DFA">
      <w:pPr>
        <w:pStyle w:val="SingleTxtG"/>
        <w:ind w:firstLine="567"/>
        <w:rPr>
          <w:lang w:val="en-US"/>
        </w:rPr>
      </w:pPr>
      <w:r w:rsidRPr="001E2BB1">
        <w:rPr>
          <w:lang w:val="en-US"/>
        </w:rPr>
        <w:t>(a)</w:t>
      </w:r>
      <w:r w:rsidRPr="001E2BB1">
        <w:rPr>
          <w:lang w:val="en-US"/>
        </w:rPr>
        <w:tab/>
        <w:t xml:space="preserve">The communication is inadmissible under articles 2 and 5, paragraph 2(b) of the Optional Protocol; </w:t>
      </w:r>
    </w:p>
    <w:p w:rsidR="005B1721" w:rsidRDefault="005B1721" w:rsidP="005B1721">
      <w:pPr>
        <w:pStyle w:val="SingleTxtG"/>
        <w:ind w:firstLine="567"/>
        <w:rPr>
          <w:lang w:val="en-US"/>
        </w:rPr>
      </w:pPr>
      <w:r w:rsidRPr="001E2BB1">
        <w:rPr>
          <w:lang w:val="en-US"/>
        </w:rPr>
        <w:t>(b)</w:t>
      </w:r>
      <w:r w:rsidRPr="001E2BB1">
        <w:rPr>
          <w:lang w:val="en-US"/>
        </w:rPr>
        <w:tab/>
        <w:t>The present decision shall be transmitted to the State party and the author.</w:t>
      </w:r>
    </w:p>
    <w:p w:rsidR="005B1721" w:rsidRDefault="005B1721" w:rsidP="005B1721">
      <w:pPr>
        <w:pStyle w:val="SingleTxtG"/>
        <w:spacing w:before="240" w:after="0"/>
        <w:jc w:val="center"/>
      </w:pPr>
      <w:r>
        <w:rPr>
          <w:u w:val="single"/>
          <w:lang w:val="sv-SE"/>
        </w:rPr>
        <w:tab/>
      </w:r>
      <w:r>
        <w:rPr>
          <w:u w:val="single"/>
          <w:lang w:val="sv-SE"/>
        </w:rPr>
        <w:tab/>
      </w:r>
      <w:r>
        <w:rPr>
          <w:u w:val="single"/>
          <w:lang w:val="sv-SE"/>
        </w:rPr>
        <w:tab/>
      </w:r>
    </w:p>
    <w:sectPr w:rsidR="005B1721" w:rsidSect="00F02EB8">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F70" w:rsidRDefault="00061F70"/>
  </w:endnote>
  <w:endnote w:type="continuationSeparator" w:id="0">
    <w:p w:rsidR="00061F70" w:rsidRDefault="00061F70"/>
  </w:endnote>
  <w:endnote w:type="continuationNotice" w:id="1">
    <w:p w:rsidR="00061F70" w:rsidRDefault="00061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30" w:rsidRPr="00781C83" w:rsidRDefault="00886330"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574307">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30" w:rsidRPr="00080DFA" w:rsidRDefault="00886330" w:rsidP="00781C83">
    <w:pPr>
      <w:pStyle w:val="Footer"/>
      <w:tabs>
        <w:tab w:val="right" w:pos="9638"/>
      </w:tabs>
      <w:rPr>
        <w:b/>
        <w:bCs/>
        <w:sz w:val="18"/>
      </w:rPr>
    </w:pPr>
    <w:r>
      <w:rPr>
        <w:b/>
        <w:sz w:val="18"/>
      </w:rPr>
      <w:tab/>
    </w:r>
    <w:r w:rsidRPr="00080DFA">
      <w:rPr>
        <w:b/>
        <w:bCs/>
        <w:sz w:val="18"/>
      </w:rPr>
      <w:fldChar w:fldCharType="begin"/>
    </w:r>
    <w:r w:rsidRPr="00080DFA">
      <w:rPr>
        <w:b/>
        <w:bCs/>
        <w:sz w:val="18"/>
      </w:rPr>
      <w:instrText xml:space="preserve"> PAGE  \* MERGEFORMAT </w:instrText>
    </w:r>
    <w:r w:rsidRPr="00080DFA">
      <w:rPr>
        <w:b/>
        <w:bCs/>
        <w:sz w:val="18"/>
      </w:rPr>
      <w:fldChar w:fldCharType="separate"/>
    </w:r>
    <w:r w:rsidR="00574307">
      <w:rPr>
        <w:b/>
        <w:bCs/>
        <w:noProof/>
        <w:sz w:val="18"/>
      </w:rPr>
      <w:t>3</w:t>
    </w:r>
    <w:r w:rsidRPr="00080DFA">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30" w:rsidRDefault="00061F70" w:rsidP="001F7B7B">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37.3pt;margin-top:646.25pt;width:73.25pt;height:18.15pt;z-index:1;mso-position-horizontal-relative:margin;mso-position-vertical-relative:margin">
          <v:imagedata r:id="rId1" o:title="recycle_English"/>
          <w10:wrap anchorx="margin" anchory="margin"/>
        </v:shape>
      </w:pict>
    </w:r>
    <w:r w:rsidR="00886330">
      <w:t>GE.14-</w:t>
    </w:r>
    <w:r w:rsidR="00325407">
      <w:t>22194</w:t>
    </w:r>
    <w:r w:rsidR="00100ADF">
      <w:t xml:space="preserve">  (E)</w:t>
    </w:r>
    <w:r w:rsidR="00362B0B">
      <w:br/>
    </w:r>
    <w:r w:rsidR="00362B0B">
      <w:rPr>
        <w:rFonts w:ascii="C39T30Lfz" w:hAnsi="C39T30Lfz"/>
        <w:sz w:val="56"/>
      </w:rPr>
      <w:t></w:t>
    </w:r>
    <w:r w:rsidR="00362B0B">
      <w:rPr>
        <w:rFonts w:ascii="C39T30Lfz" w:hAnsi="C39T30Lfz"/>
        <w:sz w:val="56"/>
      </w:rPr>
      <w:t></w:t>
    </w:r>
    <w:r w:rsidR="00362B0B">
      <w:rPr>
        <w:rFonts w:ascii="C39T30Lfz" w:hAnsi="C39T30Lfz"/>
        <w:sz w:val="56"/>
      </w:rPr>
      <w:t></w:t>
    </w:r>
    <w:r w:rsidR="00362B0B">
      <w:rPr>
        <w:rFonts w:ascii="C39T30Lfz" w:hAnsi="C39T30Lfz"/>
        <w:sz w:val="56"/>
      </w:rPr>
      <w:t></w:t>
    </w:r>
    <w:r w:rsidR="00362B0B">
      <w:rPr>
        <w:rFonts w:ascii="C39T30Lfz" w:hAnsi="C39T30Lfz"/>
        <w:sz w:val="56"/>
      </w:rPr>
      <w:t></w:t>
    </w:r>
    <w:r w:rsidR="00362B0B">
      <w:rPr>
        <w:rFonts w:ascii="C39T30Lfz" w:hAnsi="C39T30Lfz"/>
        <w:sz w:val="56"/>
      </w:rPr>
      <w:t></w:t>
    </w:r>
    <w:r w:rsidR="00362B0B">
      <w:rPr>
        <w:rFonts w:ascii="C39T30Lfz" w:hAnsi="C39T30Lfz"/>
        <w:sz w:val="56"/>
      </w:rPr>
      <w:t></w:t>
    </w:r>
    <w:r w:rsidR="00362B0B">
      <w:rPr>
        <w:rFonts w:ascii="C39T30Lfz" w:hAnsi="C39T30Lfz"/>
        <w:sz w:val="56"/>
      </w:rPr>
      <w:t></w:t>
    </w:r>
    <w:r w:rsidR="00362B0B" w:rsidRPr="00362B0B">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F70" w:rsidRPr="000B175B" w:rsidRDefault="00061F70" w:rsidP="000B175B">
      <w:pPr>
        <w:tabs>
          <w:tab w:val="right" w:pos="2155"/>
        </w:tabs>
        <w:spacing w:after="80"/>
        <w:ind w:left="680"/>
        <w:rPr>
          <w:u w:val="single"/>
        </w:rPr>
      </w:pPr>
      <w:r>
        <w:rPr>
          <w:u w:val="single"/>
        </w:rPr>
        <w:tab/>
      </w:r>
    </w:p>
  </w:footnote>
  <w:footnote w:type="continuationSeparator" w:id="0">
    <w:p w:rsidR="00061F70" w:rsidRPr="00FC68B7" w:rsidRDefault="00061F70" w:rsidP="00FC68B7">
      <w:pPr>
        <w:tabs>
          <w:tab w:val="left" w:pos="2155"/>
        </w:tabs>
        <w:spacing w:after="80"/>
        <w:ind w:left="680"/>
        <w:rPr>
          <w:u w:val="single"/>
        </w:rPr>
      </w:pPr>
      <w:r>
        <w:rPr>
          <w:u w:val="single"/>
        </w:rPr>
        <w:tab/>
      </w:r>
    </w:p>
  </w:footnote>
  <w:footnote w:type="continuationNotice" w:id="1">
    <w:p w:rsidR="00061F70" w:rsidRDefault="00061F70"/>
  </w:footnote>
  <w:footnote w:id="2">
    <w:p w:rsidR="00886330" w:rsidRPr="001E2BB1" w:rsidRDefault="00886330">
      <w:pPr>
        <w:pStyle w:val="FootnoteText"/>
      </w:pPr>
      <w:r>
        <w:rPr>
          <w:rStyle w:val="FootnoteReference"/>
        </w:rPr>
        <w:tab/>
      </w:r>
      <w:r w:rsidRPr="00F02EB8">
        <w:rPr>
          <w:rStyle w:val="FootnoteReference"/>
          <w:sz w:val="20"/>
          <w:vertAlign w:val="baseline"/>
        </w:rPr>
        <w:t>*</w:t>
      </w:r>
      <w:r>
        <w:rPr>
          <w:rStyle w:val="FootnoteReference"/>
          <w:sz w:val="20"/>
          <w:vertAlign w:val="baseline"/>
        </w:rPr>
        <w:tab/>
      </w:r>
      <w:r w:rsidRPr="0098604F">
        <w:rPr>
          <w:szCs w:val="18"/>
        </w:rPr>
        <w:t>The following members of the Committee p</w:t>
      </w:r>
      <w:r w:rsidRPr="00CC4AB8">
        <w:rPr>
          <w:szCs w:val="18"/>
        </w:rPr>
        <w:t xml:space="preserve">articipated </w:t>
      </w:r>
      <w:r w:rsidRPr="0098604F">
        <w:rPr>
          <w:szCs w:val="18"/>
        </w:rPr>
        <w:t>i</w:t>
      </w:r>
      <w:r w:rsidRPr="00CC4AB8">
        <w:rPr>
          <w:szCs w:val="18"/>
        </w:rPr>
        <w:t xml:space="preserve">n </w:t>
      </w:r>
      <w:r w:rsidRPr="0098604F">
        <w:rPr>
          <w:szCs w:val="18"/>
        </w:rPr>
        <w:t>t</w:t>
      </w:r>
      <w:r w:rsidRPr="00CC4AB8">
        <w:rPr>
          <w:szCs w:val="18"/>
        </w:rPr>
        <w:t xml:space="preserve">he </w:t>
      </w:r>
      <w:r w:rsidRPr="0098604F">
        <w:rPr>
          <w:szCs w:val="18"/>
        </w:rPr>
        <w:t>e</w:t>
      </w:r>
      <w:r w:rsidRPr="00CC4AB8">
        <w:rPr>
          <w:szCs w:val="18"/>
        </w:rPr>
        <w:t xml:space="preserve">xamination </w:t>
      </w:r>
      <w:r w:rsidRPr="0098604F">
        <w:rPr>
          <w:szCs w:val="18"/>
        </w:rPr>
        <w:t>o</w:t>
      </w:r>
      <w:r w:rsidRPr="00CC4AB8">
        <w:rPr>
          <w:szCs w:val="18"/>
        </w:rPr>
        <w:t xml:space="preserve">f </w:t>
      </w:r>
      <w:r w:rsidRPr="0098604F">
        <w:rPr>
          <w:szCs w:val="18"/>
        </w:rPr>
        <w:t>t</w:t>
      </w:r>
      <w:r w:rsidRPr="00CC4AB8">
        <w:rPr>
          <w:szCs w:val="18"/>
        </w:rPr>
        <w:t xml:space="preserve">he </w:t>
      </w:r>
      <w:r w:rsidRPr="0098604F">
        <w:rPr>
          <w:szCs w:val="18"/>
        </w:rPr>
        <w:t>p</w:t>
      </w:r>
      <w:r w:rsidRPr="00CC4AB8">
        <w:rPr>
          <w:szCs w:val="18"/>
        </w:rPr>
        <w:t xml:space="preserve">resent </w:t>
      </w:r>
      <w:r w:rsidRPr="0098604F">
        <w:rPr>
          <w:szCs w:val="18"/>
        </w:rPr>
        <w:t>c</w:t>
      </w:r>
      <w:r>
        <w:rPr>
          <w:szCs w:val="18"/>
        </w:rPr>
        <w:t xml:space="preserve">ommunication: </w:t>
      </w:r>
      <w:r w:rsidRPr="0098604F">
        <w:rPr>
          <w:szCs w:val="18"/>
        </w:rPr>
        <w:t>Yadh Ben Achour, Lazhari</w:t>
      </w:r>
      <w:r w:rsidRPr="00CC4AB8">
        <w:rPr>
          <w:szCs w:val="18"/>
        </w:rPr>
        <w:t xml:space="preserve"> </w:t>
      </w:r>
      <w:r w:rsidRPr="0098604F">
        <w:rPr>
          <w:szCs w:val="18"/>
        </w:rPr>
        <w:t xml:space="preserve">Bouzid, </w:t>
      </w:r>
      <w:r w:rsidRPr="001E2BB1">
        <w:rPr>
          <w:bCs/>
          <w:szCs w:val="18"/>
        </w:rPr>
        <w:t xml:space="preserve">Christine Chanet, Ahmed Amin Fathalla, Yuji Iwasawa, </w:t>
      </w:r>
      <w:r w:rsidRPr="00CC4AB8">
        <w:rPr>
          <w:bCs/>
          <w:szCs w:val="18"/>
        </w:rPr>
        <w:t xml:space="preserve">Cornelis Flinterman, </w:t>
      </w:r>
      <w:r w:rsidRPr="001E2BB1">
        <w:rPr>
          <w:bCs/>
          <w:szCs w:val="18"/>
        </w:rPr>
        <w:t xml:space="preserve">Walter Kälin, Sir Nigel Rodley, </w:t>
      </w:r>
      <w:r w:rsidRPr="0098604F">
        <w:rPr>
          <w:bCs/>
          <w:szCs w:val="18"/>
        </w:rPr>
        <w:t>Zonke Zanele Majodina,</w:t>
      </w:r>
      <w:r w:rsidRPr="00CC4AB8">
        <w:rPr>
          <w:bCs/>
          <w:szCs w:val="18"/>
        </w:rPr>
        <w:t xml:space="preserve"> Gerald Neuman, Victor Manuel Rodríguez-Rescia</w:t>
      </w:r>
      <w:r w:rsidRPr="0098604F">
        <w:rPr>
          <w:bCs/>
          <w:szCs w:val="18"/>
        </w:rPr>
        <w:t>,</w:t>
      </w:r>
      <w:r w:rsidRPr="001E2BB1">
        <w:rPr>
          <w:bCs/>
          <w:szCs w:val="18"/>
        </w:rPr>
        <w:t xml:space="preserve"> </w:t>
      </w:r>
      <w:r w:rsidRPr="00CC4AB8">
        <w:rPr>
          <w:bCs/>
          <w:szCs w:val="18"/>
        </w:rPr>
        <w:t>Margo Waterval</w:t>
      </w:r>
      <w:r w:rsidRPr="0098604F">
        <w:rPr>
          <w:bCs/>
          <w:szCs w:val="18"/>
        </w:rPr>
        <w:t>,</w:t>
      </w:r>
      <w:r w:rsidRPr="00CC4AB8">
        <w:rPr>
          <w:bCs/>
          <w:szCs w:val="18"/>
        </w:rPr>
        <w:t xml:space="preserve"> Konstantine V</w:t>
      </w:r>
      <w:r w:rsidRPr="0098604F">
        <w:rPr>
          <w:bCs/>
          <w:szCs w:val="18"/>
        </w:rPr>
        <w:t>ardzelashvili,</w:t>
      </w:r>
      <w:r w:rsidRPr="00CC4AB8">
        <w:rPr>
          <w:bCs/>
          <w:szCs w:val="18"/>
        </w:rPr>
        <w:t xml:space="preserve"> Yuval S</w:t>
      </w:r>
      <w:r w:rsidRPr="0098604F">
        <w:rPr>
          <w:bCs/>
          <w:szCs w:val="18"/>
        </w:rPr>
        <w:t>hany,</w:t>
      </w:r>
      <w:r w:rsidRPr="00CC4AB8">
        <w:rPr>
          <w:bCs/>
          <w:szCs w:val="18"/>
        </w:rPr>
        <w:t xml:space="preserve"> Fabián Omar S</w:t>
      </w:r>
      <w:r w:rsidRPr="0098604F">
        <w:rPr>
          <w:bCs/>
          <w:szCs w:val="18"/>
        </w:rPr>
        <w:t>alvioli,</w:t>
      </w:r>
      <w:r w:rsidRPr="00CC4AB8">
        <w:rPr>
          <w:bCs/>
          <w:szCs w:val="18"/>
        </w:rPr>
        <w:t xml:space="preserve"> Anja S</w:t>
      </w:r>
      <w:r w:rsidRPr="0098604F">
        <w:rPr>
          <w:bCs/>
          <w:szCs w:val="18"/>
        </w:rPr>
        <w:t>eibert</w:t>
      </w:r>
      <w:r w:rsidRPr="00CC4AB8">
        <w:rPr>
          <w:bCs/>
          <w:szCs w:val="18"/>
        </w:rPr>
        <w:t>-F</w:t>
      </w:r>
      <w:r w:rsidRPr="0098604F">
        <w:rPr>
          <w:bCs/>
          <w:szCs w:val="18"/>
        </w:rPr>
        <w:t>ohr, Andrei Paul Zlatescu and Dheerujlall Seetulsingh.</w:t>
      </w:r>
    </w:p>
  </w:footnote>
  <w:footnote w:id="3">
    <w:p w:rsidR="00886330" w:rsidRPr="007C062A" w:rsidRDefault="00886330" w:rsidP="007C062A">
      <w:pPr>
        <w:pStyle w:val="FootnoteText"/>
      </w:pPr>
      <w:r w:rsidRPr="0098604F">
        <w:tab/>
      </w:r>
      <w:r w:rsidRPr="00677CFA">
        <w:rPr>
          <w:rStyle w:val="FootnoteReference"/>
        </w:rPr>
        <w:footnoteRef/>
      </w:r>
      <w:r w:rsidRPr="007C062A">
        <w:tab/>
      </w:r>
      <w:r w:rsidRPr="007C062A">
        <w:rPr>
          <w:rFonts w:eastAsia="Verdana"/>
        </w:rPr>
        <w:t>The Optional Protocol entered into force for the State party on 25 October 1991.</w:t>
      </w:r>
    </w:p>
  </w:footnote>
  <w:footnote w:id="4">
    <w:p w:rsidR="00886330" w:rsidRPr="007C062A" w:rsidRDefault="00886330" w:rsidP="007C062A">
      <w:pPr>
        <w:pStyle w:val="FootnoteText"/>
      </w:pPr>
      <w:r w:rsidRPr="001E2BB1">
        <w:tab/>
      </w:r>
      <w:r w:rsidRPr="002151B1">
        <w:rPr>
          <w:rStyle w:val="FootnoteReference"/>
        </w:rPr>
        <w:footnoteRef/>
      </w:r>
      <w:r w:rsidRPr="007C062A">
        <w:tab/>
        <w:t>The author encloses a copy of the document in Ukrainian.</w:t>
      </w:r>
    </w:p>
  </w:footnote>
  <w:footnote w:id="5">
    <w:p w:rsidR="00886330" w:rsidRPr="007C062A" w:rsidRDefault="00886330" w:rsidP="007C062A">
      <w:pPr>
        <w:pStyle w:val="FootnoteText"/>
      </w:pPr>
      <w:r w:rsidRPr="001E2BB1">
        <w:tab/>
      </w:r>
      <w:r w:rsidRPr="002151B1">
        <w:rPr>
          <w:rStyle w:val="FootnoteReference"/>
        </w:rPr>
        <w:footnoteRef/>
      </w:r>
      <w:r w:rsidRPr="007C062A">
        <w:tab/>
        <w:t>The author submits a copy of the judge’s request addressed to the Prosecutor’s Office, in Ukrainian.</w:t>
      </w:r>
    </w:p>
  </w:footnote>
  <w:footnote w:id="6">
    <w:p w:rsidR="00886330" w:rsidRPr="00273A86" w:rsidRDefault="00886330" w:rsidP="00677CFA">
      <w:pPr>
        <w:pStyle w:val="FootnoteText"/>
      </w:pPr>
      <w:r w:rsidRPr="001E2BB1">
        <w:tab/>
      </w:r>
      <w:r w:rsidRPr="00677CFA">
        <w:rPr>
          <w:rStyle w:val="FootnoteReference"/>
        </w:rPr>
        <w:footnoteRef/>
      </w:r>
      <w:r w:rsidRPr="007C062A">
        <w:tab/>
        <w:t xml:space="preserve">See communications No. 1578/2007, </w:t>
      </w:r>
      <w:r w:rsidRPr="001E2BB1">
        <w:rPr>
          <w:i/>
        </w:rPr>
        <w:t xml:space="preserve">Dastgir </w:t>
      </w:r>
      <w:r w:rsidRPr="007726CD">
        <w:t>v.</w:t>
      </w:r>
      <w:r w:rsidRPr="001E2BB1">
        <w:rPr>
          <w:i/>
        </w:rPr>
        <w:t xml:space="preserve"> Canada</w:t>
      </w:r>
      <w:r w:rsidRPr="007C062A">
        <w:t xml:space="preserve">, </w:t>
      </w:r>
      <w:r>
        <w:t>d</w:t>
      </w:r>
      <w:r w:rsidRPr="007C062A">
        <w:t>ecision</w:t>
      </w:r>
      <w:r>
        <w:t xml:space="preserve"> adopted on 30 October 2008, </w:t>
      </w:r>
      <w:r w:rsidRPr="007C062A">
        <w:t>para</w:t>
      </w:r>
      <w:r>
        <w:t>.</w:t>
      </w:r>
      <w:r w:rsidRPr="007C062A">
        <w:t xml:space="preserve"> 6.2 and </w:t>
      </w:r>
      <w:r>
        <w:t xml:space="preserve">No. </w:t>
      </w:r>
      <w:r w:rsidRPr="007C062A">
        <w:t xml:space="preserve">1543/2007, </w:t>
      </w:r>
      <w:r w:rsidRPr="001E2BB1">
        <w:rPr>
          <w:i/>
        </w:rPr>
        <w:t xml:space="preserve">Aduhene and Agyemam </w:t>
      </w:r>
      <w:r w:rsidRPr="007726CD">
        <w:t>v.</w:t>
      </w:r>
      <w:r w:rsidRPr="001E2BB1">
        <w:rPr>
          <w:i/>
        </w:rPr>
        <w:t xml:space="preserve"> Germany</w:t>
      </w:r>
      <w:r w:rsidRPr="007C062A">
        <w:t xml:space="preserve">, </w:t>
      </w:r>
      <w:r>
        <w:t>d</w:t>
      </w:r>
      <w:r w:rsidRPr="007C062A">
        <w:t>ecision adopted on 21 July 2008, para</w:t>
      </w:r>
      <w:r>
        <w:t>.</w:t>
      </w:r>
      <w:r w:rsidRPr="007C062A">
        <w:t xml:space="preserve">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30" w:rsidRPr="00781C83" w:rsidRDefault="00886330" w:rsidP="00781C83">
    <w:pPr>
      <w:pStyle w:val="Header"/>
    </w:pPr>
    <w:r>
      <w:t xml:space="preserve">CCPR/C/112/D/2123/2011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30" w:rsidRPr="00781C83" w:rsidRDefault="00886330" w:rsidP="00781C83">
    <w:pPr>
      <w:pStyle w:val="Header"/>
      <w:jc w:val="right"/>
    </w:pPr>
    <w:r>
      <w:t>CCPR/C/112/D/2123/2011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8F0F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5"/>
    <w:rsid w:val="00001C66"/>
    <w:rsid w:val="000044E2"/>
    <w:rsid w:val="000170C3"/>
    <w:rsid w:val="00023024"/>
    <w:rsid w:val="00023E82"/>
    <w:rsid w:val="00025D41"/>
    <w:rsid w:val="0002635B"/>
    <w:rsid w:val="000272B3"/>
    <w:rsid w:val="0003122F"/>
    <w:rsid w:val="00032656"/>
    <w:rsid w:val="0003387B"/>
    <w:rsid w:val="00036F3F"/>
    <w:rsid w:val="000377A5"/>
    <w:rsid w:val="0004092D"/>
    <w:rsid w:val="00041994"/>
    <w:rsid w:val="00050F6B"/>
    <w:rsid w:val="000543B6"/>
    <w:rsid w:val="00055FFE"/>
    <w:rsid w:val="0005782B"/>
    <w:rsid w:val="00057E97"/>
    <w:rsid w:val="00060C3A"/>
    <w:rsid w:val="00061F70"/>
    <w:rsid w:val="00066476"/>
    <w:rsid w:val="00072C8C"/>
    <w:rsid w:val="00072FB3"/>
    <w:rsid w:val="000733B5"/>
    <w:rsid w:val="00073976"/>
    <w:rsid w:val="000806E6"/>
    <w:rsid w:val="00080DFA"/>
    <w:rsid w:val="00081815"/>
    <w:rsid w:val="00081BF7"/>
    <w:rsid w:val="0008245C"/>
    <w:rsid w:val="00091F15"/>
    <w:rsid w:val="000931C0"/>
    <w:rsid w:val="000941FE"/>
    <w:rsid w:val="000970C1"/>
    <w:rsid w:val="000A0743"/>
    <w:rsid w:val="000A310C"/>
    <w:rsid w:val="000A5559"/>
    <w:rsid w:val="000B02C3"/>
    <w:rsid w:val="000B175B"/>
    <w:rsid w:val="000B1788"/>
    <w:rsid w:val="000B3A0F"/>
    <w:rsid w:val="000B4EF7"/>
    <w:rsid w:val="000C2AB9"/>
    <w:rsid w:val="000C2C03"/>
    <w:rsid w:val="000C2D2E"/>
    <w:rsid w:val="000C2E06"/>
    <w:rsid w:val="000C46B7"/>
    <w:rsid w:val="000C4DA0"/>
    <w:rsid w:val="000D0ABB"/>
    <w:rsid w:val="000D3D17"/>
    <w:rsid w:val="000E0415"/>
    <w:rsid w:val="000E07B1"/>
    <w:rsid w:val="000E20F8"/>
    <w:rsid w:val="000E3277"/>
    <w:rsid w:val="000F39F9"/>
    <w:rsid w:val="000F6A6B"/>
    <w:rsid w:val="000F7E69"/>
    <w:rsid w:val="00100ADF"/>
    <w:rsid w:val="001037D9"/>
    <w:rsid w:val="001103AA"/>
    <w:rsid w:val="001133DB"/>
    <w:rsid w:val="00117506"/>
    <w:rsid w:val="0011787A"/>
    <w:rsid w:val="00123712"/>
    <w:rsid w:val="001306DD"/>
    <w:rsid w:val="00130D48"/>
    <w:rsid w:val="00131B64"/>
    <w:rsid w:val="0013235B"/>
    <w:rsid w:val="001340B3"/>
    <w:rsid w:val="00137249"/>
    <w:rsid w:val="00142286"/>
    <w:rsid w:val="00154DA5"/>
    <w:rsid w:val="00156988"/>
    <w:rsid w:val="00157820"/>
    <w:rsid w:val="00161364"/>
    <w:rsid w:val="00162DB2"/>
    <w:rsid w:val="00164C92"/>
    <w:rsid w:val="00165F3A"/>
    <w:rsid w:val="00170DDB"/>
    <w:rsid w:val="00171073"/>
    <w:rsid w:val="001721A9"/>
    <w:rsid w:val="0017277A"/>
    <w:rsid w:val="001756D6"/>
    <w:rsid w:val="001758E2"/>
    <w:rsid w:val="00183968"/>
    <w:rsid w:val="00195967"/>
    <w:rsid w:val="001965C0"/>
    <w:rsid w:val="00196CDF"/>
    <w:rsid w:val="001A09DE"/>
    <w:rsid w:val="001A2C08"/>
    <w:rsid w:val="001A32CB"/>
    <w:rsid w:val="001A4429"/>
    <w:rsid w:val="001A660B"/>
    <w:rsid w:val="001A6686"/>
    <w:rsid w:val="001A723C"/>
    <w:rsid w:val="001A7E43"/>
    <w:rsid w:val="001B05B8"/>
    <w:rsid w:val="001B4041"/>
    <w:rsid w:val="001B4B04"/>
    <w:rsid w:val="001B7D22"/>
    <w:rsid w:val="001C2AE5"/>
    <w:rsid w:val="001C5BED"/>
    <w:rsid w:val="001C657F"/>
    <w:rsid w:val="001C6663"/>
    <w:rsid w:val="001C7895"/>
    <w:rsid w:val="001C7D37"/>
    <w:rsid w:val="001D0C8C"/>
    <w:rsid w:val="001D26DF"/>
    <w:rsid w:val="001D3743"/>
    <w:rsid w:val="001D3A03"/>
    <w:rsid w:val="001D7102"/>
    <w:rsid w:val="001E10EC"/>
    <w:rsid w:val="001E2BB1"/>
    <w:rsid w:val="001E48A9"/>
    <w:rsid w:val="001E718D"/>
    <w:rsid w:val="001F7B7B"/>
    <w:rsid w:val="00202DA8"/>
    <w:rsid w:val="002069CC"/>
    <w:rsid w:val="002110B0"/>
    <w:rsid w:val="00211E0B"/>
    <w:rsid w:val="002151B1"/>
    <w:rsid w:val="00217D74"/>
    <w:rsid w:val="00220677"/>
    <w:rsid w:val="00222689"/>
    <w:rsid w:val="0022501D"/>
    <w:rsid w:val="002256A1"/>
    <w:rsid w:val="00225E0E"/>
    <w:rsid w:val="002314F8"/>
    <w:rsid w:val="0023210C"/>
    <w:rsid w:val="002361D0"/>
    <w:rsid w:val="00240564"/>
    <w:rsid w:val="00243F4D"/>
    <w:rsid w:val="0025162E"/>
    <w:rsid w:val="0025487E"/>
    <w:rsid w:val="002633B3"/>
    <w:rsid w:val="00264468"/>
    <w:rsid w:val="002650C2"/>
    <w:rsid w:val="00266EB7"/>
    <w:rsid w:val="00267F5F"/>
    <w:rsid w:val="00271484"/>
    <w:rsid w:val="00273B14"/>
    <w:rsid w:val="00281144"/>
    <w:rsid w:val="00282899"/>
    <w:rsid w:val="002863A9"/>
    <w:rsid w:val="00286B4D"/>
    <w:rsid w:val="0029365C"/>
    <w:rsid w:val="00293B90"/>
    <w:rsid w:val="00297846"/>
    <w:rsid w:val="002A1243"/>
    <w:rsid w:val="002A3CBA"/>
    <w:rsid w:val="002A4957"/>
    <w:rsid w:val="002A4B67"/>
    <w:rsid w:val="002A728F"/>
    <w:rsid w:val="002B3B76"/>
    <w:rsid w:val="002B3F1E"/>
    <w:rsid w:val="002B5539"/>
    <w:rsid w:val="002C244A"/>
    <w:rsid w:val="002C5BCD"/>
    <w:rsid w:val="002D18B7"/>
    <w:rsid w:val="002D3AF5"/>
    <w:rsid w:val="002D4CB1"/>
    <w:rsid w:val="002E1084"/>
    <w:rsid w:val="002E52B1"/>
    <w:rsid w:val="002E5C99"/>
    <w:rsid w:val="002E69AE"/>
    <w:rsid w:val="002F039C"/>
    <w:rsid w:val="002F175C"/>
    <w:rsid w:val="002F1942"/>
    <w:rsid w:val="002F4557"/>
    <w:rsid w:val="002F5159"/>
    <w:rsid w:val="002F582A"/>
    <w:rsid w:val="0030138D"/>
    <w:rsid w:val="0030180F"/>
    <w:rsid w:val="00306124"/>
    <w:rsid w:val="00307164"/>
    <w:rsid w:val="003134AC"/>
    <w:rsid w:val="00314027"/>
    <w:rsid w:val="00320E07"/>
    <w:rsid w:val="003229D8"/>
    <w:rsid w:val="00323632"/>
    <w:rsid w:val="00325407"/>
    <w:rsid w:val="00327502"/>
    <w:rsid w:val="00331F5B"/>
    <w:rsid w:val="003337DC"/>
    <w:rsid w:val="00340A69"/>
    <w:rsid w:val="00352709"/>
    <w:rsid w:val="00354166"/>
    <w:rsid w:val="00354AA8"/>
    <w:rsid w:val="00362B0B"/>
    <w:rsid w:val="00363A98"/>
    <w:rsid w:val="0036645D"/>
    <w:rsid w:val="00367567"/>
    <w:rsid w:val="003705C9"/>
    <w:rsid w:val="00371095"/>
    <w:rsid w:val="00371178"/>
    <w:rsid w:val="0037301C"/>
    <w:rsid w:val="003730DD"/>
    <w:rsid w:val="00375119"/>
    <w:rsid w:val="00377828"/>
    <w:rsid w:val="003823CB"/>
    <w:rsid w:val="0038336C"/>
    <w:rsid w:val="00386624"/>
    <w:rsid w:val="003903FC"/>
    <w:rsid w:val="0039347E"/>
    <w:rsid w:val="003943B7"/>
    <w:rsid w:val="003A1602"/>
    <w:rsid w:val="003A6810"/>
    <w:rsid w:val="003A70FC"/>
    <w:rsid w:val="003A7AF2"/>
    <w:rsid w:val="003C02AB"/>
    <w:rsid w:val="003C2CC4"/>
    <w:rsid w:val="003C730E"/>
    <w:rsid w:val="003D12CB"/>
    <w:rsid w:val="003D1C5A"/>
    <w:rsid w:val="003D2795"/>
    <w:rsid w:val="003D3E59"/>
    <w:rsid w:val="003D4B23"/>
    <w:rsid w:val="003D52B0"/>
    <w:rsid w:val="003E2BA4"/>
    <w:rsid w:val="003E6A36"/>
    <w:rsid w:val="003E6F7E"/>
    <w:rsid w:val="003F493B"/>
    <w:rsid w:val="00400FC4"/>
    <w:rsid w:val="00405473"/>
    <w:rsid w:val="00410C89"/>
    <w:rsid w:val="00414931"/>
    <w:rsid w:val="00414B35"/>
    <w:rsid w:val="00414F92"/>
    <w:rsid w:val="004174CC"/>
    <w:rsid w:val="004227C0"/>
    <w:rsid w:val="00426B9B"/>
    <w:rsid w:val="0043003F"/>
    <w:rsid w:val="004325CB"/>
    <w:rsid w:val="00436B33"/>
    <w:rsid w:val="00442A83"/>
    <w:rsid w:val="00442C9D"/>
    <w:rsid w:val="00445A57"/>
    <w:rsid w:val="00450D0E"/>
    <w:rsid w:val="0045495B"/>
    <w:rsid w:val="00455C43"/>
    <w:rsid w:val="00460675"/>
    <w:rsid w:val="004607BF"/>
    <w:rsid w:val="00464446"/>
    <w:rsid w:val="004661B5"/>
    <w:rsid w:val="00466B4C"/>
    <w:rsid w:val="00466FA4"/>
    <w:rsid w:val="0047173A"/>
    <w:rsid w:val="00473963"/>
    <w:rsid w:val="00476073"/>
    <w:rsid w:val="00477339"/>
    <w:rsid w:val="00481CB1"/>
    <w:rsid w:val="00486AAA"/>
    <w:rsid w:val="00487488"/>
    <w:rsid w:val="00487FB8"/>
    <w:rsid w:val="0049219B"/>
    <w:rsid w:val="0049418F"/>
    <w:rsid w:val="00497CBC"/>
    <w:rsid w:val="004A28A7"/>
    <w:rsid w:val="004A4E95"/>
    <w:rsid w:val="004C55DD"/>
    <w:rsid w:val="004C59C5"/>
    <w:rsid w:val="004D5BD1"/>
    <w:rsid w:val="004E15CC"/>
    <w:rsid w:val="004F1D45"/>
    <w:rsid w:val="004F5078"/>
    <w:rsid w:val="004F6876"/>
    <w:rsid w:val="0050328D"/>
    <w:rsid w:val="005167F1"/>
    <w:rsid w:val="00520400"/>
    <w:rsid w:val="0052136D"/>
    <w:rsid w:val="005232E6"/>
    <w:rsid w:val="00525395"/>
    <w:rsid w:val="0052775E"/>
    <w:rsid w:val="005409DC"/>
    <w:rsid w:val="0054109A"/>
    <w:rsid w:val="0054150C"/>
    <w:rsid w:val="005420F2"/>
    <w:rsid w:val="005477DA"/>
    <w:rsid w:val="00550D3B"/>
    <w:rsid w:val="00560BA5"/>
    <w:rsid w:val="00561B68"/>
    <w:rsid w:val="005628B6"/>
    <w:rsid w:val="00564714"/>
    <w:rsid w:val="0056624F"/>
    <w:rsid w:val="005722B3"/>
    <w:rsid w:val="00574307"/>
    <w:rsid w:val="005848B3"/>
    <w:rsid w:val="00590F87"/>
    <w:rsid w:val="0059237A"/>
    <w:rsid w:val="00592C4A"/>
    <w:rsid w:val="005A0415"/>
    <w:rsid w:val="005A2ACD"/>
    <w:rsid w:val="005B09AE"/>
    <w:rsid w:val="005B15AD"/>
    <w:rsid w:val="005B1721"/>
    <w:rsid w:val="005B38A5"/>
    <w:rsid w:val="005B3DB3"/>
    <w:rsid w:val="005B4F61"/>
    <w:rsid w:val="005C176E"/>
    <w:rsid w:val="005C2131"/>
    <w:rsid w:val="005C223E"/>
    <w:rsid w:val="005C413D"/>
    <w:rsid w:val="005C4A9E"/>
    <w:rsid w:val="005D0679"/>
    <w:rsid w:val="005D5721"/>
    <w:rsid w:val="005D5AF5"/>
    <w:rsid w:val="005D7CB5"/>
    <w:rsid w:val="005E2F71"/>
    <w:rsid w:val="005E5805"/>
    <w:rsid w:val="005E783D"/>
    <w:rsid w:val="005F5699"/>
    <w:rsid w:val="005F7717"/>
    <w:rsid w:val="005F7B75"/>
    <w:rsid w:val="005F7CA8"/>
    <w:rsid w:val="005F7F93"/>
    <w:rsid w:val="006001EE"/>
    <w:rsid w:val="00605042"/>
    <w:rsid w:val="0060595C"/>
    <w:rsid w:val="00607BC1"/>
    <w:rsid w:val="006108E0"/>
    <w:rsid w:val="00611FC4"/>
    <w:rsid w:val="006148AF"/>
    <w:rsid w:val="00614963"/>
    <w:rsid w:val="006169BC"/>
    <w:rsid w:val="006176FB"/>
    <w:rsid w:val="00623FD3"/>
    <w:rsid w:val="0062462D"/>
    <w:rsid w:val="006274AD"/>
    <w:rsid w:val="00627FB0"/>
    <w:rsid w:val="00631C31"/>
    <w:rsid w:val="00631C3C"/>
    <w:rsid w:val="0063379B"/>
    <w:rsid w:val="00640B26"/>
    <w:rsid w:val="00640C76"/>
    <w:rsid w:val="00645379"/>
    <w:rsid w:val="00652D0A"/>
    <w:rsid w:val="00653DBF"/>
    <w:rsid w:val="00654447"/>
    <w:rsid w:val="006577EE"/>
    <w:rsid w:val="00661418"/>
    <w:rsid w:val="00662BB6"/>
    <w:rsid w:val="00663069"/>
    <w:rsid w:val="006637A4"/>
    <w:rsid w:val="00671948"/>
    <w:rsid w:val="00672110"/>
    <w:rsid w:val="006743E9"/>
    <w:rsid w:val="00677CFA"/>
    <w:rsid w:val="00681702"/>
    <w:rsid w:val="00682284"/>
    <w:rsid w:val="006838C8"/>
    <w:rsid w:val="00684C21"/>
    <w:rsid w:val="00685FA6"/>
    <w:rsid w:val="0068743C"/>
    <w:rsid w:val="00692BBE"/>
    <w:rsid w:val="00694AE6"/>
    <w:rsid w:val="006954C6"/>
    <w:rsid w:val="0069763E"/>
    <w:rsid w:val="00697F3E"/>
    <w:rsid w:val="006B58E5"/>
    <w:rsid w:val="006C0435"/>
    <w:rsid w:val="006C1D35"/>
    <w:rsid w:val="006C3AD1"/>
    <w:rsid w:val="006D37AF"/>
    <w:rsid w:val="006D51D0"/>
    <w:rsid w:val="006E564B"/>
    <w:rsid w:val="006E7191"/>
    <w:rsid w:val="006E7196"/>
    <w:rsid w:val="006F6515"/>
    <w:rsid w:val="00703577"/>
    <w:rsid w:val="00705625"/>
    <w:rsid w:val="0071171F"/>
    <w:rsid w:val="00711F00"/>
    <w:rsid w:val="00713C74"/>
    <w:rsid w:val="00715DDD"/>
    <w:rsid w:val="00716EC7"/>
    <w:rsid w:val="00721F25"/>
    <w:rsid w:val="0072328C"/>
    <w:rsid w:val="0072632A"/>
    <w:rsid w:val="00726A48"/>
    <w:rsid w:val="007327D5"/>
    <w:rsid w:val="00734ABE"/>
    <w:rsid w:val="00735CA1"/>
    <w:rsid w:val="00735F4E"/>
    <w:rsid w:val="00736EAD"/>
    <w:rsid w:val="007438F4"/>
    <w:rsid w:val="00746D61"/>
    <w:rsid w:val="007500C0"/>
    <w:rsid w:val="007509EB"/>
    <w:rsid w:val="00750FC5"/>
    <w:rsid w:val="0075395D"/>
    <w:rsid w:val="00760B80"/>
    <w:rsid w:val="00762878"/>
    <w:rsid w:val="00762922"/>
    <w:rsid w:val="007629C8"/>
    <w:rsid w:val="00762E39"/>
    <w:rsid w:val="007635DF"/>
    <w:rsid w:val="00764972"/>
    <w:rsid w:val="007726CD"/>
    <w:rsid w:val="007740F1"/>
    <w:rsid w:val="00776204"/>
    <w:rsid w:val="00777322"/>
    <w:rsid w:val="00781C83"/>
    <w:rsid w:val="0078300D"/>
    <w:rsid w:val="00785DB2"/>
    <w:rsid w:val="0078676D"/>
    <w:rsid w:val="00787E5D"/>
    <w:rsid w:val="0079034E"/>
    <w:rsid w:val="0079681E"/>
    <w:rsid w:val="007A212F"/>
    <w:rsid w:val="007A36C9"/>
    <w:rsid w:val="007A6F2B"/>
    <w:rsid w:val="007B3302"/>
    <w:rsid w:val="007B6BA5"/>
    <w:rsid w:val="007C062A"/>
    <w:rsid w:val="007C1241"/>
    <w:rsid w:val="007C3390"/>
    <w:rsid w:val="007C3FFB"/>
    <w:rsid w:val="007C4330"/>
    <w:rsid w:val="007C4F4B"/>
    <w:rsid w:val="007C784F"/>
    <w:rsid w:val="007C7D52"/>
    <w:rsid w:val="007D00CF"/>
    <w:rsid w:val="007D0F69"/>
    <w:rsid w:val="007D564F"/>
    <w:rsid w:val="007E0B2D"/>
    <w:rsid w:val="007E4594"/>
    <w:rsid w:val="007E4BBE"/>
    <w:rsid w:val="007E533F"/>
    <w:rsid w:val="007E5EA4"/>
    <w:rsid w:val="007F12FC"/>
    <w:rsid w:val="007F2D0D"/>
    <w:rsid w:val="007F3A2C"/>
    <w:rsid w:val="007F4853"/>
    <w:rsid w:val="007F6611"/>
    <w:rsid w:val="0081059E"/>
    <w:rsid w:val="008105B8"/>
    <w:rsid w:val="00811D06"/>
    <w:rsid w:val="008123D2"/>
    <w:rsid w:val="00812971"/>
    <w:rsid w:val="00813327"/>
    <w:rsid w:val="00816972"/>
    <w:rsid w:val="00816E23"/>
    <w:rsid w:val="008216A5"/>
    <w:rsid w:val="00821A8D"/>
    <w:rsid w:val="008242D7"/>
    <w:rsid w:val="00824C73"/>
    <w:rsid w:val="00824FE2"/>
    <w:rsid w:val="00825659"/>
    <w:rsid w:val="008257B1"/>
    <w:rsid w:val="00830FF4"/>
    <w:rsid w:val="0083185A"/>
    <w:rsid w:val="008406D2"/>
    <w:rsid w:val="0084126F"/>
    <w:rsid w:val="00842E4E"/>
    <w:rsid w:val="00843767"/>
    <w:rsid w:val="00846666"/>
    <w:rsid w:val="00851F2A"/>
    <w:rsid w:val="00852442"/>
    <w:rsid w:val="008655A1"/>
    <w:rsid w:val="0086786D"/>
    <w:rsid w:val="008679D9"/>
    <w:rsid w:val="00871051"/>
    <w:rsid w:val="00872F86"/>
    <w:rsid w:val="008730D5"/>
    <w:rsid w:val="00875FE5"/>
    <w:rsid w:val="00880AF2"/>
    <w:rsid w:val="00883BBF"/>
    <w:rsid w:val="00884FCB"/>
    <w:rsid w:val="00886330"/>
    <w:rsid w:val="0088719B"/>
    <w:rsid w:val="00891C2B"/>
    <w:rsid w:val="008979B1"/>
    <w:rsid w:val="00897F0A"/>
    <w:rsid w:val="008A09B5"/>
    <w:rsid w:val="008A1DB2"/>
    <w:rsid w:val="008A6B25"/>
    <w:rsid w:val="008A6C4F"/>
    <w:rsid w:val="008B012F"/>
    <w:rsid w:val="008B2335"/>
    <w:rsid w:val="008B37EC"/>
    <w:rsid w:val="008B3C75"/>
    <w:rsid w:val="008C0D17"/>
    <w:rsid w:val="008C16E7"/>
    <w:rsid w:val="008C22CC"/>
    <w:rsid w:val="008C3223"/>
    <w:rsid w:val="008C4B5A"/>
    <w:rsid w:val="008C4EDC"/>
    <w:rsid w:val="008C6E58"/>
    <w:rsid w:val="008C77CB"/>
    <w:rsid w:val="008D1459"/>
    <w:rsid w:val="008D2424"/>
    <w:rsid w:val="008E0678"/>
    <w:rsid w:val="008E4C4F"/>
    <w:rsid w:val="008E5CD9"/>
    <w:rsid w:val="008E5FF6"/>
    <w:rsid w:val="008E6067"/>
    <w:rsid w:val="008F0336"/>
    <w:rsid w:val="008F0487"/>
    <w:rsid w:val="008F156D"/>
    <w:rsid w:val="008F1FA8"/>
    <w:rsid w:val="008F2BDD"/>
    <w:rsid w:val="008F34FE"/>
    <w:rsid w:val="008F716A"/>
    <w:rsid w:val="00900036"/>
    <w:rsid w:val="009027D7"/>
    <w:rsid w:val="00903876"/>
    <w:rsid w:val="0090637F"/>
    <w:rsid w:val="00910F40"/>
    <w:rsid w:val="00912C08"/>
    <w:rsid w:val="00913616"/>
    <w:rsid w:val="0091377B"/>
    <w:rsid w:val="00920D9A"/>
    <w:rsid w:val="009223CA"/>
    <w:rsid w:val="00922BC4"/>
    <w:rsid w:val="00940F93"/>
    <w:rsid w:val="00946696"/>
    <w:rsid w:val="00951EAC"/>
    <w:rsid w:val="0095347F"/>
    <w:rsid w:val="009568BE"/>
    <w:rsid w:val="00957439"/>
    <w:rsid w:val="0096073F"/>
    <w:rsid w:val="00960911"/>
    <w:rsid w:val="009633D7"/>
    <w:rsid w:val="009645AA"/>
    <w:rsid w:val="00967F59"/>
    <w:rsid w:val="009701C4"/>
    <w:rsid w:val="00972C38"/>
    <w:rsid w:val="009735A8"/>
    <w:rsid w:val="00974EF5"/>
    <w:rsid w:val="009760F3"/>
    <w:rsid w:val="009774D5"/>
    <w:rsid w:val="009800FA"/>
    <w:rsid w:val="00980EA8"/>
    <w:rsid w:val="009817F4"/>
    <w:rsid w:val="0098484D"/>
    <w:rsid w:val="0098604F"/>
    <w:rsid w:val="009909F5"/>
    <w:rsid w:val="0099515D"/>
    <w:rsid w:val="009A0E8D"/>
    <w:rsid w:val="009A19F8"/>
    <w:rsid w:val="009B0FC5"/>
    <w:rsid w:val="009B26E7"/>
    <w:rsid w:val="009B5501"/>
    <w:rsid w:val="009C162C"/>
    <w:rsid w:val="009C584F"/>
    <w:rsid w:val="009C6DFE"/>
    <w:rsid w:val="009E2F54"/>
    <w:rsid w:val="009E7D26"/>
    <w:rsid w:val="009F2AC1"/>
    <w:rsid w:val="009F50E3"/>
    <w:rsid w:val="009F7636"/>
    <w:rsid w:val="00A00A3F"/>
    <w:rsid w:val="00A01489"/>
    <w:rsid w:val="00A018AB"/>
    <w:rsid w:val="00A03ED0"/>
    <w:rsid w:val="00A05A28"/>
    <w:rsid w:val="00A230A0"/>
    <w:rsid w:val="00A31B81"/>
    <w:rsid w:val="00A338F1"/>
    <w:rsid w:val="00A343D0"/>
    <w:rsid w:val="00A377A8"/>
    <w:rsid w:val="00A41A5C"/>
    <w:rsid w:val="00A44487"/>
    <w:rsid w:val="00A44615"/>
    <w:rsid w:val="00A4728C"/>
    <w:rsid w:val="00A47874"/>
    <w:rsid w:val="00A5238C"/>
    <w:rsid w:val="00A54E7A"/>
    <w:rsid w:val="00A7094F"/>
    <w:rsid w:val="00A70EA1"/>
    <w:rsid w:val="00A72C70"/>
    <w:rsid w:val="00A72F22"/>
    <w:rsid w:val="00A7360F"/>
    <w:rsid w:val="00A748A6"/>
    <w:rsid w:val="00A75355"/>
    <w:rsid w:val="00A76648"/>
    <w:rsid w:val="00A769F4"/>
    <w:rsid w:val="00A776B4"/>
    <w:rsid w:val="00A777CF"/>
    <w:rsid w:val="00A81D4E"/>
    <w:rsid w:val="00A85EA0"/>
    <w:rsid w:val="00A86981"/>
    <w:rsid w:val="00A94361"/>
    <w:rsid w:val="00A96BCF"/>
    <w:rsid w:val="00AA072E"/>
    <w:rsid w:val="00AA293C"/>
    <w:rsid w:val="00AA2D0D"/>
    <w:rsid w:val="00AA6FA4"/>
    <w:rsid w:val="00AB0648"/>
    <w:rsid w:val="00AB19FA"/>
    <w:rsid w:val="00AB2855"/>
    <w:rsid w:val="00AB45A3"/>
    <w:rsid w:val="00AB4CA5"/>
    <w:rsid w:val="00AB6C89"/>
    <w:rsid w:val="00AC505B"/>
    <w:rsid w:val="00AC6A0A"/>
    <w:rsid w:val="00AD46B8"/>
    <w:rsid w:val="00AE1CFF"/>
    <w:rsid w:val="00AE4730"/>
    <w:rsid w:val="00AE50CE"/>
    <w:rsid w:val="00AF0BB7"/>
    <w:rsid w:val="00AF1A44"/>
    <w:rsid w:val="00AF3148"/>
    <w:rsid w:val="00AF34D9"/>
    <w:rsid w:val="00AF5CCF"/>
    <w:rsid w:val="00AF7286"/>
    <w:rsid w:val="00B03884"/>
    <w:rsid w:val="00B04543"/>
    <w:rsid w:val="00B10640"/>
    <w:rsid w:val="00B13E9B"/>
    <w:rsid w:val="00B146EB"/>
    <w:rsid w:val="00B174D5"/>
    <w:rsid w:val="00B2280C"/>
    <w:rsid w:val="00B23D94"/>
    <w:rsid w:val="00B25D3D"/>
    <w:rsid w:val="00B2683D"/>
    <w:rsid w:val="00B30179"/>
    <w:rsid w:val="00B339A7"/>
    <w:rsid w:val="00B33ABD"/>
    <w:rsid w:val="00B346DF"/>
    <w:rsid w:val="00B41A37"/>
    <w:rsid w:val="00B41ACB"/>
    <w:rsid w:val="00B46514"/>
    <w:rsid w:val="00B53FD5"/>
    <w:rsid w:val="00B55522"/>
    <w:rsid w:val="00B56E4A"/>
    <w:rsid w:val="00B56E9C"/>
    <w:rsid w:val="00B60748"/>
    <w:rsid w:val="00B64B1F"/>
    <w:rsid w:val="00B64F34"/>
    <w:rsid w:val="00B6524C"/>
    <w:rsid w:val="00B6553F"/>
    <w:rsid w:val="00B6667A"/>
    <w:rsid w:val="00B66E5E"/>
    <w:rsid w:val="00B77D05"/>
    <w:rsid w:val="00B81206"/>
    <w:rsid w:val="00B81E12"/>
    <w:rsid w:val="00B85756"/>
    <w:rsid w:val="00B85AF8"/>
    <w:rsid w:val="00B86C63"/>
    <w:rsid w:val="00B9067B"/>
    <w:rsid w:val="00B915E0"/>
    <w:rsid w:val="00B94491"/>
    <w:rsid w:val="00B95A99"/>
    <w:rsid w:val="00B97AFE"/>
    <w:rsid w:val="00BA0869"/>
    <w:rsid w:val="00BA434C"/>
    <w:rsid w:val="00BB22D5"/>
    <w:rsid w:val="00BB24B4"/>
    <w:rsid w:val="00BB6C57"/>
    <w:rsid w:val="00BC01E3"/>
    <w:rsid w:val="00BC1CCD"/>
    <w:rsid w:val="00BC2C23"/>
    <w:rsid w:val="00BC48F3"/>
    <w:rsid w:val="00BC5363"/>
    <w:rsid w:val="00BC6E5E"/>
    <w:rsid w:val="00BC74E9"/>
    <w:rsid w:val="00BE0B9C"/>
    <w:rsid w:val="00BF4613"/>
    <w:rsid w:val="00BF61C5"/>
    <w:rsid w:val="00BF68A8"/>
    <w:rsid w:val="00BF6DE0"/>
    <w:rsid w:val="00BF72FD"/>
    <w:rsid w:val="00C02E7A"/>
    <w:rsid w:val="00C06109"/>
    <w:rsid w:val="00C11207"/>
    <w:rsid w:val="00C11870"/>
    <w:rsid w:val="00C11A03"/>
    <w:rsid w:val="00C144EC"/>
    <w:rsid w:val="00C20A72"/>
    <w:rsid w:val="00C2284D"/>
    <w:rsid w:val="00C34926"/>
    <w:rsid w:val="00C42190"/>
    <w:rsid w:val="00C44D49"/>
    <w:rsid w:val="00C463DD"/>
    <w:rsid w:val="00C46474"/>
    <w:rsid w:val="00C4724C"/>
    <w:rsid w:val="00C50356"/>
    <w:rsid w:val="00C55779"/>
    <w:rsid w:val="00C56114"/>
    <w:rsid w:val="00C606D3"/>
    <w:rsid w:val="00C61C48"/>
    <w:rsid w:val="00C629A0"/>
    <w:rsid w:val="00C63F5A"/>
    <w:rsid w:val="00C745C3"/>
    <w:rsid w:val="00C76890"/>
    <w:rsid w:val="00C803EC"/>
    <w:rsid w:val="00C8504E"/>
    <w:rsid w:val="00CB0716"/>
    <w:rsid w:val="00CB6602"/>
    <w:rsid w:val="00CC0CD1"/>
    <w:rsid w:val="00CD4EE7"/>
    <w:rsid w:val="00CE34FF"/>
    <w:rsid w:val="00CE4A8F"/>
    <w:rsid w:val="00CF1984"/>
    <w:rsid w:val="00CF2621"/>
    <w:rsid w:val="00D01484"/>
    <w:rsid w:val="00D02C2A"/>
    <w:rsid w:val="00D06AB9"/>
    <w:rsid w:val="00D06B7E"/>
    <w:rsid w:val="00D1315B"/>
    <w:rsid w:val="00D141CF"/>
    <w:rsid w:val="00D2031B"/>
    <w:rsid w:val="00D203CE"/>
    <w:rsid w:val="00D257E7"/>
    <w:rsid w:val="00D25FE2"/>
    <w:rsid w:val="00D2637A"/>
    <w:rsid w:val="00D26629"/>
    <w:rsid w:val="00D30034"/>
    <w:rsid w:val="00D35FCA"/>
    <w:rsid w:val="00D42BF8"/>
    <w:rsid w:val="00D43252"/>
    <w:rsid w:val="00D43E06"/>
    <w:rsid w:val="00D46C27"/>
    <w:rsid w:val="00D47EEA"/>
    <w:rsid w:val="00D501D0"/>
    <w:rsid w:val="00D509AE"/>
    <w:rsid w:val="00D51D6E"/>
    <w:rsid w:val="00D53BAD"/>
    <w:rsid w:val="00D543C9"/>
    <w:rsid w:val="00D729E4"/>
    <w:rsid w:val="00D73CB8"/>
    <w:rsid w:val="00D80EDF"/>
    <w:rsid w:val="00D864CC"/>
    <w:rsid w:val="00D90F93"/>
    <w:rsid w:val="00D913B0"/>
    <w:rsid w:val="00D95303"/>
    <w:rsid w:val="00D96E57"/>
    <w:rsid w:val="00D97597"/>
    <w:rsid w:val="00D975A7"/>
    <w:rsid w:val="00D978C6"/>
    <w:rsid w:val="00DA3111"/>
    <w:rsid w:val="00DA3C1C"/>
    <w:rsid w:val="00DA4BBB"/>
    <w:rsid w:val="00DB0171"/>
    <w:rsid w:val="00DB0C79"/>
    <w:rsid w:val="00DB2CE7"/>
    <w:rsid w:val="00DB5B2F"/>
    <w:rsid w:val="00DC0714"/>
    <w:rsid w:val="00DD593B"/>
    <w:rsid w:val="00DE1DF6"/>
    <w:rsid w:val="00DE79A8"/>
    <w:rsid w:val="00DF528D"/>
    <w:rsid w:val="00E142AF"/>
    <w:rsid w:val="00E15CC1"/>
    <w:rsid w:val="00E17C73"/>
    <w:rsid w:val="00E209FD"/>
    <w:rsid w:val="00E21400"/>
    <w:rsid w:val="00E25E54"/>
    <w:rsid w:val="00E27346"/>
    <w:rsid w:val="00E27C08"/>
    <w:rsid w:val="00E31E79"/>
    <w:rsid w:val="00E40A07"/>
    <w:rsid w:val="00E41BFE"/>
    <w:rsid w:val="00E4363C"/>
    <w:rsid w:val="00E449A0"/>
    <w:rsid w:val="00E517D2"/>
    <w:rsid w:val="00E53D02"/>
    <w:rsid w:val="00E6074E"/>
    <w:rsid w:val="00E61088"/>
    <w:rsid w:val="00E632CC"/>
    <w:rsid w:val="00E64123"/>
    <w:rsid w:val="00E65396"/>
    <w:rsid w:val="00E70D8F"/>
    <w:rsid w:val="00E71BC8"/>
    <w:rsid w:val="00E7260F"/>
    <w:rsid w:val="00E74206"/>
    <w:rsid w:val="00E77185"/>
    <w:rsid w:val="00E779FC"/>
    <w:rsid w:val="00E848D3"/>
    <w:rsid w:val="00E85728"/>
    <w:rsid w:val="00E86349"/>
    <w:rsid w:val="00E921CF"/>
    <w:rsid w:val="00E96630"/>
    <w:rsid w:val="00EA31F7"/>
    <w:rsid w:val="00EB11F3"/>
    <w:rsid w:val="00EB2581"/>
    <w:rsid w:val="00EC14EF"/>
    <w:rsid w:val="00ED00FD"/>
    <w:rsid w:val="00ED0EEA"/>
    <w:rsid w:val="00ED7A2A"/>
    <w:rsid w:val="00ED7E6E"/>
    <w:rsid w:val="00EE1838"/>
    <w:rsid w:val="00EE585E"/>
    <w:rsid w:val="00EE6929"/>
    <w:rsid w:val="00EF0235"/>
    <w:rsid w:val="00EF1D7F"/>
    <w:rsid w:val="00F02EB8"/>
    <w:rsid w:val="00F03190"/>
    <w:rsid w:val="00F03A99"/>
    <w:rsid w:val="00F0403F"/>
    <w:rsid w:val="00F04CDE"/>
    <w:rsid w:val="00F075CC"/>
    <w:rsid w:val="00F10136"/>
    <w:rsid w:val="00F20C3D"/>
    <w:rsid w:val="00F2653D"/>
    <w:rsid w:val="00F34D48"/>
    <w:rsid w:val="00F35149"/>
    <w:rsid w:val="00F373CD"/>
    <w:rsid w:val="00F41576"/>
    <w:rsid w:val="00F4204E"/>
    <w:rsid w:val="00F43E9E"/>
    <w:rsid w:val="00F44820"/>
    <w:rsid w:val="00F52BE2"/>
    <w:rsid w:val="00F546EA"/>
    <w:rsid w:val="00F57533"/>
    <w:rsid w:val="00F70D30"/>
    <w:rsid w:val="00F747A7"/>
    <w:rsid w:val="00F748B6"/>
    <w:rsid w:val="00F7504C"/>
    <w:rsid w:val="00F75992"/>
    <w:rsid w:val="00F82F23"/>
    <w:rsid w:val="00F832FC"/>
    <w:rsid w:val="00F8467B"/>
    <w:rsid w:val="00F86121"/>
    <w:rsid w:val="00F8772A"/>
    <w:rsid w:val="00F9057C"/>
    <w:rsid w:val="00F906D7"/>
    <w:rsid w:val="00F90FD3"/>
    <w:rsid w:val="00F93781"/>
    <w:rsid w:val="00F9653B"/>
    <w:rsid w:val="00F9682C"/>
    <w:rsid w:val="00F96BA5"/>
    <w:rsid w:val="00FA1718"/>
    <w:rsid w:val="00FB2745"/>
    <w:rsid w:val="00FB45D9"/>
    <w:rsid w:val="00FB5EB5"/>
    <w:rsid w:val="00FB613B"/>
    <w:rsid w:val="00FB6592"/>
    <w:rsid w:val="00FC0622"/>
    <w:rsid w:val="00FC68B7"/>
    <w:rsid w:val="00FD0381"/>
    <w:rsid w:val="00FD1029"/>
    <w:rsid w:val="00FD28AF"/>
    <w:rsid w:val="00FD4F04"/>
    <w:rsid w:val="00FD4FB8"/>
    <w:rsid w:val="00FD61DA"/>
    <w:rsid w:val="00FE106A"/>
    <w:rsid w:val="00FE598F"/>
    <w:rsid w:val="00FF0000"/>
    <w:rsid w:val="00FF4BF4"/>
    <w:rsid w:val="00FF5F29"/>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D84A729C-5B57-40A9-86AE-CEB37EEB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0A0743"/>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0A074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GB"/>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NormalWeb">
    <w:name w:val="Normal (Web)"/>
    <w:basedOn w:val="Normal"/>
    <w:rsid w:val="00BB6C57"/>
    <w:rPr>
      <w:sz w:val="24"/>
      <w:szCs w:val="24"/>
    </w:rPr>
  </w:style>
  <w:style w:type="paragraph" w:customStyle="1" w:styleId="ColorfulShading-Accent11">
    <w:name w:val="Colorful Shading - Accent 11"/>
    <w:hidden/>
    <w:uiPriority w:val="71"/>
    <w:rsid w:val="00CD4EE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09852939">
      <w:bodyDiv w:val="1"/>
      <w:marLeft w:val="15"/>
      <w:marRight w:val="15"/>
      <w:marTop w:val="15"/>
      <w:marBottom w:val="15"/>
      <w:divBdr>
        <w:top w:val="none" w:sz="0" w:space="0" w:color="auto"/>
        <w:left w:val="none" w:sz="0" w:space="0" w:color="auto"/>
        <w:bottom w:val="none" w:sz="0" w:space="0" w:color="auto"/>
        <w:right w:val="none" w:sz="0" w:space="0" w:color="auto"/>
      </w:divBdr>
      <w:divsChild>
        <w:div w:id="1302493284">
          <w:marLeft w:val="150"/>
          <w:marRight w:val="150"/>
          <w:marTop w:val="0"/>
          <w:marBottom w:val="150"/>
          <w:divBdr>
            <w:top w:val="none" w:sz="0" w:space="0" w:color="auto"/>
            <w:left w:val="none" w:sz="0" w:space="0" w:color="auto"/>
            <w:bottom w:val="none" w:sz="0" w:space="0" w:color="auto"/>
            <w:right w:val="none" w:sz="0" w:space="0" w:color="auto"/>
          </w:divBdr>
        </w:div>
      </w:divsChild>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6</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2014-10-02T06:03:00Z</cp:lastPrinted>
  <dcterms:created xsi:type="dcterms:W3CDTF">2017-04-05T20:07:00Z</dcterms:created>
  <dcterms:modified xsi:type="dcterms:W3CDTF">2017-04-05T20:07:00Z</dcterms:modified>
</cp:coreProperties>
</file>